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440101-2024-03666</w:t>
      </w:r>
    </w:p>
    <w:p>
      <w:pPr>
        <w:jc w:val="center"/>
      </w:pPr>
      <w:r>
        <w:rPr>
          <w:b/>
          <w:sz w:val="24"/>
        </w:rPr>
        <w:t>采购项目编号：</w:t>
      </w:r>
      <w:r>
        <w:rPr>
          <w:b/>
          <w:sz w:val="24"/>
        </w:rPr>
        <w:t>GZGK24D064C0124Z</w:t>
      </w:r>
    </w:p>
    <w:p>
      <w:pPr>
        <w:jc w:val="center"/>
      </w:pPr>
      <w:r>
        <w:rPr>
          <w:b/>
          <w:sz w:val="24"/>
        </w:rPr>
        <w:t>项目名称：</w:t>
      </w:r>
      <w:r>
        <w:rPr>
          <w:b/>
          <w:sz w:val="24"/>
        </w:rPr>
        <w:t>广州医科大学附属第五医院直线加速器维保服务项目</w:t>
      </w:r>
    </w:p>
    <w:p>
      <w:pPr>
        <w:jc w:val="center"/>
      </w:pPr>
      <w:r>
        <w:rPr>
          <w:b/>
          <w:sz w:val="24"/>
        </w:rPr>
        <w:t>采购人：</w:t>
      </w:r>
      <w:r>
        <w:rPr>
          <w:b/>
          <w:sz w:val="24"/>
        </w:rPr>
        <w:t>广州医科大学附属第五医院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第一章投标邀请</w:t>
      </w:r>
    </w:p>
    <w:p>
      <w:pPr>
        <w:ind w:firstLine="480"/>
      </w:pPr>
      <w:r>
        <w:rPr/>
        <w:t>广州市国科招标代理有限公司</w:t>
      </w:r>
      <w:r>
        <w:rPr/>
        <w:t>受</w:t>
      </w:r>
      <w:r>
        <w:rPr/>
        <w:t>广州医科大学附属第五医院</w:t>
      </w:r>
      <w:r>
        <w:rPr/>
        <w:t>的委托，采用</w:t>
      </w:r>
      <w:r>
        <w:rPr/>
        <w:t>公开招标</w:t>
      </w:r>
      <w:r>
        <w:rPr/>
        <w:t>方式组织采购</w:t>
      </w:r>
      <w:r>
        <w:rPr/>
        <w:t>广州医科大学附属第五医院直线加速器维保服务项目</w:t>
      </w:r>
      <w:r>
        <w:rPr/>
        <w:t>。欢迎符合资格条件的国内供应商参加投标。</w:t>
      </w:r>
    </w:p>
    <w:p>
      <w:r>
        <w:rPr>
          <w:b/>
          <w:sz w:val="28"/>
        </w:rPr>
        <w:t>一.项目概述</w:t>
      </w:r>
    </w:p>
    <w:p>
      <w:r>
        <w:rPr>
          <w:b/>
          <w:sz w:val="24"/>
        </w:rPr>
        <w:t>1.名称与编号</w:t>
      </w:r>
    </w:p>
    <w:p>
      <w:pPr>
        <w:ind w:firstLine="480"/>
      </w:pPr>
      <w:r>
        <w:rPr/>
        <w:t>项目名称：</w:t>
      </w:r>
      <w:r>
        <w:rPr/>
        <w:t>广州医科大学附属第五医院直线加速器维保服务项目</w:t>
      </w:r>
    </w:p>
    <w:p>
      <w:pPr>
        <w:ind w:firstLine="480"/>
      </w:pPr>
      <w:r>
        <w:rPr/>
        <w:t>采购计划编号：</w:t>
      </w:r>
      <w:r>
        <w:rPr/>
        <w:t>440101-2024-03666</w:t>
      </w:r>
    </w:p>
    <w:p>
      <w:pPr>
        <w:ind w:firstLine="480"/>
      </w:pPr>
      <w:r>
        <w:rPr/>
        <w:t>采购项目编号：</w:t>
      </w:r>
      <w:r>
        <w:rPr/>
        <w:t>GZGK24D064C0124Z</w:t>
      </w:r>
    </w:p>
    <w:p>
      <w:pPr>
        <w:ind w:firstLine="480"/>
      </w:pPr>
      <w:r>
        <w:rPr/>
        <w:t>采购方式：</w:t>
      </w:r>
      <w:r>
        <w:rPr/>
        <w:t>公开招标</w:t>
      </w:r>
    </w:p>
    <w:p>
      <w:pPr>
        <w:ind w:firstLine="480"/>
      </w:pPr>
      <w:r>
        <w:rPr/>
        <w:t>预算金额：</w:t>
      </w:r>
      <w:r>
        <w:rPr/>
        <w:t>2,700,000.00</w:t>
      </w:r>
      <w:r>
        <w:rPr/>
        <w:t>元</w:t>
      </w:r>
    </w:p>
    <w:p>
      <w:r>
        <w:rPr>
          <w:b/>
          <w:sz w:val="24"/>
        </w:rPr>
        <w:t>2.项目内容及需求情况（采购项目技术规格、参数及要求）</w:t>
      </w:r>
    </w:p>
    <w:p>
      <w:pPr>
        <w:ind w:firstLine="480"/>
      </w:pPr>
    </w:p>
    <w:p/>
    <w:p>
      <w:r>
        <w:rPr/>
        <w:t>采购包1(直线加速器维保服务):</w:t>
      </w:r>
    </w:p>
    <w:p>
      <w:r>
        <w:rPr/>
        <w:t>采购包预算金额：2,700,000.00元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医疗设备维修和保养服务</w:t>
            </w:r>
          </w:p>
        </w:tc>
        <w:tc>
          <w:tcPr>
            <w:tcW w:type="dxa" w:w="2136"/>
          </w:tcPr>
          <w:p>
            <w:r>
              <w:rPr/>
              <w:t>直线加速器维保服务</w:t>
            </w:r>
          </w:p>
        </w:tc>
        <w:tc>
          <w:tcPr>
            <w:tcW w:type="dxa" w:w="1187"/>
          </w:tcPr>
          <w:p>
            <w:r>
              <w:rPr/>
              <w:t>3.00(年)</w:t>
            </w:r>
          </w:p>
        </w:tc>
        <w:tc>
          <w:tcPr>
            <w:tcW w:type="dxa" w:w="1187"/>
          </w:tcPr>
          <w:p>
            <w:r>
              <w:rPr/>
              <w:t>详见第二章</w:t>
            </w:r>
          </w:p>
        </w:tc>
        <w:tc>
          <w:tcPr>
            <w:tcW w:type="dxa" w:w="1187"/>
          </w:tcPr>
          <w:p>
            <w:r>
              <w:rPr/>
              <w:t>否</w:t>
            </w:r>
          </w:p>
        </w:tc>
      </w:tr>
    </w:tbl>
    <w:p/>
    <w:p>
      <w:r>
        <w:rPr/>
        <w:t>本采购包不接受联合体投标</w:t>
      </w:r>
    </w:p>
    <w:p/>
    <w:p>
      <w:r>
        <w:rPr/>
        <w:t>合同履行期限：见“标的提供时间”要求。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4）履行合同所必需的设备和专业技术能力：提供书面承诺声明函（格式自拟）或具有履行合同所必需的设备和专业技术能力的其他证明材料。</w:t>
      </w:r>
    </w:p>
    <w:p/>
    <w:p>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采购包1（直线加速器维保服务）：</w:t>
      </w:r>
      <w:r>
        <w:rPr/>
        <w:t>本项目属于专门面向小微企业采购的项目，全部服务的承接方应为小微企业或监狱企业或残疾人福利性单位【依据《中小企业声明函》或由省级以上监狱管理局、戒毒管理局(含新疆生产建设兵团)出具的承接方属于监狱企业的证明文件或承接方的《残疾人福利性单位声明函》】。  注：小微企业须符合本项目采购标的对应行业的政策划分标准，监狱企业、残疾人福利单位视同小型、微型企业。小微企业以投标人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本项目对应的中小企业划分标准所属行业为：其他未列明行业。</w:t>
      </w:r>
    </w:p>
    <w:p/>
    <w:p>
      <w:r>
        <w:rPr>
          <w:b/>
          <w:sz w:val="24"/>
        </w:rPr>
        <w:t>3.本项目特定的资格要求：</w:t>
      </w:r>
    </w:p>
    <w:p>
      <w:pPr>
        <w:ind w:firstLine="480"/>
      </w:pPr>
    </w:p>
    <w:p/>
    <w:p>
      <w:r>
        <w:rPr/>
        <w:t>采购包1（直线加速器维保服务）：</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p/>
    <w:p>
      <w:r>
        <w:rPr/>
        <w:t>3)已获取本项目采购文件。</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广州市国科招标代理有限公司网（www.gzgkbidding.com）</w:t>
      </w:r>
      <w:r>
        <w:rPr/>
        <w:t>。</w:t>
      </w:r>
    </w:p>
    <w:p>
      <w:r>
        <w:rPr>
          <w:b/>
          <w:sz w:val="28"/>
        </w:rPr>
        <w:t>六.本项目联系方式：</w:t>
      </w:r>
    </w:p>
    <w:p>
      <w:r>
        <w:rPr>
          <w:b/>
          <w:sz w:val="24"/>
        </w:rPr>
        <w:t>1.采购人信息</w:t>
      </w:r>
    </w:p>
    <w:p>
      <w:pPr>
        <w:ind w:firstLine="480"/>
      </w:pPr>
      <w:r>
        <w:rPr/>
        <w:t>名称：</w:t>
      </w:r>
      <w:r>
        <w:rPr/>
        <w:t>广州医科大学附属第五医院</w:t>
      </w:r>
    </w:p>
    <w:p>
      <w:pPr>
        <w:ind w:firstLine="480"/>
      </w:pPr>
      <w:r>
        <w:rPr/>
        <w:t>地址：</w:t>
      </w:r>
      <w:r>
        <w:rPr/>
        <w:t>广州黄埔区港湾路621号</w:t>
      </w:r>
    </w:p>
    <w:p>
      <w:pPr>
        <w:ind w:firstLine="480"/>
      </w:pPr>
      <w:r>
        <w:rPr/>
        <w:t>联系方式：</w:t>
      </w:r>
      <w:r>
        <w:rPr/>
        <w:t>020-31143584</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020-37814404、020-87687030</w:t>
      </w:r>
    </w:p>
    <w:p>
      <w:r>
        <w:rPr>
          <w:b/>
          <w:sz w:val="24"/>
        </w:rPr>
        <w:t>3.项目联系方式</w:t>
      </w:r>
    </w:p>
    <w:p>
      <w:pPr>
        <w:ind w:firstLine="480"/>
      </w:pPr>
      <w:r>
        <w:rPr/>
        <w:t>项目联系人：</w:t>
      </w:r>
      <w:r>
        <w:rPr/>
        <w:t>吕永珊、伍梁敏</w:t>
      </w:r>
    </w:p>
    <w:p>
      <w:pPr>
        <w:ind w:firstLine="480"/>
      </w:pPr>
      <w:r>
        <w:rPr/>
        <w:t>电话：</w:t>
      </w:r>
      <w:r>
        <w:rPr/>
        <w:t>020-37814404、020-87687030</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211"/>
        <w:jc w:val="both"/>
      </w:pPr>
      <w:r>
        <w:rPr>
          <w:b/>
          <w:sz w:val="21"/>
        </w:rPr>
        <w:t>（一）</w:t>
      </w:r>
      <w:r>
        <w:rPr>
          <w:b/>
          <w:sz w:val="21"/>
        </w:rPr>
        <w:t>项目编号：</w:t>
      </w:r>
      <w:r>
        <w:rPr>
          <w:sz w:val="21"/>
        </w:rPr>
        <w:t>GZGK24D064C0124Z</w:t>
      </w:r>
    </w:p>
    <w:p>
      <w:pPr>
        <w:ind w:firstLine="211"/>
        <w:jc w:val="both"/>
      </w:pPr>
      <w:r>
        <w:rPr>
          <w:b/>
          <w:sz w:val="21"/>
        </w:rPr>
        <w:t>（二）</w:t>
      </w:r>
      <w:r>
        <w:rPr>
          <w:b/>
          <w:sz w:val="21"/>
        </w:rPr>
        <w:t>项目名称：</w:t>
      </w:r>
      <w:r>
        <w:rPr>
          <w:sz w:val="21"/>
        </w:rPr>
        <w:t>广州医科大学附属第五医院直线加速器维保服务项目</w:t>
      </w:r>
    </w:p>
    <w:p>
      <w:pPr>
        <w:ind w:firstLine="211"/>
        <w:jc w:val="both"/>
      </w:pPr>
      <w:r>
        <w:rPr>
          <w:b/>
          <w:sz w:val="21"/>
        </w:rPr>
        <w:t>（三）</w:t>
      </w:r>
      <w:r>
        <w:rPr>
          <w:b/>
          <w:sz w:val="21"/>
        </w:rPr>
        <w:t>总体要求说明：</w:t>
      </w:r>
    </w:p>
    <w:p>
      <w:pPr>
        <w:ind w:firstLine="211"/>
        <w:jc w:val="both"/>
      </w:pPr>
      <w:r>
        <w:rPr>
          <w:sz w:val="21"/>
        </w:rPr>
        <w:t>1、</w:t>
      </w:r>
      <w:r>
        <w:rPr>
          <w:sz w:val="21"/>
        </w:rPr>
        <w:t>标有</w:t>
      </w:r>
      <w:r>
        <w:rPr>
          <w:sz w:val="21"/>
        </w:rPr>
        <w:t>“★”的条款</w:t>
      </w:r>
      <w:r>
        <w:rPr>
          <w:sz w:val="21"/>
        </w:rPr>
        <w:t>为必须完全满足的实质性要求</w:t>
      </w:r>
      <w:r>
        <w:rPr>
          <w:sz w:val="21"/>
        </w:rPr>
        <w:t>，投标人如有一项带</w:t>
      </w:r>
      <w:r>
        <w:rPr>
          <w:sz w:val="21"/>
        </w:rPr>
        <w:t>“★”的条款未响应或不满足，将按无效投标处理。</w:t>
      </w:r>
    </w:p>
    <w:p>
      <w:pPr>
        <w:ind w:firstLine="211"/>
        <w:jc w:val="both"/>
      </w:pPr>
      <w:r>
        <w:rPr>
          <w:sz w:val="21"/>
        </w:rPr>
        <w:t>2、</w:t>
      </w:r>
      <w:r>
        <w:rPr>
          <w:sz w:val="21"/>
        </w:rPr>
        <w:t>标有</w:t>
      </w:r>
      <w:r>
        <w:rPr>
          <w:sz w:val="21"/>
        </w:rPr>
        <w:t>“▲”的条款为重要性要求，投标人如有“▲”的条款未响应或负偏离的将被严重扣分。</w:t>
      </w:r>
    </w:p>
    <w:p>
      <w:pPr>
        <w:ind w:firstLine="211"/>
        <w:jc w:val="both"/>
      </w:pPr>
      <w:r>
        <w:rPr>
          <w:sz w:val="21"/>
        </w:rPr>
        <w:t>3、</w:t>
      </w:r>
      <w:r>
        <w:rPr>
          <w:sz w:val="21"/>
        </w:rPr>
        <w:t>投标人应对采购需求中的服务指标在响应详细内容中列出明确承诺。如果投标人只注明</w:t>
      </w:r>
      <w:r>
        <w:rPr>
          <w:sz w:val="21"/>
        </w:rPr>
        <w:t>“正偏离”或“无偏离”，将</w:t>
      </w:r>
      <w:r>
        <w:rPr>
          <w:sz w:val="21"/>
        </w:rPr>
        <w:t>可能</w:t>
      </w:r>
      <w:r>
        <w:rPr>
          <w:sz w:val="21"/>
        </w:rPr>
        <w:t>被视为</w:t>
      </w:r>
      <w:r>
        <w:rPr>
          <w:sz w:val="21"/>
        </w:rPr>
        <w:t>“负偏离”，从而可能导致严重影响评标结果。</w:t>
      </w:r>
    </w:p>
    <w:p>
      <w:pPr>
        <w:ind w:firstLine="211"/>
        <w:jc w:val="both"/>
      </w:pPr>
      <w:r>
        <w:rPr>
          <w:sz w:val="21"/>
        </w:rPr>
        <w:t>4、</w:t>
      </w:r>
      <w:r>
        <w:rPr>
          <w:sz w:val="21"/>
        </w:rPr>
        <w:t>涉及到软件产品的，必须采购和使用正版软件，项目中涉及计算机办公产品的，必须预装正版操作系统软件。</w:t>
      </w:r>
    </w:p>
    <w:p>
      <w:pPr>
        <w:ind w:firstLine="211"/>
        <w:jc w:val="both"/>
      </w:pPr>
      <w:r>
        <w:rPr>
          <w:sz w:val="21"/>
        </w:rPr>
        <w:t>5、</w:t>
      </w:r>
      <w:r>
        <w:rPr>
          <w:sz w:val="21"/>
        </w:rPr>
        <w:t>投标人没有在投标文件中注明偏离（文字说明或在响应表注明）的条款视为被投标人完全接受。</w:t>
      </w:r>
    </w:p>
    <w:p>
      <w:pPr>
        <w:ind w:firstLine="211"/>
        <w:jc w:val="both"/>
      </w:pPr>
      <w:r>
        <w:rPr>
          <w:sz w:val="21"/>
        </w:rPr>
        <w:t>6、</w:t>
      </w:r>
      <w:r>
        <w:rPr>
          <w:sz w:val="21"/>
        </w:rPr>
        <w:t>投标人应保证，采购人在中华人民共和国使用该服务或服务的任何一部分时，免受第三方提出的侵犯其专利权、商标权、著作权或其它知识产权的起诉。</w:t>
      </w:r>
    </w:p>
    <w:p>
      <w:pPr>
        <w:ind w:firstLine="211"/>
        <w:jc w:val="both"/>
      </w:pPr>
      <w:r>
        <w:rPr>
          <w:sz w:val="21"/>
        </w:rPr>
        <w:t>7、</w:t>
      </w:r>
      <w:r>
        <w:rPr>
          <w:sz w:val="21"/>
        </w:rPr>
        <w:t>不允许中标供应商</w:t>
      </w:r>
      <w:r>
        <w:rPr>
          <w:sz w:val="21"/>
        </w:rPr>
        <w:t>转包、分包项目内容</w:t>
      </w:r>
      <w:r>
        <w:rPr>
          <w:sz w:val="21"/>
        </w:rPr>
        <w:t>。</w:t>
      </w:r>
    </w:p>
    <w:p>
      <w:pPr>
        <w:ind w:firstLine="211"/>
        <w:jc w:val="both"/>
      </w:pPr>
      <w:r>
        <w:rPr>
          <w:sz w:val="21"/>
        </w:rPr>
        <w:t>8、</w:t>
      </w:r>
      <w:r>
        <w:rPr>
          <w:sz w:val="21"/>
        </w:rPr>
        <w:t>本项目采购标的对应行业为：</w:t>
      </w:r>
      <w:r>
        <w:rPr>
          <w:sz w:val="21"/>
        </w:rPr>
        <w:t>其他未列明行业（</w:t>
      </w:r>
      <w:r>
        <w:rPr>
          <w:sz w:val="21"/>
        </w:rPr>
        <w:t>《工业和信息化部、国家统计局、国家发展和改革委员会、财政部关于印发中小企业划型标准规定的通知》（工信部联企业</w:t>
      </w:r>
      <w:r>
        <w:rPr>
          <w:sz w:val="21"/>
        </w:rPr>
        <w:t>[2011]300号）规定的划分标准</w:t>
      </w:r>
      <w:r>
        <w:rPr>
          <w:sz w:val="21"/>
        </w:rPr>
        <w:t>），中小企业应填写《中小企业声明函》（工程、服务）（详见投标格式）。</w:t>
      </w:r>
    </w:p>
    <w:p>
      <w:pPr>
        <w:ind w:firstLine="211"/>
        <w:jc w:val="both"/>
      </w:pPr>
      <w:r>
        <w:rPr>
          <w:sz w:val="21"/>
        </w:rPr>
        <w:t>9、</w:t>
      </w:r>
      <w:r>
        <w:rPr>
          <w:sz w:val="21"/>
        </w:rPr>
        <w:t>小型和微型企业、监狱企业和残疾人福利性单位必须按照招标文件第三章内容提供相应的资料。</w:t>
      </w:r>
    </w:p>
    <w:p>
      <w:pPr>
        <w:ind w:firstLine="211"/>
        <w:jc w:val="both"/>
      </w:pPr>
      <w:r>
        <w:rPr>
          <w:sz w:val="21"/>
        </w:rPr>
        <w:t>10、</w:t>
      </w:r>
      <w:r>
        <w:rPr>
          <w:sz w:val="21"/>
        </w:rPr>
        <w:t>需落实政府采购政策为：促进中小企业发展政策、支持监狱企业发展政策、支持残疾人福利性单位发展政策、优先采购节能产品、环境标志产品相关政策等。</w:t>
      </w:r>
    </w:p>
    <w:p>
      <w:pPr>
        <w:ind w:firstLine="211"/>
        <w:jc w:val="both"/>
      </w:pPr>
      <w:r>
        <w:rPr>
          <w:b/>
          <w:sz w:val="21"/>
        </w:rPr>
        <w:t>11、本项目涉及跨年采购，每年度拟安排采购预算金额为90万元。</w:t>
      </w:r>
    </w:p>
    <w:p>
      <w:pPr>
        <w:ind w:firstLine="211"/>
        <w:jc w:val="both"/>
      </w:pPr>
      <w:r>
        <w:rPr>
          <w:b/>
          <w:sz w:val="21"/>
        </w:rPr>
        <w:t>（四）</w:t>
      </w:r>
      <w:r>
        <w:rPr>
          <w:b/>
          <w:sz w:val="21"/>
        </w:rPr>
        <w:t>其他说明：</w:t>
      </w:r>
    </w:p>
    <w:p>
      <w:pPr>
        <w:ind w:firstLine="211"/>
        <w:jc w:val="both"/>
      </w:pPr>
      <w:r>
        <w:rPr>
          <w:sz w:val="21"/>
        </w:rPr>
        <w:t>1、</w:t>
      </w:r>
      <w:r>
        <w:rPr>
          <w:sz w:val="21"/>
        </w:rPr>
        <w:t>本项目开标方式为远程开标。参与全流程云平台采购项目的供应商登录云平台通过</w:t>
      </w:r>
      <w:r>
        <w:rPr>
          <w:sz w:val="21"/>
        </w:rPr>
        <w:t>“新供应商开标大厅”进行签到及投标文件的解密，签到需在开标时间前30分钟内完成，不需要委派代表前往开标现场。但为了保证开标程序顺利、高效地完成，投标人亦可委派代表携带CA-key、存储有非加密投标文件的U盘前往开标现场进行签到、解密。</w:t>
      </w:r>
    </w:p>
    <w:p>
      <w:pPr>
        <w:ind w:firstLine="211"/>
        <w:jc w:val="both"/>
      </w:pPr>
      <w:r>
        <w:rPr>
          <w:sz w:val="21"/>
        </w:rPr>
        <w:t>2、</w:t>
      </w:r>
      <w:r>
        <w:rPr>
          <w:sz w:val="21"/>
        </w:rPr>
        <w:t>供应商电脑需提前安装</w:t>
      </w:r>
      <w:r>
        <w:rPr>
          <w:sz w:val="21"/>
        </w:rPr>
        <w:t>CA签章客户端，并运行CA证书。</w:t>
      </w:r>
    </w:p>
    <w:p>
      <w:pPr>
        <w:ind w:firstLine="211"/>
        <w:jc w:val="both"/>
      </w:pPr>
      <w:r>
        <w:rPr>
          <w:sz w:val="21"/>
        </w:rPr>
        <w:t>3、</w:t>
      </w:r>
      <w:r>
        <w:rPr>
          <w:b/>
          <w:sz w:val="21"/>
        </w:rPr>
        <w:t>请各投标人在编制投标文件时注意，涉及到签字或签章的地方，请按要求签字或签章后再上传系统。投标文件加密前请注意所有需要签字、签章、盖章的地方是否齐全无缺漏。请保管好</w:t>
      </w:r>
      <w:r>
        <w:rPr>
          <w:b/>
          <w:sz w:val="21"/>
        </w:rPr>
        <w:t>CA证书的密码，如遗忘，请及时重置，以免影响投标文件的解密。</w:t>
      </w:r>
    </w:p>
    <w:p>
      <w:pPr>
        <w:ind w:firstLine="211"/>
        <w:jc w:val="both"/>
      </w:pPr>
      <w:r>
        <w:rPr>
          <w:b/>
          <w:sz w:val="21"/>
        </w:rPr>
        <w:t>（五）</w:t>
      </w:r>
      <w:r>
        <w:rPr>
          <w:b/>
          <w:sz w:val="21"/>
        </w:rPr>
        <w:t>投标报价说明：</w:t>
      </w:r>
    </w:p>
    <w:p>
      <w:pPr>
        <w:ind w:firstLine="211"/>
        <w:jc w:val="both"/>
      </w:pPr>
      <w:r>
        <w:rPr>
          <w:sz w:val="21"/>
        </w:rPr>
        <w:t>1、投标人须对本项目以采购包为单位服务进行整体投标，任何只对采购包内其中一部分内容进行的投标都被视为无效投标。</w:t>
      </w:r>
    </w:p>
    <w:p>
      <w:pPr>
        <w:ind w:firstLine="211"/>
        <w:jc w:val="both"/>
      </w:pPr>
      <w:r>
        <w:rPr>
          <w:sz w:val="21"/>
        </w:rPr>
        <w:t>2、投标人对任何一项应当考虑在投标报价中的内容有漏报的单价，或每项投标单价中有漏报、少报的费用，均视为此项费用已包含在投标报价中；如中标，则不得再向采购人收取任何费用。所有价格均应以人民币报价，金额单位为元。</w:t>
      </w:r>
    </w:p>
    <w:p>
      <w:pPr>
        <w:ind w:firstLine="211"/>
        <w:jc w:val="both"/>
      </w:pPr>
      <w:r>
        <w:rPr>
          <w:sz w:val="21"/>
        </w:rPr>
        <w:t>3、本项目的投标报价</w:t>
      </w:r>
      <w:r>
        <w:rPr>
          <w:sz w:val="21"/>
        </w:rPr>
        <w:t>采取含税总价包干的形式，包括：人工费、零配件费、税金等与本项目实施有关的所有费用，合同期内维保价格不变。</w:t>
      </w:r>
    </w:p>
    <w:p>
      <w:pPr>
        <w:ind w:firstLine="211"/>
        <w:jc w:val="both"/>
      </w:pPr>
      <w:r>
        <w:rPr>
          <w:b/>
          <w:sz w:val="21"/>
        </w:rPr>
        <w:t>（六）</w:t>
      </w:r>
      <w:r>
        <w:rPr>
          <w:b/>
          <w:sz w:val="21"/>
        </w:rPr>
        <w:t>实现的目标</w:t>
      </w:r>
    </w:p>
    <w:p>
      <w:pPr>
        <w:ind w:firstLine="420"/>
        <w:jc w:val="both"/>
      </w:pPr>
      <w:r>
        <w:rPr>
          <w:sz w:val="21"/>
        </w:rPr>
        <w:t>本项目拟通过公开招标方式选取一家供应商，对直线加速器及直线加速器配套大孔径</w:t>
      </w:r>
      <w:r>
        <w:rPr>
          <w:sz w:val="21"/>
        </w:rPr>
        <w:t>CT进行维保服务。</w:t>
      </w:r>
    </w:p>
    <w:p>
      <w:pPr>
        <w:ind w:firstLine="211"/>
        <w:jc w:val="both"/>
      </w:pPr>
      <w:r>
        <w:rPr>
          <w:b/>
          <w:sz w:val="21"/>
        </w:rPr>
        <w:t>（七）</w:t>
      </w:r>
      <w:r>
        <w:rPr>
          <w:b/>
          <w:sz w:val="21"/>
        </w:rPr>
        <w:t>需执行国家相关标准、行业标准、地方标准或者其他标准、规范</w:t>
      </w:r>
    </w:p>
    <w:p>
      <w:pPr>
        <w:ind w:firstLine="211"/>
        <w:jc w:val="both"/>
      </w:pPr>
      <w:r>
        <w:rPr/>
        <w:t xml:space="preserve"> </w:t>
      </w:r>
    </w:p>
    <w:p/>
    <w:p>
      <w:pPr>
        <w:ind w:firstLine="480"/>
      </w:pPr>
    </w:p>
    <w:p/>
    <w:p>
      <w:r>
        <w:rPr/>
        <w:t>采购包1（直线加速器维保服务）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服务期限：自合同签订之日起 3年（一次签订服务期限为三年的合同）。</w:t>
            </w:r>
          </w:p>
        </w:tc>
      </w:tr>
      <w:tr>
        <w:tc>
          <w:tcPr>
            <w:tcW w:type="dxa" w:w="4153"/>
          </w:tcPr>
          <w:p>
            <w:r>
              <w:rPr/>
              <w:t>标的提供的地点</w:t>
            </w:r>
          </w:p>
        </w:tc>
        <w:tc>
          <w:tcPr>
            <w:tcW w:type="dxa" w:w="4153"/>
          </w:tcPr>
          <w:p/>
          <w:p>
            <w:r>
              <w:rPr/>
              <w:t>采购人指定的使用现场。</w:t>
            </w:r>
          </w:p>
        </w:tc>
      </w:tr>
      <w:tr>
        <w:tc>
          <w:tcPr>
            <w:tcW w:type="dxa" w:w="4153"/>
          </w:tcPr>
          <w:p>
            <w:r>
              <w:rPr/>
              <w:t>付款方式</w:t>
            </w:r>
          </w:p>
        </w:tc>
        <w:tc>
          <w:tcPr>
            <w:tcW w:type="dxa" w:w="4153"/>
          </w:tcPr>
          <w:p/>
          <w:p/>
          <w:p>
            <w:r>
              <w:rPr/>
              <w:t>1期：支付比例100%,按年支付，每年支付两次，每半年一次。采购人在收到中标人提供的等额正式发票后5个工作日内支付年度合同金额的50%，之后每半年支付一次。</w:t>
            </w:r>
          </w:p>
        </w:tc>
      </w:tr>
      <w:tr>
        <w:tc>
          <w:tcPr>
            <w:tcW w:type="dxa" w:w="4153"/>
          </w:tcPr>
          <w:p>
            <w:r>
              <w:rPr/>
              <w:t>验收要求</w:t>
            </w:r>
          </w:p>
        </w:tc>
        <w:tc>
          <w:tcPr>
            <w:tcW w:type="dxa" w:w="4153"/>
          </w:tcPr>
          <w:p/>
          <w:p/>
          <w:p/>
          <w:p>
            <w:r>
              <w:rPr/>
              <w:t>1期：1、采购人在收到中标人项目验收建议之日7个工作日内按照合同的约定对履约情况进行验收，对每一项技术、服务、安全标准的履约情况进行确认。 2、验收由采购人组织相关人员依照有关标准、项目及合同要求进行。 3、验收完毕由采购人及中标人在验收报告上盖章确认。</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（一）其他要求，1、投标人应具有零配件仓库或具备维修站或能优先运送零配件，能及时响应维修。 2、投标人应在投标文件中提供维修保养方案，包括但不限于服务人员安排计划、组织制度、维护计划表、保养工作流程及应急处理流程。 3、投标人应在投标文件中详细描述质量保障方案，包括但不限于质量保障体系、满足本项目开机率要求的保障措施、技术支持措施。</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医疗设备维修和保养服务</w:t>
            </w:r>
          </w:p>
        </w:tc>
        <w:tc>
          <w:tcPr>
            <w:tcW w:type="dxa" w:w="933"/>
          </w:tcPr>
          <w:p>
            <w:pPr>
              <w:jc w:val="left"/>
            </w:pPr>
            <w:r>
              <w:rPr/>
              <w:t>直线加速器维保服务</w:t>
            </w:r>
          </w:p>
        </w:tc>
        <w:tc>
          <w:tcPr>
            <w:tcW w:type="dxa" w:w="933"/>
          </w:tcPr>
          <w:p>
            <w:pPr>
              <w:jc w:val="left"/>
            </w:pPr>
            <w:r>
              <w:rPr/>
              <w:t>年</w:t>
            </w:r>
          </w:p>
        </w:tc>
        <w:tc>
          <w:tcPr>
            <w:tcW w:type="dxa" w:w="933"/>
          </w:tcPr>
          <w:p>
            <w:pPr>
              <w:jc w:val="right"/>
            </w:pPr>
            <w:r>
              <w:rPr/>
              <w:t>3.00</w:t>
            </w:r>
          </w:p>
        </w:tc>
        <w:tc>
          <w:tcPr>
            <w:tcW w:type="dxa" w:w="933"/>
          </w:tcPr>
          <w:p>
            <w:pPr>
              <w:jc w:val="right"/>
            </w:pPr>
            <w:r>
              <w:rPr/>
              <w:t>900,000.00</w:t>
            </w:r>
          </w:p>
        </w:tc>
        <w:tc>
          <w:tcPr>
            <w:tcW w:type="dxa" w:w="933"/>
          </w:tcPr>
          <w:p>
            <w:pPr>
              <w:jc w:val="right"/>
            </w:pPr>
            <w:r>
              <w:rPr/>
              <w:t>2,700,000.00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直线加速器维保服务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211"/>
              <w:jc w:val="both"/>
            </w:pPr>
            <w:r>
              <w:rPr>
                <w:b/>
                <w:sz w:val="21"/>
              </w:rPr>
              <w:t>一、维修保养服务采购项目概况：</w:t>
            </w:r>
          </w:p>
          <w:p>
            <w:pPr>
              <w:ind w:firstLine="420"/>
              <w:jc w:val="both"/>
            </w:pPr>
            <w:r>
              <w:rPr>
                <w:sz w:val="21"/>
              </w:rPr>
              <w:t>1、维保设备名称：直线加速器及直线加速器配套大孔径CT；</w:t>
            </w:r>
          </w:p>
          <w:p>
            <w:pPr>
              <w:ind w:firstLine="420"/>
              <w:jc w:val="both"/>
            </w:pPr>
            <w:r>
              <w:rPr>
                <w:sz w:val="21"/>
              </w:rPr>
              <w:t>2、维保设备型号及数量：瓦里安TRILOGY一台，飞利浦Brilliance CT Big Bore一台；</w:t>
            </w:r>
          </w:p>
          <w:p>
            <w:pPr>
              <w:ind w:firstLine="420"/>
              <w:jc w:val="both"/>
            </w:pPr>
            <w:r>
              <w:rPr>
                <w:sz w:val="21"/>
              </w:rPr>
              <w:t>3、启用时间：瓦里安TRILOGY启用时间为2018年，飞利浦Brilliance CT Big Bore启用时间为2018年；</w:t>
            </w:r>
          </w:p>
          <w:p>
            <w:pPr>
              <w:ind w:firstLine="420"/>
              <w:jc w:val="both"/>
            </w:pPr>
            <w:r>
              <w:rPr>
                <w:sz w:val="21"/>
              </w:rPr>
              <w:t>4、维保期限：自合同签订之日起 3年；</w:t>
            </w:r>
          </w:p>
          <w:p>
            <w:pPr>
              <w:ind w:firstLine="420"/>
              <w:jc w:val="both"/>
            </w:pPr>
            <w:r>
              <w:rPr>
                <w:sz w:val="21"/>
              </w:rPr>
              <w:t>5、预算金额：270万元；</w:t>
            </w:r>
          </w:p>
          <w:p>
            <w:pPr>
              <w:ind w:firstLine="420"/>
              <w:jc w:val="both"/>
            </w:pPr>
            <w:r>
              <w:rPr>
                <w:sz w:val="21"/>
              </w:rPr>
              <w:t>6、设备维修保养项目内容：</w:t>
            </w:r>
          </w:p>
          <w:p>
            <w:pPr>
              <w:ind w:firstLine="420"/>
              <w:jc w:val="both"/>
            </w:pPr>
            <w:r>
              <w:rPr>
                <w:sz w:val="21"/>
              </w:rPr>
              <w:t>★</w:t>
            </w:r>
            <w:r>
              <w:rPr>
                <w:sz w:val="21"/>
              </w:rPr>
              <w:t>（</w:t>
            </w:r>
            <w:r>
              <w:rPr>
                <w:sz w:val="21"/>
              </w:rPr>
              <w:t>1）瓦里安TRILOGY和飞利浦Brilliance CT Big Bore每年各4次保养，不限次数到场服务和远程诊断服务；</w:t>
            </w:r>
          </w:p>
          <w:p>
            <w:pPr>
              <w:ind w:firstLine="420"/>
              <w:jc w:val="both"/>
            </w:pPr>
            <w:r>
              <w:rPr>
                <w:sz w:val="21"/>
              </w:rPr>
              <w:t>★</w:t>
            </w:r>
            <w:r>
              <w:rPr>
                <w:sz w:val="21"/>
              </w:rPr>
              <w:t>（</w:t>
            </w:r>
            <w:r>
              <w:rPr>
                <w:sz w:val="21"/>
              </w:rPr>
              <w:t>2）直线加速器（整机全保），包括但不限于主机、加速管、球馆、速调管、平板、 MLC、PV、OBI、Treat、CBCT、RPM、RAM、RAPID ARC。</w:t>
            </w:r>
          </w:p>
          <w:p>
            <w:pPr>
              <w:ind w:firstLine="420"/>
              <w:jc w:val="both"/>
            </w:pPr>
            <w:r>
              <w:rPr>
                <w:sz w:val="21"/>
              </w:rPr>
              <w:t>★</w:t>
            </w:r>
            <w:r>
              <w:rPr>
                <w:sz w:val="21"/>
              </w:rPr>
              <w:t>（</w:t>
            </w:r>
            <w:r>
              <w:rPr>
                <w:sz w:val="21"/>
              </w:rPr>
              <w:t>3）软件部分包含但不限于计划系统、网络等。</w:t>
            </w:r>
          </w:p>
          <w:p>
            <w:pPr>
              <w:ind w:firstLine="420"/>
              <w:jc w:val="both"/>
            </w:pPr>
            <w:r>
              <w:rPr>
                <w:sz w:val="21"/>
              </w:rPr>
              <w:t>★</w:t>
            </w:r>
            <w:r>
              <w:rPr>
                <w:sz w:val="21"/>
              </w:rPr>
              <w:t>（</w:t>
            </w:r>
            <w:r>
              <w:rPr>
                <w:sz w:val="21"/>
              </w:rPr>
              <w:t>4）包含第三方所有配套产品包括但不限于水冷机、空气压缩机、稳压器、CCTV监视器和摄像头、激光定位器、对讲系统。</w:t>
            </w:r>
          </w:p>
          <w:p>
            <w:pPr>
              <w:ind w:firstLine="420"/>
              <w:jc w:val="both"/>
            </w:pPr>
            <w:r>
              <w:rPr>
                <w:sz w:val="21"/>
              </w:rPr>
              <w:t>（</w:t>
            </w:r>
            <w:r>
              <w:rPr>
                <w:sz w:val="21"/>
              </w:rPr>
              <w:t>5）配套的大孔径CT整机（含球管）全保。</w:t>
            </w:r>
          </w:p>
          <w:p>
            <w:pPr>
              <w:ind w:firstLine="420"/>
              <w:jc w:val="both"/>
            </w:pPr>
          </w:p>
          <w:p>
            <w:pPr>
              <w:ind w:firstLine="211"/>
              <w:jc w:val="both"/>
            </w:pPr>
            <w:r>
              <w:rPr>
                <w:b/>
                <w:sz w:val="21"/>
              </w:rPr>
              <w:t>二、保修服务的技术要求</w:t>
            </w:r>
          </w:p>
          <w:p>
            <w:pPr>
              <w:ind w:firstLine="495"/>
              <w:jc w:val="both"/>
            </w:pPr>
            <w:r>
              <w:rPr>
                <w:sz w:val="21"/>
              </w:rPr>
              <w:t>▲1、为保证备件供应及时性，投标人在</w:t>
            </w:r>
            <w:r>
              <w:rPr>
                <w:sz w:val="21"/>
              </w:rPr>
              <w:t>项目所在地</w:t>
            </w:r>
            <w:r>
              <w:rPr>
                <w:sz w:val="21"/>
              </w:rPr>
              <w:t>至少设有一个零备件仓库</w:t>
            </w:r>
            <w:r>
              <w:rPr>
                <w:sz w:val="21"/>
              </w:rPr>
              <w:t>(提供仓库的租赁合同及近1年内任意3个租金缴纳发票证明，投标人自有仓库的则提供仓库的产权证明文件)</w:t>
            </w:r>
            <w:r>
              <w:rPr>
                <w:sz w:val="21"/>
              </w:rPr>
              <w:t>或承诺中标后在项目所在地</w:t>
            </w:r>
            <w:r>
              <w:rPr>
                <w:sz w:val="21"/>
              </w:rPr>
              <w:t>设有一个零备件仓库</w:t>
            </w:r>
            <w:r>
              <w:rPr>
                <w:sz w:val="21"/>
              </w:rPr>
              <w:t>（提供承诺函）</w:t>
            </w:r>
            <w:r>
              <w:rPr>
                <w:sz w:val="21"/>
              </w:rPr>
              <w:t>。</w:t>
            </w:r>
          </w:p>
          <w:p>
            <w:pPr>
              <w:ind w:firstLine="495"/>
              <w:jc w:val="both"/>
            </w:pPr>
            <w:r>
              <w:rPr>
                <w:sz w:val="21"/>
              </w:rPr>
              <w:t>2、为保证响应及时性，投标人应满足以下要求：</w:t>
            </w:r>
          </w:p>
          <w:p>
            <w:pPr>
              <w:ind w:firstLine="495"/>
              <w:jc w:val="both"/>
            </w:pPr>
            <w:r>
              <w:rPr>
                <w:sz w:val="21"/>
              </w:rPr>
              <w:t>▲（1）投标人在</w:t>
            </w:r>
            <w:r>
              <w:rPr>
                <w:sz w:val="21"/>
              </w:rPr>
              <w:t>项目所在地</w:t>
            </w:r>
            <w:r>
              <w:rPr>
                <w:sz w:val="21"/>
              </w:rPr>
              <w:t>设有维修点</w:t>
            </w:r>
            <w:r>
              <w:rPr>
                <w:sz w:val="21"/>
              </w:rPr>
              <w:t>(提供维修点的租赁合同，投标人自有维修点的则提供维修点的产权证明文件)</w:t>
            </w:r>
            <w:r>
              <w:rPr>
                <w:sz w:val="21"/>
              </w:rPr>
              <w:t>或承诺中标后在项目所在地</w:t>
            </w:r>
            <w:r>
              <w:rPr>
                <w:sz w:val="21"/>
              </w:rPr>
              <w:t>设立维修点</w:t>
            </w:r>
            <w:r>
              <w:rPr>
                <w:sz w:val="21"/>
              </w:rPr>
              <w:t>（提供承诺函）</w:t>
            </w:r>
            <w:r>
              <w:rPr>
                <w:sz w:val="21"/>
              </w:rPr>
              <w:t>。</w:t>
            </w:r>
          </w:p>
          <w:p>
            <w:pPr>
              <w:ind w:firstLine="495"/>
              <w:jc w:val="both"/>
            </w:pPr>
            <w:r>
              <w:rPr>
                <w:sz w:val="21"/>
              </w:rPr>
              <w:t>▲（2）投标人须承诺常驻维修点有不少于3 名</w:t>
            </w:r>
            <w:r>
              <w:rPr>
                <w:sz w:val="21"/>
              </w:rPr>
              <w:t>直线加速器维护</w:t>
            </w:r>
            <w:r>
              <w:rPr>
                <w:sz w:val="21"/>
              </w:rPr>
              <w:t>工程师</w:t>
            </w:r>
            <w:r>
              <w:rPr>
                <w:sz w:val="21"/>
              </w:rPr>
              <w:t>（提供承诺函）</w:t>
            </w:r>
            <w:r>
              <w:rPr>
                <w:sz w:val="21"/>
              </w:rPr>
              <w:t>。</w:t>
            </w:r>
          </w:p>
          <w:p>
            <w:pPr>
              <w:ind w:firstLine="495"/>
              <w:jc w:val="both"/>
            </w:pPr>
            <w:r>
              <w:rPr>
                <w:sz w:val="21"/>
              </w:rPr>
              <w:t>注：</w:t>
            </w:r>
            <w:r>
              <w:rPr>
                <w:sz w:val="21"/>
              </w:rPr>
              <w:t>直线加速器维护</w:t>
            </w:r>
            <w:r>
              <w:rPr>
                <w:sz w:val="21"/>
              </w:rPr>
              <w:t>工程师需持有直线加速器原厂培训证书及</w:t>
            </w:r>
            <w:r>
              <w:rPr>
                <w:sz w:val="21"/>
              </w:rPr>
              <w:t>直线加速器</w:t>
            </w:r>
            <w:r>
              <w:rPr>
                <w:sz w:val="21"/>
              </w:rPr>
              <w:t>维修维护上岗资质证书（提供工程师培训证书及资质证书，以及</w:t>
            </w:r>
            <w:r>
              <w:rPr>
                <w:sz w:val="21"/>
              </w:rPr>
              <w:t>投标截止时间前</w:t>
            </w:r>
            <w:r>
              <w:rPr>
                <w:sz w:val="21"/>
              </w:rPr>
              <w:t>6个月内任意1个月的社保证明或单位用工证明或与单位签订的劳动合同或代缴个税证明</w:t>
            </w:r>
            <w:r>
              <w:rPr>
                <w:sz w:val="21"/>
              </w:rPr>
              <w:t>）。</w:t>
            </w:r>
          </w:p>
          <w:p>
            <w:pPr>
              <w:ind w:firstLine="495"/>
              <w:jc w:val="both"/>
            </w:pPr>
            <w:r>
              <w:rPr>
                <w:sz w:val="21"/>
              </w:rPr>
              <w:t>3、保养要求：</w:t>
            </w:r>
          </w:p>
          <w:p>
            <w:pPr>
              <w:ind w:firstLine="495"/>
              <w:jc w:val="both"/>
            </w:pPr>
            <w:r>
              <w:rPr>
                <w:sz w:val="21"/>
              </w:rPr>
              <w:t>（</w:t>
            </w:r>
            <w:r>
              <w:rPr>
                <w:sz w:val="21"/>
              </w:rPr>
              <w:t>1）对设备提供一年至少4次的定期维护与保养、调试与参数校正，定期更换易损耗件，按照保养计划更换损耗部件；并提供保养报告，详细记录设备保养内容及状况。</w:t>
            </w:r>
          </w:p>
          <w:p>
            <w:pPr>
              <w:ind w:firstLine="495"/>
              <w:jc w:val="both"/>
            </w:pPr>
            <w:r>
              <w:rPr>
                <w:sz w:val="21"/>
              </w:rPr>
              <w:t>（</w:t>
            </w:r>
            <w:r>
              <w:rPr>
                <w:sz w:val="21"/>
              </w:rPr>
              <w:t>2）按照国家标准进行调校，确认各项技术指标及性能达到国家标准。</w:t>
            </w:r>
          </w:p>
          <w:p>
            <w:pPr>
              <w:ind w:firstLine="495"/>
              <w:jc w:val="both"/>
            </w:pPr>
            <w:r>
              <w:rPr>
                <w:sz w:val="21"/>
              </w:rPr>
              <w:t>（</w:t>
            </w:r>
            <w:r>
              <w:rPr>
                <w:sz w:val="21"/>
              </w:rPr>
              <w:t>3）预防性保养中需更换的损耗品（如蒸馏水、SF6等）由中标供应商提供。</w:t>
            </w:r>
          </w:p>
          <w:p>
            <w:pPr>
              <w:ind w:firstLine="495"/>
              <w:jc w:val="both"/>
            </w:pPr>
            <w:r>
              <w:rPr>
                <w:sz w:val="21"/>
              </w:rPr>
              <w:t>4、响应时间：接到报修电话或信息后，工程师及配件2小时内要到达维修现场，每年人员及配件累积到达现场超时3次，扣除合同总金额2%。</w:t>
            </w:r>
          </w:p>
          <w:p>
            <w:pPr>
              <w:ind w:firstLine="495"/>
              <w:jc w:val="both"/>
            </w:pPr>
            <w:r>
              <w:rPr>
                <w:sz w:val="21"/>
              </w:rPr>
              <w:t>5、开机率：在合同期内保证95%的开机率（停机时间少于 5%）按一年 365 日计算。停机每超出一天，维修服务合同期限自动延长7天。</w:t>
            </w:r>
          </w:p>
          <w:p>
            <w:pPr>
              <w:ind w:firstLine="495"/>
              <w:jc w:val="both"/>
            </w:pPr>
            <w:r>
              <w:rPr>
                <w:sz w:val="21"/>
              </w:rPr>
              <w:t>▲6.提供故障远程诊断服务：投标人应当具有《医用加速器故障远程诊断系统》能够远程诊断故障原因，以便工程师能够随身携带故障维修所需的配件到达现场，减少等待配件时间，提高设备开机率</w:t>
            </w:r>
            <w:r>
              <w:rPr>
                <w:sz w:val="21"/>
              </w:rPr>
              <w:t>（提供软件证书材料复印件加盖公章）</w:t>
            </w:r>
            <w:r>
              <w:rPr>
                <w:sz w:val="21"/>
              </w:rPr>
              <w:t>。</w:t>
            </w:r>
          </w:p>
          <w:p>
            <w:pPr>
              <w:ind w:firstLine="495"/>
              <w:jc w:val="both"/>
            </w:pPr>
            <w:r>
              <w:rPr>
                <w:sz w:val="21"/>
              </w:rPr>
              <w:t>7、备件：服务期内包含不限次数的维修，零配件不限量供应；更换的零配件需为全新配件，备件供应要及时、充足。</w:t>
            </w:r>
          </w:p>
          <w:p>
            <w:pPr>
              <w:ind w:firstLine="495"/>
              <w:jc w:val="both"/>
            </w:pPr>
            <w:r>
              <w:rPr>
                <w:sz w:val="21"/>
              </w:rPr>
              <w:t>8、性能检测服务：中标人定期对项目内维保的设备进行质量跟踪，配合完成国家规定的直线加速器和大孔径CT模拟定位机的年度检测工作，保证加速器和大孔径CT模拟定位机的各项机械参数和剂量参数达到国家有关部门的年度性能检测要求。对于不达标的检测项目及时校准、校正，直至设备性能符合国家检测要求。</w:t>
            </w:r>
          </w:p>
          <w:p>
            <w:pPr>
              <w:ind w:firstLine="495"/>
              <w:jc w:val="both"/>
            </w:pPr>
            <w:r>
              <w:rPr>
                <w:sz w:val="21"/>
              </w:rPr>
              <w:t>9、服务须实现的目标：对项目内的设备进行专业的、系统的、全面的检测、维护、保养及故障维修服务，通过定期的维护，降低设备的故障率，延长机器的使用寿命，保证设备的正常运行，降低采购人的维修成本，保障医疗业务正常运作。</w:t>
            </w:r>
          </w:p>
          <w:p>
            <w:pPr>
              <w:ind w:firstLine="495"/>
              <w:jc w:val="both"/>
            </w:pPr>
            <w:r>
              <w:rPr>
                <w:sz w:val="21"/>
              </w:rPr>
              <w:t>▲10.专业维修软件：投标人应当具有《加速器故障诊断分析软件》能够快速准确的诊断分析出故障原因，保证维修质量，提高设备开机率（提供软件证书材料复印件加盖公章）。</w:t>
            </w:r>
          </w:p>
          <w:p>
            <w:pPr>
              <w:ind w:firstLine="495"/>
              <w:jc w:val="both"/>
            </w:pPr>
            <w:r>
              <w:rPr>
                <w:sz w:val="21"/>
              </w:rPr>
              <w:t>▲11.维修质量保障：投标人拟派本项目负责人应当持有医疗器械高级工程师职称和直线加速器设备厂家颁发的培训证书和大孔径CT设备厂家颁发的CT上岗资质证书，以便指导团队履行本项目（提供相关证书及</w:t>
            </w:r>
            <w:r>
              <w:rPr>
                <w:sz w:val="21"/>
              </w:rPr>
              <w:t>投标截止时间前</w:t>
            </w:r>
            <w:r>
              <w:rPr>
                <w:sz w:val="21"/>
              </w:rPr>
              <w:t>6个月内任意1个月的社保证明或单位用工证明或与单位签订的劳动合同或代缴个税证明</w:t>
            </w:r>
            <w:r>
              <w:rPr>
                <w:sz w:val="21"/>
              </w:rPr>
              <w:t>）。</w:t>
            </w:r>
          </w:p>
          <w:p>
            <w:pPr>
              <w:ind w:firstLine="495"/>
              <w:jc w:val="both"/>
            </w:pPr>
            <w:r>
              <w:rPr>
                <w:sz w:val="21"/>
              </w:rPr>
              <w:t>▲12、临床技术支持：投标人至少具有1名临床岗位技术工程师，能够为采购人临床技术员提供技术支持，（提供《临床工程师岗位技术培训证书》及</w:t>
            </w:r>
            <w:r>
              <w:rPr>
                <w:sz w:val="21"/>
              </w:rPr>
              <w:t>投标截止时间前</w:t>
            </w:r>
            <w:r>
              <w:rPr>
                <w:sz w:val="21"/>
              </w:rPr>
              <w:t>6个月内任意1个月的社保证明或单位用工证明或与单位签订的劳动合同或代缴个税证明</w:t>
            </w:r>
            <w:r>
              <w:rPr>
                <w:sz w:val="21"/>
              </w:rPr>
              <w:t>）。</w:t>
            </w:r>
          </w:p>
          <w:p>
            <w:pPr>
              <w:ind w:firstLine="495"/>
              <w:jc w:val="both"/>
            </w:pPr>
            <w:r>
              <w:rPr>
                <w:sz w:val="21"/>
              </w:rPr>
              <w:t>▲13、服务期内所产生的所有维修费用均包含在投标总价之中（提供承诺函加盖公章）。</w:t>
            </w:r>
          </w:p>
          <w:p>
            <w:pPr>
              <w:ind w:firstLine="210"/>
              <w:jc w:val="both"/>
            </w:pPr>
          </w:p>
          <w:p>
            <w:pPr>
              <w:jc w:val="both"/>
            </w:pPr>
          </w:p>
          <w:p>
            <w:pPr>
              <w:jc w:val="both"/>
            </w:pPr>
            <w:r>
              <w:rPr/>
              <w:t xml:space="preserve"> </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1.采购代理机构：本项目是指广州市国科招标代理有限公司，负责整个采购活动的组织，依法负责编制和发布招标文件，对招标文件拥有最终的解释权，不以任何身份出任评标委员会成员。</w:t>
      </w:r>
    </w:p>
    <w:p>
      <w:pPr>
        <w:ind w:firstLine="480"/>
      </w:pPr>
      <w:r>
        <w:rPr/>
        <w:t>2.采购人：本项目是指</w:t>
      </w:r>
      <w:r>
        <w:rPr/>
        <w:t>广州医科大学附属第五医院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r>
        <w:rPr/>
        <w:t>（温馨提示：采购人与代理机构在制定采购文件内容时应与上述条款保持一致，以避免采购文件内容前后不一致，出现歧义。）</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本项目的招标代理服务费收费标准以年采购预算金额为计算基数参照国家计委颁布的（计价格【2002】1980号）及国家发改委颁布的（发改办价格【2003】857号）收费标准进行计算收取三年服务费。招标代理服务费由中标供应商在领取《中标通知书》前一次性向采购代理机构交纳以下金额： ￥40,500.00元（大写：人民币肆万零伍佰元整）。</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采购包1：面向小微企业，采购包专门预留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广州市国科招标代理有限公司网（www.gzgkbidding.com）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广州市国科招标代理有限公司网（www.gzgkbidding.com）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吕永珊、伍梁敏</w:t>
      </w:r>
    </w:p>
    <w:p>
      <w:pPr>
        <w:ind w:firstLine="480"/>
      </w:pPr>
      <w:r>
        <w:rPr/>
        <w:t>电话：</w:t>
      </w:r>
      <w:r>
        <w:rPr/>
        <w:t>020-37814404、020-87687030</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话：020-38923575</w:t>
      </w:r>
    </w:p>
    <w:p>
      <w:r>
        <w:rPr/>
        <w:t>邮  编：510030</w:t>
      </w:r>
    </w:p>
    <w:p>
      <w:r>
        <w:rPr/>
        <w:t>传  真： /</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采购包1(直线加速器维保服务)：综合评分法,是指投标文件满足招标文件全部实质性要求，且按照评审因素的量化指标评审得分最高的投标人为中标候选人的评标方法。（最低报价不是中标的唯一依据。）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广州市国科招标代理有限公司</w:t>
      </w:r>
      <w:r>
        <w:rPr/>
        <w:t>统一对外发布。</w:t>
      </w:r>
    </w:p>
    <w:p>
      <w:pPr>
        <w:ind w:firstLine="480"/>
      </w:pPr>
      <w:r>
        <w:rPr/>
        <w:t>（2）对</w:t>
      </w:r>
      <w:r>
        <w:rPr/>
        <w:t>广州市国科招标代理有限公司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采购包1（直线加速器维保服务）：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采购包1（直线加速器维保服务）：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提供书面承诺声明函（格式自拟）或具有履行合同所必需的设备和专业技术能力的其他证明材料。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投标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投标。为本项目提供整体设计、规范编制或者项目管理、监理、检测等服务的供应商，不得再参与本项目投标。投标函相关承诺要求内容。</w:t>
            </w:r>
          </w:p>
        </w:tc>
      </w:tr>
      <w:tr>
        <w:tc>
          <w:tcPr>
            <w:tcW w:type="dxa" w:w="890"/>
          </w:tcPr>
          <w:p>
            <w:r>
              <w:rPr/>
              <w:t>8</w:t>
            </w:r>
          </w:p>
        </w:tc>
        <w:tc>
          <w:tcPr>
            <w:tcW w:type="dxa" w:w="3178"/>
          </w:tcPr>
          <w:p>
            <w:r>
              <w:rPr/>
              <w:t>特定资格要求（已获取本项目采购文件）</w:t>
            </w:r>
          </w:p>
        </w:tc>
        <w:tc>
          <w:tcPr>
            <w:tcW w:type="dxa" w:w="4238"/>
          </w:tcPr>
          <w:p>
            <w:r>
              <w:rPr/>
              <w:t>已获取本项目采购文件。</w:t>
            </w:r>
          </w:p>
        </w:tc>
      </w:tr>
      <w:tr>
        <w:tc>
          <w:tcPr>
            <w:tcW w:type="dxa" w:w="890"/>
          </w:tcPr>
          <w:p>
            <w:r>
              <w:rPr/>
              <w:t>9</w:t>
            </w:r>
          </w:p>
        </w:tc>
        <w:tc>
          <w:tcPr>
            <w:tcW w:type="dxa" w:w="3178"/>
          </w:tcPr>
          <w:p>
            <w:r>
              <w:rPr/>
              <w:t>本采购包专门面向中小企业采购</w:t>
            </w:r>
          </w:p>
        </w:tc>
        <w:tc>
          <w:tcPr>
            <w:tcW w:type="dxa" w:w="4238"/>
          </w:tcPr>
          <w:p>
            <w:r>
              <w:rPr/>
              <w:t>本项目属于专门面向小微企业采购的项目，全部服务的承接方应为小微企业或监狱企业或残疾人福利性单位【依据《中小企业声明函》或由省级以上监狱管理局、戒毒管理局(含新疆生产建设兵团)出具的承接方属于监狱企业的证明文件或承接方的《残疾人福利性单位声明函》】。  注：小微企业须符合本项目采购标的对应行业的政策划分标准，监狱企业、残疾人福利单位视同小型、微型企业。小微企业以投标人填写的《中小企业声明函》（见投标格式）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 本项目对应的中小企业划分标准所属行业为：其他未列明行业。</w:t>
            </w:r>
          </w:p>
        </w:tc>
      </w:tr>
    </w:tbl>
    <w:p/>
    <w:p>
      <w:pPr>
        <w:ind w:firstLine="480"/>
      </w:pPr>
      <w:r>
        <w:rPr/>
        <w:t>表二符合性审查表：</w:t>
      </w:r>
    </w:p>
    <w:p>
      <w:pPr>
        <w:ind w:firstLine="480"/>
      </w:pPr>
    </w:p>
    <w:p/>
    <w:p>
      <w:r>
        <w:rPr/>
        <w:t>采购包1（直线加速器维保服务）：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投标函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投标有效期</w:t>
            </w:r>
          </w:p>
        </w:tc>
        <w:tc>
          <w:tcPr>
            <w:tcW w:type="dxa" w:w="4238"/>
          </w:tcPr>
          <w:p>
            <w:r>
              <w:rPr/>
              <w:t>投标有效期：90天</w:t>
            </w:r>
          </w:p>
        </w:tc>
      </w:tr>
      <w:tr>
        <w:tc>
          <w:tcPr>
            <w:tcW w:type="dxa" w:w="890"/>
          </w:tcPr>
          <w:p>
            <w:r>
              <w:rPr/>
              <w:t>4</w:t>
            </w:r>
          </w:p>
        </w:tc>
        <w:tc>
          <w:tcPr>
            <w:tcW w:type="dxa" w:w="3178"/>
          </w:tcPr>
          <w:p>
            <w:r>
              <w:rPr/>
              <w:t>签署、盖章</w:t>
            </w:r>
          </w:p>
        </w:tc>
        <w:tc>
          <w:tcPr>
            <w:tcW w:type="dxa" w:w="4238"/>
          </w:tcPr>
          <w:p>
            <w:r>
              <w:rPr/>
              <w:t>投标文件按照项目采购文件规定要求签署、盖章</w:t>
            </w:r>
          </w:p>
        </w:tc>
      </w:tr>
      <w:tr>
        <w:tc>
          <w:tcPr>
            <w:tcW w:type="dxa" w:w="890"/>
          </w:tcPr>
          <w:p>
            <w:r>
              <w:rPr/>
              <w:t>5</w:t>
            </w:r>
          </w:p>
        </w:tc>
        <w:tc>
          <w:tcPr>
            <w:tcW w:type="dxa" w:w="3178"/>
          </w:tcPr>
          <w:p>
            <w:r>
              <w:rPr/>
              <w:t>投标报价</w:t>
            </w:r>
          </w:p>
        </w:tc>
        <w:tc>
          <w:tcPr>
            <w:tcW w:type="dxa" w:w="4238"/>
          </w:tcPr>
          <w:p>
            <w:r>
              <w:rPr/>
              <w:t>投标报价是固定价且未超过本项目采购预算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投标文件没有采购人不能接受的附加条件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采购包1(直线加速器维保服务):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技术部分70.0分</w:t>
            </w:r>
          </w:p>
          <w:p>
            <w:r>
              <w:rPr/>
              <w:t>综合信用分5.0分</w:t>
            </w:r>
          </w:p>
          <w:p>
            <w:r>
              <w:rPr/>
              <w:t>报价得分10.0分</w:t>
            </w:r>
          </w:p>
        </w:tc>
      </w:tr>
      <w:tr>
        <w:tc>
          <w:tcPr>
            <w:tcW w:type="dxa" w:w="922"/>
            <w:gridSpan w:val="2"/>
            <w:vMerge w:val="restart"/>
          </w:tcPr>
          <w:p>
            <w:pPr>
              <w:jc w:val="center"/>
            </w:pPr>
            <w:r>
              <w:rPr/>
              <w:t>技术部分</w:t>
            </w:r>
          </w:p>
        </w:tc>
        <w:tc>
          <w:tcPr>
            <w:tcW w:type="dxa" w:w="2307"/>
          </w:tcPr>
          <w:p>
            <w:pPr>
              <w:jc w:val="left"/>
            </w:pPr>
            <w:r>
              <w:rPr/>
              <w:t>带▲号重要服务指标的符合性 (32.0分)</w:t>
            </w:r>
          </w:p>
        </w:tc>
        <w:tc>
          <w:tcPr>
            <w:tcW w:type="dxa" w:w="5076"/>
          </w:tcPr>
          <w:p>
            <w:pPr>
              <w:jc w:val="left"/>
            </w:pPr>
            <w:r>
              <w:rPr/>
              <w:t>服务指标全部满足采购需求书中带▲号的重要服务指标，得32分；每出现一处带▲号的重要服务指标负偏离，扣4分，最低得0分（本项目共8个带▲号的重要服务指标）。 【注：采购需求中要求提供的相关证明材料的，必须按采购需求要求提供相关证明材料，如未按要求提供相关证明材料的，则视为“负偏离”】</w:t>
            </w:r>
          </w:p>
        </w:tc>
      </w:tr>
      <w:tr>
        <w:tc>
          <w:tcPr>
            <w:tcW w:type="dxa" w:w="922"/>
            <w:gridSpan w:val="2"/>
            <w:vMerge/>
          </w:tcPr>
          <w:p/>
        </w:tc>
        <w:tc>
          <w:tcPr>
            <w:tcW w:type="dxa" w:w="2307"/>
          </w:tcPr>
          <w:p>
            <w:pPr>
              <w:jc w:val="left"/>
            </w:pPr>
            <w:r>
              <w:rPr/>
              <w:t>一般服务指标的符合性 (8.0分)</w:t>
            </w:r>
          </w:p>
        </w:tc>
        <w:tc>
          <w:tcPr>
            <w:tcW w:type="dxa" w:w="5076"/>
          </w:tcPr>
          <w:p>
            <w:pPr>
              <w:jc w:val="left"/>
            </w:pPr>
            <w:r>
              <w:rPr/>
              <w:t>完全满足采购需求书中“二、保修服务的技术要求”不带▲号的一般服务指标，得8分；每出现一处不带▲号的一般技术参数负偏离，扣1分，最低得0分（本项目共8个一般技术参数）。 【注：采购需求中要求提供的相关证明材料的，必须按采购需求要求提供相关证明材料，如未按要求提供相关证明材料的，则视为“负偏离”】</w:t>
            </w:r>
          </w:p>
        </w:tc>
      </w:tr>
      <w:tr>
        <w:tc>
          <w:tcPr>
            <w:tcW w:type="dxa" w:w="922"/>
            <w:gridSpan w:val="2"/>
            <w:vMerge/>
          </w:tcPr>
          <w:p/>
        </w:tc>
        <w:tc>
          <w:tcPr>
            <w:tcW w:type="dxa" w:w="2307"/>
          </w:tcPr>
          <w:p>
            <w:pPr>
              <w:jc w:val="left"/>
            </w:pPr>
            <w:r>
              <w:rPr/>
              <w:t>维修保养方案 (10.0分)</w:t>
            </w:r>
            <w:r>
              <w:rPr/>
              <w:t>，（等次分值选择：</w:t>
            </w:r>
            <w:r>
              <w:rPr/>
              <w:t>0.0;</w:t>
            </w:r>
            <w:r>
              <w:rPr/>
              <w:t>2.0;</w:t>
            </w:r>
            <w:r>
              <w:rPr/>
              <w:t>6.0;</w:t>
            </w:r>
            <w:r>
              <w:rPr/>
              <w:t>10.0;</w:t>
            </w:r>
            <w:r>
              <w:rPr/>
              <w:t>）</w:t>
            </w:r>
          </w:p>
        </w:tc>
        <w:tc>
          <w:tcPr>
            <w:tcW w:type="dxa" w:w="5076"/>
          </w:tcPr>
          <w:p>
            <w:pPr>
              <w:jc w:val="left"/>
            </w:pPr>
            <w:r>
              <w:rPr/>
              <w:t>根据投标人所提供的维修保养方案，包括但不限于服务人员安排计划、组织制度、维护计划表、保养工作流程及应急处理流程进行综合评分： 1.维修保养方案完整合理，服务人员安排计划、组织制度、维护计划表、保养工作流程及应急处理流程可行性强，能有效保障本项目实施，有利于实现服务效果的，得10分；  2.维修保养方案基本完整，服务人员安排计划、组织制度、维护计划表、保养工作流程及应急处理流程可行性能基本保障本项目服务实施，基本满足服务效果的，得6分；  3.维修保养方案不太完整，服务人员安排计划、组织制度、维护计划表、保养工作流程及应急处理流程可行性不完善，无法保障本项目服务实施或无法达到服务效果的，得2分；  4.其他或未提供不得分。</w:t>
            </w:r>
          </w:p>
        </w:tc>
      </w:tr>
      <w:tr>
        <w:tc>
          <w:tcPr>
            <w:tcW w:type="dxa" w:w="922"/>
            <w:gridSpan w:val="2"/>
            <w:vMerge/>
          </w:tcPr>
          <w:p/>
        </w:tc>
        <w:tc>
          <w:tcPr>
            <w:tcW w:type="dxa" w:w="2307"/>
          </w:tcPr>
          <w:p>
            <w:pPr>
              <w:jc w:val="left"/>
            </w:pPr>
            <w:r>
              <w:rPr/>
              <w:t>质量保障方案 (10.0分)</w:t>
            </w:r>
            <w:r>
              <w:rPr/>
              <w:t>，（等次分值选择：</w:t>
            </w:r>
            <w:r>
              <w:rPr/>
              <w:t>0.0;</w:t>
            </w:r>
            <w:r>
              <w:rPr/>
              <w:t>2.0;</w:t>
            </w:r>
            <w:r>
              <w:rPr/>
              <w:t>6.0;</w:t>
            </w:r>
            <w:r>
              <w:rPr/>
              <w:t>10.0;</w:t>
            </w:r>
            <w:r>
              <w:rPr/>
              <w:t>）</w:t>
            </w:r>
          </w:p>
        </w:tc>
        <w:tc>
          <w:tcPr>
            <w:tcW w:type="dxa" w:w="5076"/>
          </w:tcPr>
          <w:p>
            <w:pPr>
              <w:jc w:val="left"/>
            </w:pPr>
            <w:r>
              <w:rPr/>
              <w:t>根据投标人提供的质量保障方案（包括但不限于：质量保障体系、满足本项目开机率要求的保障措施、技术支持措施）进行评审：  1.质量保障体系、满足本项目开机率要求的保障措施、技术支持措施等完整详细、表述清晰、切实可行，能有效保障本项目实施，有利于实现服务效果的，得10分；   2.质量保障体系、满足本项目开机率要求的保障措施、技术支持措施等基本完整、表述基本清晰、基本可行，能基本保障本项目服务实施，基本满足服务效果的，得6分；   3.质量保障体系、满足本项目开机率要求的保障措施、技术支持措施等不够完整或表述含糊或可行性差，无法保障本项目服务实施或无法达到服务效果的，得2分；   4.其他或不提供不得分。</w:t>
            </w:r>
          </w:p>
        </w:tc>
      </w:tr>
      <w:tr>
        <w:tc>
          <w:tcPr>
            <w:tcW w:type="dxa" w:w="922"/>
            <w:gridSpan w:val="2"/>
            <w:vMerge/>
          </w:tcPr>
          <w:p/>
        </w:tc>
        <w:tc>
          <w:tcPr>
            <w:tcW w:type="dxa" w:w="2307"/>
          </w:tcPr>
          <w:p>
            <w:pPr>
              <w:jc w:val="left"/>
            </w:pPr>
            <w:r>
              <w:rPr/>
              <w:t>服务工具、设施、材料、备品备件等是否配置充分 (10.0分)</w:t>
            </w:r>
            <w:r>
              <w:rPr/>
              <w:t>，（等次分值选择：</w:t>
            </w:r>
            <w:r>
              <w:rPr/>
              <w:t>0.0;</w:t>
            </w:r>
            <w:r>
              <w:rPr/>
              <w:t>2.0;</w:t>
            </w:r>
            <w:r>
              <w:rPr/>
              <w:t>6.0;</w:t>
            </w:r>
            <w:r>
              <w:rPr/>
              <w:t>10.0;</w:t>
            </w:r>
            <w:r>
              <w:rPr/>
              <w:t>）</w:t>
            </w:r>
          </w:p>
        </w:tc>
        <w:tc>
          <w:tcPr>
            <w:tcW w:type="dxa" w:w="5076"/>
          </w:tcPr>
          <w:p>
            <w:pPr>
              <w:jc w:val="left"/>
            </w:pPr>
            <w:r>
              <w:rPr/>
              <w:t>1.服务工具、设施、材料、备品备件等配置充分：具有零配件仓库或具备维修站或能优先运送零配件，零配件配置齐全充分，能有效保障本项目实施，有利于实现服务效果的，得10分；  2.服务工具、设施、材料、备品备件等配置基本完善：具有零配件仓库或具备维修站或能优先运送零配件，零配件配置能基本保障本项目服务实施，基本满足服务效果的，得6分；  3.服务工具、设施、材料、备品备件等配置紧缺：具有零配件仓库或具备维修站，但零配件配置紧缺，无法保障本项目服务实施或无法达到服务效果的，得2分；  4.其他或未提供不得分。  【注：提供服务工具、设施、材料、备品备件配置方案、零配件仓库、维修站等相关证明材料。】</w:t>
            </w:r>
          </w:p>
        </w:tc>
      </w:tr>
      <w:tr>
        <w:tc>
          <w:tcPr>
            <w:tcW w:type="dxa" w:w="922"/>
            <w:gridSpan w:val="2"/>
            <w:vMerge w:val="restart"/>
          </w:tcPr>
          <w:p>
            <w:pPr>
              <w:jc w:val="center"/>
            </w:pPr>
            <w:r>
              <w:rPr/>
              <w:t>商务部分</w:t>
            </w:r>
          </w:p>
        </w:tc>
        <w:tc>
          <w:tcPr>
            <w:tcW w:type="dxa" w:w="2307"/>
          </w:tcPr>
          <w:p>
            <w:pPr>
              <w:jc w:val="left"/>
            </w:pPr>
            <w:r>
              <w:rPr/>
              <w:t>同类业绩 (4.0分)</w:t>
            </w:r>
          </w:p>
        </w:tc>
        <w:tc>
          <w:tcPr>
            <w:tcW w:type="dxa" w:w="5076"/>
          </w:tcPr>
          <w:p>
            <w:pPr>
              <w:jc w:val="left"/>
            </w:pPr>
            <w:r>
              <w:rPr/>
              <w:t>每提供一份有效的同类业绩合同复印件加盖公章得1分，最高得4分，不提供不得分。 【有效业绩须满足以下条件：合同签订落款时间为2021年1月1日起，合同提供关键页面（含项目名称页、甲乙双方盖章签署页等）。】</w:t>
            </w:r>
          </w:p>
        </w:tc>
      </w:tr>
      <w:tr>
        <w:tc>
          <w:tcPr>
            <w:tcW w:type="dxa" w:w="922"/>
            <w:gridSpan w:val="2"/>
            <w:vMerge/>
          </w:tcPr>
          <w:p/>
        </w:tc>
        <w:tc>
          <w:tcPr>
            <w:tcW w:type="dxa" w:w="2307"/>
          </w:tcPr>
          <w:p>
            <w:pPr>
              <w:jc w:val="left"/>
            </w:pPr>
            <w:r>
              <w:rPr/>
              <w:t>用户评价 (4.0分)</w:t>
            </w:r>
          </w:p>
        </w:tc>
        <w:tc>
          <w:tcPr>
            <w:tcW w:type="dxa" w:w="5076"/>
          </w:tcPr>
          <w:p>
            <w:pPr>
              <w:jc w:val="left"/>
            </w:pPr>
            <w:r>
              <w:rPr/>
              <w:t>上述有效同类业绩获得客户的评价：每提供一份客户盖章证明的同类项目优秀评价证明（如按分值满分为100分，则95分（含）以上或按级别评定，评价为A/优的，或含有“满意/优秀/好评”的同等评价内容均认定为优秀）得1分，最高得4分。 【备注：须提供盖用户单位公章或部门职能章的客户或业主评价表。】</w:t>
            </w:r>
          </w:p>
        </w:tc>
      </w:tr>
      <w:tr>
        <w:tc>
          <w:tcPr>
            <w:tcW w:type="dxa" w:w="922"/>
            <w:gridSpan w:val="2"/>
            <w:vMerge/>
          </w:tcPr>
          <w:p/>
        </w:tc>
        <w:tc>
          <w:tcPr>
            <w:tcW w:type="dxa" w:w="2307"/>
          </w:tcPr>
          <w:p>
            <w:pPr>
              <w:jc w:val="left"/>
            </w:pPr>
            <w:r>
              <w:rPr/>
              <w:t>工程师配备（项目负责人、临床岗位技术工程师、直线加速器维护工程师除外） (7.0分)</w:t>
            </w:r>
          </w:p>
        </w:tc>
        <w:tc>
          <w:tcPr>
            <w:tcW w:type="dxa" w:w="5076"/>
          </w:tcPr>
          <w:p>
            <w:pPr>
              <w:jc w:val="left"/>
            </w:pPr>
            <w:r>
              <w:rPr/>
              <w:t>1.投标人指派具有培训资质的工程师人数≥7名，得7分；  2.投标人指派具有培训资质的工程师人数5-6名，得6分；  3.投标人指派具有培训资质的工程师人数3-4名，得4分；  4.投标人指派具有培训资质的工程师人数1-2名，得2分；  5.不按要求提供证明文件的不得分。  【 注：提供服务人员的①名单列表②培训资质文件复印件③投标截止时间前6个月内任意1个月的社保证明或单位用工证明或与单位签订的劳动合同或代缴个税证明。】</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满足招标文件要求且投标价格最低的投标报价为评标基准价。 投标报价得分=（评标基准价/投标报价）×价格分分值 评标过程中，不得去掉报价中的最高报价和最低报价。 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进行核实，未能在网站查询到供应商信用评价分的，以信用评价基准分（93.4分）计算）。供应商为联合体的，以牵头方信用评价分计算。）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211"/>
        <w:jc w:val="left"/>
      </w:pPr>
      <w:r>
        <w:rPr>
          <w:b/>
          <w:sz w:val="21"/>
        </w:rPr>
        <w:t>注：</w:t>
      </w:r>
    </w:p>
    <w:p>
      <w:pPr>
        <w:ind w:firstLine="211"/>
        <w:jc w:val="left"/>
      </w:pPr>
      <w:r>
        <w:rPr>
          <w:b/>
          <w:sz w:val="21"/>
        </w:rPr>
        <w:t>1、合同具体事项须根据采购文件的约定及乙方投标文件的承诺执行；</w:t>
      </w:r>
    </w:p>
    <w:p>
      <w:pPr>
        <w:ind w:firstLine="211"/>
        <w:jc w:val="left"/>
      </w:pPr>
      <w:r>
        <w:rPr>
          <w:b/>
          <w:sz w:val="21"/>
        </w:rPr>
        <w:t>2、</w:t>
      </w:r>
      <w:r>
        <w:rPr>
          <w:b/>
          <w:sz w:val="21"/>
        </w:rPr>
        <w:t>本项目合同为小微企业预留合同。</w:t>
      </w:r>
    </w:p>
    <w:p>
      <w:pPr>
        <w:ind w:firstLine="211"/>
        <w:jc w:val="left"/>
      </w:pPr>
    </w:p>
    <w:p/>
    <w:p/>
    <w:p>
      <w:r>
        <w:rPr/>
        <w:t xml:space="preserve"> </w:t>
      </w:r>
    </w:p>
    <w:p>
      <w:pPr>
        <w:ind w:firstLine="281"/>
        <w:jc w:val="center"/>
      </w:pPr>
      <w:r>
        <w:rPr>
          <w:b/>
          <w:sz w:val="28"/>
        </w:rPr>
        <w:t>政府采购合同</w:t>
      </w:r>
    </w:p>
    <w:p>
      <w:pPr>
        <w:ind w:firstLine="281"/>
        <w:jc w:val="center"/>
      </w:pPr>
      <w:r>
        <w:rPr/>
        <w:t xml:space="preserve"> </w:t>
      </w:r>
    </w:p>
    <w:p>
      <w:pPr>
        <w:ind w:firstLine="281"/>
        <w:jc w:val="center"/>
      </w:pPr>
      <w:r>
        <w:rPr/>
        <w:t xml:space="preserve"> </w:t>
      </w:r>
    </w:p>
    <w:p>
      <w:pPr>
        <w:ind w:firstLine="210"/>
        <w:jc w:val="center"/>
      </w:pPr>
    </w:p>
    <w:p>
      <w:pPr>
        <w:ind w:firstLine="210"/>
        <w:jc w:val="both"/>
      </w:pPr>
      <w:r>
        <w:rPr>
          <w:sz w:val="21"/>
        </w:rPr>
        <w:t>甲</w:t>
      </w:r>
      <w:r>
        <w:rPr>
          <w:sz w:val="21"/>
        </w:rPr>
        <w:t xml:space="preserve">    </w:t>
      </w:r>
      <w:r>
        <w:rPr>
          <w:sz w:val="21"/>
        </w:rPr>
        <w:t>方：广州医科大学附属第</w:t>
      </w:r>
      <w:r>
        <w:rPr>
          <w:sz w:val="21"/>
        </w:rPr>
        <w:t>五</w:t>
      </w:r>
      <w:r>
        <w:rPr>
          <w:sz w:val="21"/>
        </w:rPr>
        <w:t>医院</w:t>
      </w:r>
    </w:p>
    <w:p>
      <w:pPr>
        <w:ind w:firstLine="210"/>
        <w:jc w:val="both"/>
      </w:pPr>
      <w:r>
        <w:rPr>
          <w:sz w:val="21"/>
        </w:rPr>
        <w:t>电</w:t>
      </w:r>
      <w:r>
        <w:rPr>
          <w:sz w:val="21"/>
        </w:rPr>
        <w:t xml:space="preserve">    </w:t>
      </w:r>
      <w:r>
        <w:rPr>
          <w:sz w:val="21"/>
        </w:rPr>
        <w:t>话：</w:t>
      </w:r>
      <w:r>
        <w:rPr>
          <w:sz w:val="21"/>
        </w:rPr>
        <w:t>020-</w:t>
      </w:r>
      <w:r>
        <w:rPr>
          <w:sz w:val="21"/>
        </w:rPr>
        <w:t>36250234</w:t>
      </w:r>
      <w:r>
        <w:rPr>
          <w:sz w:val="21"/>
        </w:rPr>
        <w:t xml:space="preserve">           </w:t>
      </w:r>
      <w:r>
        <w:rPr>
          <w:sz w:val="21"/>
        </w:rPr>
        <w:t xml:space="preserve">   </w:t>
      </w:r>
      <w:r>
        <w:rPr>
          <w:sz w:val="21"/>
        </w:rPr>
        <w:t>地</w:t>
      </w:r>
      <w:r>
        <w:rPr>
          <w:sz w:val="21"/>
        </w:rPr>
        <w:t xml:space="preserve">  </w:t>
      </w:r>
      <w:r>
        <w:rPr>
          <w:sz w:val="21"/>
        </w:rPr>
        <w:t>址：广州黄埔区港湾路</w:t>
      </w:r>
      <w:r>
        <w:rPr>
          <w:sz w:val="21"/>
        </w:rPr>
        <w:t>621</w:t>
      </w:r>
      <w:r>
        <w:rPr>
          <w:sz w:val="21"/>
        </w:rPr>
        <w:t>号</w:t>
      </w:r>
    </w:p>
    <w:p>
      <w:pPr>
        <w:ind w:firstLine="210"/>
        <w:jc w:val="both"/>
      </w:pPr>
      <w:r>
        <w:rPr>
          <w:sz w:val="21"/>
        </w:rPr>
        <w:t>乙</w:t>
      </w:r>
      <w:r>
        <w:rPr>
          <w:sz w:val="21"/>
        </w:rPr>
        <w:t xml:space="preserve">    </w:t>
      </w:r>
      <w:r>
        <w:rPr>
          <w:sz w:val="21"/>
        </w:rPr>
        <w:t>方：</w:t>
      </w:r>
    </w:p>
    <w:p>
      <w:pPr>
        <w:jc w:val="both"/>
      </w:pPr>
      <w:r>
        <w:rPr>
          <w:sz w:val="21"/>
        </w:rPr>
        <w:t>电</w:t>
      </w:r>
      <w:r>
        <w:rPr>
          <w:sz w:val="21"/>
        </w:rPr>
        <w:t xml:space="preserve">    </w:t>
      </w:r>
      <w:r>
        <w:rPr>
          <w:sz w:val="21"/>
        </w:rPr>
        <w:t>话：</w:t>
      </w:r>
      <w:r>
        <w:rPr>
          <w:sz w:val="21"/>
        </w:rPr>
        <w:t xml:space="preserve">                         </w:t>
      </w:r>
      <w:r>
        <w:rPr>
          <w:sz w:val="21"/>
        </w:rPr>
        <w:t>地</w:t>
      </w:r>
      <w:r>
        <w:rPr>
          <w:sz w:val="21"/>
        </w:rPr>
        <w:t xml:space="preserve">  </w:t>
      </w:r>
      <w:r>
        <w:rPr>
          <w:sz w:val="21"/>
        </w:rPr>
        <w:t>址：</w:t>
      </w:r>
    </w:p>
    <w:p>
      <w:pPr>
        <w:jc w:val="both"/>
      </w:pPr>
      <w:r>
        <w:rPr>
          <w:sz w:val="21"/>
        </w:rPr>
        <w:t>联</w:t>
      </w:r>
      <w:r>
        <w:rPr>
          <w:sz w:val="21"/>
        </w:rPr>
        <w:t>系</w:t>
      </w:r>
      <w:r>
        <w:rPr>
          <w:sz w:val="21"/>
        </w:rPr>
        <w:t>人：</w:t>
      </w:r>
    </w:p>
    <w:p>
      <w:pPr>
        <w:jc w:val="both"/>
      </w:pPr>
    </w:p>
    <w:p>
      <w:pPr>
        <w:ind w:firstLine="420"/>
        <w:jc w:val="both"/>
      </w:pPr>
      <w:r>
        <w:rPr>
          <w:sz w:val="21"/>
        </w:rPr>
        <w:t>根据</w:t>
      </w:r>
      <w:r>
        <w:rPr>
          <w:sz w:val="21"/>
          <w:u w:val="single"/>
        </w:rPr>
        <w:t>广州医科大学附属第五医院直线加速器维保服务项目</w:t>
      </w:r>
      <w:r>
        <w:rPr>
          <w:sz w:val="21"/>
        </w:rPr>
        <w:t>招标文件（项目编号：</w:t>
      </w:r>
      <w:r>
        <w:rPr>
          <w:sz w:val="21"/>
        </w:rPr>
        <w:t>GZGK24D064C0124Z）</w:t>
      </w:r>
      <w:r>
        <w:rPr>
          <w:sz w:val="21"/>
        </w:rPr>
        <w:t>的招标结果，</w:t>
      </w:r>
      <w:r>
        <w:rPr>
          <w:sz w:val="21"/>
        </w:rPr>
        <w:t>按照《中华人民共和国政府采购法》、《中华人民共和国民法典》（合同编）的相关规定，</w:t>
      </w:r>
      <w:r>
        <w:rPr>
          <w:sz w:val="21"/>
        </w:rPr>
        <w:t>经双方协商，甲方向乙方订购以下服务，为明确双方</w:t>
      </w:r>
      <w:r>
        <w:rPr>
          <w:sz w:val="21"/>
        </w:rPr>
        <w:t>权利和义务</w:t>
      </w:r>
      <w:r>
        <w:rPr>
          <w:sz w:val="21"/>
        </w:rPr>
        <w:t>，特签订本合同，共同遵守。具体条款如下：</w:t>
      </w:r>
    </w:p>
    <w:p>
      <w:pPr>
        <w:ind w:firstLine="211"/>
        <w:jc w:val="both"/>
      </w:pPr>
      <w:r>
        <w:rPr>
          <w:b/>
          <w:sz w:val="21"/>
        </w:rPr>
        <w:t>一、需要乙方维保的</w:t>
      </w:r>
      <w:r>
        <w:rPr>
          <w:b/>
          <w:sz w:val="21"/>
        </w:rPr>
        <w:t>设备</w:t>
      </w:r>
      <w:r>
        <w:rPr>
          <w:b/>
          <w:sz w:val="21"/>
        </w:rPr>
        <w:t>情况、</w:t>
      </w:r>
      <w:r>
        <w:rPr>
          <w:b/>
          <w:sz w:val="21"/>
        </w:rPr>
        <w:t>合同期限</w:t>
      </w:r>
      <w:r>
        <w:rPr>
          <w:b/>
          <w:sz w:val="21"/>
        </w:rPr>
        <w:t>及合同金额</w:t>
      </w:r>
      <w:r>
        <w:rPr>
          <w:b/>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628"/>
        <w:gridCol w:w="2118"/>
        <w:gridCol w:w="1458"/>
        <w:gridCol w:w="1057"/>
        <w:gridCol w:w="1456"/>
        <w:gridCol w:w="1589"/>
      </w:tblGrid>
      <w:tr>
        <w:tc>
          <w:tcPr>
            <w:tcW w:type="dxa" w:w="628"/>
            <w:tcBorders>
              <w:top w:val="single" w:color="000000" w:sz="4"/>
              <w:left w:val="single" w:color="000000" w:sz="4"/>
              <w:bottom w:val="single" w:color="000000" w:sz="4"/>
              <w:right w:val="single" w:color="000000" w:sz="4"/>
            </w:tcBorders>
            <w:vAlign w:val="top"/>
          </w:tcPr>
          <w:p>
            <w:pPr>
              <w:ind w:firstLine="210"/>
              <w:jc w:val="center"/>
            </w:pPr>
            <w:r>
              <w:rPr>
                <w:sz w:val="21"/>
              </w:rPr>
              <w:t>序号</w:t>
            </w:r>
          </w:p>
        </w:tc>
        <w:tc>
          <w:tcPr>
            <w:tcW w:type="dxa" w:w="2118"/>
            <w:tcBorders>
              <w:top w:val="single" w:color="000000" w:sz="4"/>
              <w:left w:val="single" w:color="000000" w:sz="4"/>
              <w:bottom w:val="single" w:color="000000" w:sz="4"/>
              <w:right w:val="single" w:color="000000" w:sz="4"/>
            </w:tcBorders>
            <w:vAlign w:val="top"/>
          </w:tcPr>
          <w:p>
            <w:pPr>
              <w:ind w:firstLine="210"/>
              <w:jc w:val="center"/>
            </w:pPr>
            <w:r>
              <w:rPr>
                <w:sz w:val="21"/>
              </w:rPr>
              <w:t>维保设备名称</w:t>
            </w:r>
          </w:p>
        </w:tc>
        <w:tc>
          <w:tcPr>
            <w:tcW w:type="dxa" w:w="1458"/>
            <w:tcBorders>
              <w:top w:val="single" w:color="000000" w:sz="4"/>
              <w:left w:val="single" w:color="000000" w:sz="4"/>
              <w:bottom w:val="single" w:color="000000" w:sz="4"/>
              <w:right w:val="single" w:color="000000" w:sz="4"/>
            </w:tcBorders>
            <w:vAlign w:val="top"/>
          </w:tcPr>
          <w:p>
            <w:pPr>
              <w:ind w:firstLine="210"/>
              <w:jc w:val="center"/>
            </w:pPr>
            <w:r>
              <w:rPr>
                <w:sz w:val="21"/>
              </w:rPr>
              <w:t>型号</w:t>
            </w:r>
          </w:p>
        </w:tc>
        <w:tc>
          <w:tcPr>
            <w:tcW w:type="dxa" w:w="1057"/>
            <w:tcBorders>
              <w:top w:val="single" w:color="000000" w:sz="4"/>
              <w:left w:val="single" w:color="000000" w:sz="4"/>
              <w:bottom w:val="single" w:color="000000" w:sz="4"/>
              <w:right w:val="single" w:color="000000" w:sz="4"/>
            </w:tcBorders>
            <w:vAlign w:val="top"/>
          </w:tcPr>
          <w:p>
            <w:pPr>
              <w:ind w:firstLine="210"/>
              <w:jc w:val="center"/>
            </w:pPr>
            <w:r>
              <w:rPr>
                <w:sz w:val="21"/>
              </w:rPr>
              <w:t>序列号</w:t>
            </w:r>
          </w:p>
        </w:tc>
        <w:tc>
          <w:tcPr>
            <w:tcW w:type="dxa" w:w="1456"/>
            <w:tcBorders>
              <w:top w:val="single" w:color="000000" w:sz="4"/>
              <w:left w:val="single" w:color="000000" w:sz="4"/>
              <w:bottom w:val="single" w:color="000000" w:sz="4"/>
              <w:right w:val="single" w:color="000000" w:sz="4"/>
            </w:tcBorders>
            <w:vAlign w:val="top"/>
          </w:tcPr>
          <w:p>
            <w:pPr>
              <w:ind w:firstLine="210"/>
              <w:jc w:val="center"/>
            </w:pPr>
            <w:r>
              <w:rPr>
                <w:sz w:val="21"/>
              </w:rPr>
              <w:t>合同期限</w:t>
            </w:r>
          </w:p>
        </w:tc>
        <w:tc>
          <w:tcPr>
            <w:tcW w:type="dxa" w:w="1589"/>
            <w:tcBorders>
              <w:top w:val="single" w:color="000000" w:sz="4"/>
              <w:left w:val="single" w:color="000000" w:sz="4"/>
              <w:bottom w:val="single" w:color="000000" w:sz="4"/>
              <w:right w:val="single" w:color="000000" w:sz="4"/>
            </w:tcBorders>
            <w:vAlign w:val="top"/>
          </w:tcPr>
          <w:p>
            <w:pPr>
              <w:ind w:firstLine="210"/>
              <w:jc w:val="center"/>
            </w:pPr>
            <w:r>
              <w:rPr>
                <w:sz w:val="21"/>
              </w:rPr>
              <w:t>单价</w:t>
            </w:r>
            <w:r>
              <w:rPr>
                <w:sz w:val="21"/>
              </w:rPr>
              <w:t>/年（元）</w:t>
            </w:r>
          </w:p>
        </w:tc>
      </w:tr>
      <w:tr>
        <w:tc>
          <w:tcPr>
            <w:tcW w:type="dxa" w:w="628"/>
            <w:tcBorders>
              <w:top w:val="none" w:color="000000" w:sz="4"/>
              <w:left w:val="single" w:color="000000" w:sz="4"/>
              <w:bottom w:val="single" w:color="000000" w:sz="4"/>
              <w:right w:val="single" w:color="000000" w:sz="4"/>
            </w:tcBorders>
            <w:vAlign w:val="top"/>
          </w:tcPr>
          <w:p>
            <w:pPr>
              <w:ind w:firstLine="210"/>
              <w:jc w:val="center"/>
            </w:pPr>
            <w:r>
              <w:rPr>
                <w:sz w:val="21"/>
              </w:rPr>
              <w:t>1</w:t>
            </w:r>
          </w:p>
        </w:tc>
        <w:tc>
          <w:tcPr>
            <w:tcW w:type="dxa" w:w="2118"/>
            <w:tcBorders>
              <w:top w:val="none" w:color="000000" w:sz="4"/>
              <w:left w:val="single" w:color="000000" w:sz="4"/>
              <w:bottom w:val="single" w:color="000000" w:sz="4"/>
              <w:right w:val="single" w:color="000000" w:sz="4"/>
            </w:tcBorders>
            <w:vAlign w:val="top"/>
          </w:tcPr>
          <w:p>
            <w:pPr>
              <w:ind w:firstLine="210"/>
              <w:jc w:val="center"/>
            </w:pPr>
          </w:p>
        </w:tc>
        <w:tc>
          <w:tcPr>
            <w:tcW w:type="dxa" w:w="1458"/>
            <w:tcBorders>
              <w:top w:val="none" w:color="000000" w:sz="4"/>
              <w:left w:val="single" w:color="000000" w:sz="4"/>
              <w:bottom w:val="single" w:color="000000" w:sz="4"/>
              <w:right w:val="single" w:color="000000" w:sz="4"/>
            </w:tcBorders>
            <w:vAlign w:val="top"/>
          </w:tcPr>
          <w:p>
            <w:pPr>
              <w:ind w:firstLine="210"/>
              <w:jc w:val="center"/>
            </w:pPr>
          </w:p>
        </w:tc>
        <w:tc>
          <w:tcPr>
            <w:tcW w:type="dxa" w:w="1057"/>
            <w:tcBorders>
              <w:top w:val="none" w:color="000000" w:sz="4"/>
              <w:left w:val="single" w:color="000000" w:sz="4"/>
              <w:bottom w:val="single" w:color="000000" w:sz="4"/>
              <w:right w:val="single" w:color="000000" w:sz="4"/>
            </w:tcBorders>
            <w:vAlign w:val="top"/>
          </w:tcPr>
          <w:p>
            <w:pPr>
              <w:ind w:firstLine="210"/>
              <w:jc w:val="center"/>
            </w:pPr>
          </w:p>
        </w:tc>
        <w:tc>
          <w:tcPr>
            <w:tcW w:type="dxa" w:w="1456"/>
            <w:tcBorders>
              <w:top w:val="none" w:color="000000" w:sz="4"/>
              <w:left w:val="single" w:color="000000" w:sz="4"/>
              <w:bottom w:val="single" w:color="000000" w:sz="4"/>
              <w:right w:val="single" w:color="000000" w:sz="4"/>
            </w:tcBorders>
            <w:vAlign w:val="top"/>
          </w:tcPr>
          <w:p>
            <w:pPr>
              <w:ind w:firstLine="210"/>
              <w:jc w:val="center"/>
            </w:pPr>
          </w:p>
        </w:tc>
        <w:tc>
          <w:tcPr>
            <w:tcW w:type="dxa" w:w="1589"/>
            <w:tcBorders>
              <w:top w:val="none" w:color="000000" w:sz="4"/>
              <w:left w:val="single" w:color="000000" w:sz="4"/>
              <w:bottom w:val="single" w:color="000000" w:sz="4"/>
              <w:right w:val="single" w:color="000000" w:sz="4"/>
            </w:tcBorders>
            <w:vAlign w:val="top"/>
          </w:tcPr>
          <w:p>
            <w:pPr>
              <w:ind w:firstLine="210"/>
              <w:jc w:val="center"/>
            </w:pPr>
          </w:p>
        </w:tc>
      </w:tr>
      <w:tr>
        <w:tc>
          <w:tcPr>
            <w:tcW w:type="dxa" w:w="628"/>
            <w:tcBorders>
              <w:top w:val="none" w:color="000000" w:sz="4"/>
              <w:left w:val="single" w:color="000000" w:sz="4"/>
              <w:bottom w:val="single" w:color="000000" w:sz="4"/>
              <w:right w:val="single" w:color="000000" w:sz="4"/>
            </w:tcBorders>
            <w:vAlign w:val="top"/>
          </w:tcPr>
          <w:p>
            <w:pPr>
              <w:ind w:firstLine="210"/>
              <w:jc w:val="center"/>
            </w:pPr>
            <w:r>
              <w:rPr>
                <w:sz w:val="21"/>
              </w:rPr>
              <w:t>2</w:t>
            </w:r>
          </w:p>
        </w:tc>
        <w:tc>
          <w:tcPr>
            <w:tcW w:type="dxa" w:w="2118"/>
            <w:tcBorders>
              <w:top w:val="none" w:color="000000" w:sz="4"/>
              <w:left w:val="single" w:color="000000" w:sz="4"/>
              <w:bottom w:val="single" w:color="000000" w:sz="4"/>
              <w:right w:val="single" w:color="000000" w:sz="4"/>
            </w:tcBorders>
            <w:vAlign w:val="top"/>
          </w:tcPr>
          <w:p>
            <w:pPr>
              <w:ind w:firstLine="210"/>
              <w:jc w:val="center"/>
            </w:pPr>
          </w:p>
        </w:tc>
        <w:tc>
          <w:tcPr>
            <w:tcW w:type="dxa" w:w="1458"/>
            <w:tcBorders>
              <w:top w:val="none" w:color="000000" w:sz="4"/>
              <w:left w:val="single" w:color="000000" w:sz="4"/>
              <w:bottom w:val="single" w:color="000000" w:sz="4"/>
              <w:right w:val="single" w:color="000000" w:sz="4"/>
            </w:tcBorders>
            <w:vAlign w:val="top"/>
          </w:tcPr>
          <w:p>
            <w:pPr>
              <w:ind w:firstLine="210"/>
              <w:jc w:val="center"/>
            </w:pPr>
          </w:p>
        </w:tc>
        <w:tc>
          <w:tcPr>
            <w:tcW w:type="dxa" w:w="1057"/>
            <w:tcBorders>
              <w:top w:val="none" w:color="000000" w:sz="4"/>
              <w:left w:val="single" w:color="000000" w:sz="4"/>
              <w:bottom w:val="single" w:color="000000" w:sz="4"/>
              <w:right w:val="single" w:color="000000" w:sz="4"/>
            </w:tcBorders>
            <w:vAlign w:val="top"/>
          </w:tcPr>
          <w:p>
            <w:pPr>
              <w:ind w:firstLine="210"/>
              <w:jc w:val="center"/>
            </w:pPr>
          </w:p>
        </w:tc>
        <w:tc>
          <w:tcPr>
            <w:tcW w:type="dxa" w:w="1456"/>
            <w:tcBorders>
              <w:top w:val="none" w:color="000000" w:sz="4"/>
              <w:left w:val="single" w:color="000000" w:sz="4"/>
              <w:bottom w:val="single" w:color="000000" w:sz="4"/>
              <w:right w:val="single" w:color="000000" w:sz="4"/>
            </w:tcBorders>
            <w:vAlign w:val="top"/>
          </w:tcPr>
          <w:p>
            <w:pPr>
              <w:ind w:firstLine="210"/>
              <w:jc w:val="center"/>
            </w:pPr>
          </w:p>
        </w:tc>
        <w:tc>
          <w:tcPr>
            <w:tcW w:type="dxa" w:w="1589"/>
            <w:tcBorders>
              <w:top w:val="none" w:color="000000" w:sz="4"/>
              <w:left w:val="single" w:color="000000" w:sz="4"/>
              <w:bottom w:val="single" w:color="000000" w:sz="4"/>
              <w:right w:val="single" w:color="000000" w:sz="4"/>
            </w:tcBorders>
            <w:vAlign w:val="top"/>
          </w:tcPr>
          <w:p>
            <w:pPr>
              <w:ind w:firstLine="210"/>
              <w:jc w:val="center"/>
            </w:pPr>
          </w:p>
        </w:tc>
      </w:tr>
      <w:tr>
        <w:tc>
          <w:tcPr>
            <w:tcW w:type="dxa" w:w="8306"/>
            <w:gridSpan w:val="6"/>
            <w:tcBorders>
              <w:top w:val="none" w:color="000000" w:sz="4"/>
              <w:left w:val="single" w:color="000000" w:sz="4"/>
              <w:bottom w:val="single" w:color="000000" w:sz="4"/>
              <w:right w:val="single" w:color="000000" w:sz="4"/>
            </w:tcBorders>
            <w:vAlign w:val="top"/>
          </w:tcPr>
          <w:p>
            <w:pPr>
              <w:ind w:firstLine="210"/>
              <w:jc w:val="center"/>
            </w:pPr>
            <w:r>
              <w:rPr>
                <w:sz w:val="21"/>
              </w:rPr>
              <w:t>年合计（大写）：</w:t>
            </w:r>
            <w:r>
              <w:rPr>
                <w:sz w:val="21"/>
                <w:u w:val="single"/>
              </w:rPr>
              <w:t>人民币</w:t>
            </w:r>
            <w:r>
              <w:rPr>
                <w:sz w:val="21"/>
                <w:u w:val="single"/>
              </w:rPr>
              <w:t xml:space="preserve">               </w:t>
            </w:r>
            <w:r>
              <w:rPr>
                <w:sz w:val="21"/>
                <w:u w:val="single"/>
              </w:rPr>
              <w:t>元整（</w:t>
            </w:r>
            <w:r>
              <w:rPr>
                <w:sz w:val="21"/>
                <w:u w:val="single"/>
              </w:rPr>
              <w:t>¥ 0.00）</w:t>
            </w:r>
          </w:p>
        </w:tc>
      </w:tr>
    </w:tbl>
    <w:p>
      <w:pPr>
        <w:ind w:firstLine="210"/>
        <w:jc w:val="both"/>
      </w:pPr>
      <w:r>
        <w:rPr>
          <w:sz w:val="21"/>
        </w:rPr>
        <w:t>乙方的服务仅涉及以上列明的设备（以下简称</w:t>
      </w:r>
      <w:r>
        <w:rPr>
          <w:sz w:val="21"/>
        </w:rPr>
        <w:t>“</w:t>
      </w:r>
      <w:r>
        <w:rPr>
          <w:sz w:val="21"/>
        </w:rPr>
        <w:t>设备</w:t>
      </w:r>
      <w:r>
        <w:rPr>
          <w:sz w:val="21"/>
        </w:rPr>
        <w:t>”</w:t>
      </w:r>
      <w:r>
        <w:rPr>
          <w:sz w:val="21"/>
        </w:rPr>
        <w:t>）。</w:t>
      </w:r>
    </w:p>
    <w:p>
      <w:pPr>
        <w:ind w:firstLine="211"/>
        <w:jc w:val="both"/>
      </w:pPr>
      <w:r>
        <w:rPr>
          <w:b/>
          <w:sz w:val="21"/>
        </w:rPr>
        <w:t>二、</w:t>
      </w:r>
      <w:r>
        <w:rPr>
          <w:b/>
          <w:sz w:val="21"/>
        </w:rPr>
        <w:t>服务类别</w:t>
      </w:r>
      <w:r>
        <w:rPr>
          <w:b/>
          <w:sz w:val="21"/>
        </w:rPr>
        <w:t>:</w:t>
      </w:r>
    </w:p>
    <w:p>
      <w:pPr>
        <w:ind w:firstLine="210"/>
        <w:jc w:val="both"/>
      </w:pPr>
      <w:r>
        <w:rPr>
          <w:sz w:val="21"/>
        </w:rPr>
        <w:t>乙方提供的合同服务类别为：</w:t>
      </w:r>
    </w:p>
    <w:p>
      <w:pPr>
        <w:ind w:firstLine="210"/>
        <w:jc w:val="both"/>
      </w:pPr>
      <w:r>
        <w:rPr>
          <w:sz w:val="21"/>
        </w:rPr>
        <w:t>a） 响应时间：</w:t>
      </w:r>
    </w:p>
    <w:p>
      <w:pPr>
        <w:ind w:firstLine="210"/>
        <w:jc w:val="both"/>
      </w:pPr>
      <w:r>
        <w:rPr>
          <w:sz w:val="21"/>
        </w:rPr>
        <w:t>b） 服务时间:</w:t>
      </w:r>
    </w:p>
    <w:p>
      <w:pPr>
        <w:ind w:firstLine="211"/>
        <w:jc w:val="both"/>
      </w:pPr>
      <w:r>
        <w:rPr>
          <w:b/>
          <w:sz w:val="21"/>
        </w:rPr>
        <w:t>三、</w:t>
      </w:r>
      <w:r>
        <w:rPr>
          <w:b/>
          <w:sz w:val="21"/>
        </w:rPr>
        <w:t>付款条件：</w:t>
      </w:r>
    </w:p>
    <w:p>
      <w:pPr>
        <w:jc w:val="both"/>
      </w:pPr>
      <w:r>
        <w:rPr>
          <w:sz w:val="21"/>
        </w:rPr>
        <w:t>1</w:t>
      </w:r>
      <w:r>
        <w:rPr>
          <w:sz w:val="21"/>
        </w:rPr>
        <w:t>、服务费用采取含税总价包干的形式：包括人工费、零配件费、税金等全部所有一切费用，合同期内维保价格不变。</w:t>
      </w:r>
      <w:r>
        <w:rPr/>
        <w:t xml:space="preserve"> </w:t>
      </w:r>
    </w:p>
    <w:p>
      <w:pPr>
        <w:jc w:val="both"/>
      </w:pPr>
      <w:r>
        <w:rPr>
          <w:sz w:val="21"/>
        </w:rPr>
        <w:t>2</w:t>
      </w:r>
      <w:r>
        <w:rPr>
          <w:sz w:val="21"/>
        </w:rPr>
        <w:t>、付款方式：按年支付，每年支付两次，每半年一次。甲方在收到乙方提供的等额正式发票后</w:t>
      </w:r>
      <w:r>
        <w:rPr>
          <w:sz w:val="21"/>
        </w:rPr>
        <w:t>5个工作日内支付年度合同金额的50%，之后每半年支付一次。</w:t>
      </w:r>
    </w:p>
    <w:p>
      <w:pPr>
        <w:ind w:firstLine="211"/>
        <w:jc w:val="both"/>
      </w:pPr>
      <w:r>
        <w:rPr>
          <w:b/>
          <w:sz w:val="21"/>
        </w:rPr>
        <w:t>四、</w:t>
      </w:r>
      <w:r>
        <w:rPr>
          <w:b/>
          <w:sz w:val="21"/>
        </w:rPr>
        <w:t>合同服务</w:t>
      </w:r>
      <w:r>
        <w:rPr>
          <w:b/>
          <w:sz w:val="21"/>
        </w:rPr>
        <w:t>期</w:t>
      </w:r>
      <w:r>
        <w:rPr>
          <w:b/>
          <w:sz w:val="21"/>
        </w:rPr>
        <w:t>内</w:t>
      </w:r>
    </w:p>
    <w:p>
      <w:pPr>
        <w:ind w:firstLine="211"/>
        <w:jc w:val="both"/>
      </w:pPr>
      <w:r>
        <w:rPr>
          <w:b/>
          <w:sz w:val="21"/>
        </w:rPr>
        <w:t>1.</w:t>
      </w:r>
      <w:r>
        <w:rPr>
          <w:b/>
          <w:sz w:val="21"/>
        </w:rPr>
        <w:t>合同包括部分：</w:t>
      </w:r>
    </w:p>
    <w:p>
      <w:pPr>
        <w:ind w:firstLine="210"/>
        <w:jc w:val="both"/>
      </w:pPr>
      <w:r>
        <w:rPr>
          <w:sz w:val="21"/>
        </w:rPr>
        <w:t>（</w:t>
      </w:r>
      <w:r>
        <w:rPr>
          <w:sz w:val="21"/>
        </w:rPr>
        <w:t>1）</w:t>
      </w:r>
      <w:r>
        <w:rPr>
          <w:sz w:val="21"/>
        </w:rPr>
        <w:t>安全检查：按照厂家设备标准及当地规定执行。</w:t>
      </w:r>
    </w:p>
    <w:p>
      <w:pPr>
        <w:ind w:firstLine="210"/>
        <w:jc w:val="both"/>
      </w:pPr>
      <w:r>
        <w:rPr>
          <w:sz w:val="21"/>
        </w:rPr>
        <w:t>•</w:t>
      </w:r>
      <w:r>
        <w:rPr>
          <w:sz w:val="21"/>
        </w:rPr>
        <w:t>制定检查计划</w:t>
      </w:r>
    </w:p>
    <w:p>
      <w:pPr>
        <w:ind w:firstLine="210"/>
        <w:jc w:val="both"/>
      </w:pPr>
      <w:r>
        <w:rPr>
          <w:sz w:val="21"/>
        </w:rPr>
        <w:t>•</w:t>
      </w:r>
      <w:r>
        <w:rPr>
          <w:sz w:val="21"/>
        </w:rPr>
        <w:t>机械安全检查</w:t>
      </w:r>
    </w:p>
    <w:p>
      <w:pPr>
        <w:ind w:firstLine="210"/>
        <w:jc w:val="both"/>
      </w:pPr>
      <w:r>
        <w:rPr>
          <w:sz w:val="21"/>
        </w:rPr>
        <w:t>•</w:t>
      </w:r>
      <w:r>
        <w:rPr>
          <w:sz w:val="21"/>
        </w:rPr>
        <w:t>电气安全检查</w:t>
      </w:r>
    </w:p>
    <w:p>
      <w:pPr>
        <w:ind w:firstLine="210"/>
        <w:jc w:val="both"/>
      </w:pPr>
      <w:r>
        <w:rPr>
          <w:sz w:val="21"/>
        </w:rPr>
        <w:t>•</w:t>
      </w:r>
      <w:r>
        <w:rPr>
          <w:sz w:val="21"/>
        </w:rPr>
        <w:t>记录检查结果</w:t>
      </w:r>
    </w:p>
    <w:p>
      <w:pPr>
        <w:ind w:firstLine="210"/>
        <w:jc w:val="both"/>
      </w:pPr>
      <w:r>
        <w:rPr>
          <w:sz w:val="21"/>
        </w:rPr>
        <w:t>•</w:t>
      </w:r>
      <w:r>
        <w:rPr>
          <w:sz w:val="21"/>
        </w:rPr>
        <w:t>其他安全检查</w:t>
      </w:r>
    </w:p>
    <w:p>
      <w:pPr>
        <w:ind w:firstLine="210"/>
        <w:jc w:val="both"/>
      </w:pPr>
      <w:r>
        <w:rPr>
          <w:sz w:val="21"/>
        </w:rPr>
        <w:t>（</w:t>
      </w:r>
      <w:r>
        <w:rPr>
          <w:sz w:val="21"/>
        </w:rPr>
        <w:t>2）</w:t>
      </w:r>
      <w:r>
        <w:rPr>
          <w:sz w:val="21"/>
        </w:rPr>
        <w:t>预防性保养：按照保养计划提供，以保证设备处于最佳运行状态。</w:t>
      </w:r>
    </w:p>
    <w:p>
      <w:pPr>
        <w:ind w:firstLine="210"/>
        <w:jc w:val="both"/>
      </w:pPr>
      <w:r>
        <w:rPr>
          <w:sz w:val="21"/>
        </w:rPr>
        <w:t>•</w:t>
      </w:r>
      <w:r>
        <w:rPr>
          <w:sz w:val="21"/>
        </w:rPr>
        <w:t>定期维修保养</w:t>
      </w:r>
    </w:p>
    <w:p>
      <w:pPr>
        <w:ind w:firstLine="210"/>
        <w:jc w:val="both"/>
      </w:pPr>
      <w:r>
        <w:rPr>
          <w:sz w:val="21"/>
        </w:rPr>
        <w:t>•</w:t>
      </w:r>
      <w:r>
        <w:rPr>
          <w:sz w:val="21"/>
        </w:rPr>
        <w:t>按照保养计划更换损耗部件</w:t>
      </w:r>
    </w:p>
    <w:p>
      <w:pPr>
        <w:ind w:firstLine="210"/>
        <w:jc w:val="both"/>
      </w:pPr>
      <w:r>
        <w:rPr>
          <w:sz w:val="21"/>
        </w:rPr>
        <w:t>•</w:t>
      </w:r>
      <w:r>
        <w:rPr>
          <w:sz w:val="21"/>
        </w:rPr>
        <w:t>检测</w:t>
      </w:r>
    </w:p>
    <w:p>
      <w:pPr>
        <w:ind w:firstLine="210"/>
        <w:jc w:val="both"/>
      </w:pPr>
      <w:r>
        <w:rPr>
          <w:sz w:val="21"/>
        </w:rPr>
        <w:t>•</w:t>
      </w:r>
      <w:r>
        <w:rPr>
          <w:sz w:val="21"/>
        </w:rPr>
        <w:t>按照厂家标准进行调校</w:t>
      </w:r>
    </w:p>
    <w:p>
      <w:pPr>
        <w:ind w:firstLine="210"/>
        <w:jc w:val="both"/>
      </w:pPr>
      <w:r>
        <w:rPr>
          <w:sz w:val="21"/>
        </w:rPr>
        <w:t>•</w:t>
      </w:r>
      <w:r>
        <w:rPr>
          <w:sz w:val="21"/>
        </w:rPr>
        <w:t>确认各项技术指标及性能</w:t>
      </w:r>
    </w:p>
    <w:p>
      <w:pPr>
        <w:ind w:firstLine="210"/>
        <w:jc w:val="both"/>
      </w:pPr>
      <w:r>
        <w:rPr>
          <w:sz w:val="21"/>
        </w:rPr>
        <w:t>•</w:t>
      </w:r>
      <w:r>
        <w:rPr>
          <w:sz w:val="21"/>
        </w:rPr>
        <w:t>记录设备状况</w:t>
      </w:r>
    </w:p>
    <w:p>
      <w:pPr>
        <w:ind w:firstLine="210"/>
        <w:jc w:val="both"/>
      </w:pPr>
      <w:r>
        <w:rPr>
          <w:sz w:val="21"/>
        </w:rPr>
        <w:t>（</w:t>
      </w:r>
      <w:r>
        <w:rPr>
          <w:sz w:val="21"/>
        </w:rPr>
        <w:t>3）</w:t>
      </w:r>
      <w:r>
        <w:rPr>
          <w:sz w:val="21"/>
        </w:rPr>
        <w:t>预防性保养损耗品：预防性保养中需更换的损耗品由</w:t>
      </w:r>
      <w:r>
        <w:rPr>
          <w:sz w:val="21"/>
        </w:rPr>
        <w:t>乙方</w:t>
      </w:r>
      <w:r>
        <w:rPr>
          <w:sz w:val="21"/>
        </w:rPr>
        <w:t>免费提供。</w:t>
      </w:r>
    </w:p>
    <w:p>
      <w:pPr>
        <w:ind w:firstLine="210"/>
        <w:jc w:val="both"/>
      </w:pPr>
      <w:r>
        <w:rPr>
          <w:sz w:val="21"/>
        </w:rPr>
        <w:t>（</w:t>
      </w:r>
      <w:r>
        <w:rPr>
          <w:sz w:val="21"/>
        </w:rPr>
        <w:t>4）</w:t>
      </w:r>
      <w:r>
        <w:rPr>
          <w:sz w:val="21"/>
        </w:rPr>
        <w:t>开机率：在合同期内保证</w:t>
      </w:r>
      <w:r>
        <w:rPr>
          <w:sz w:val="21"/>
        </w:rPr>
        <w:t>95%的开机率（停机时间少于 5%）按一年 365 日计算。停机每超出一天，维修服务合同期限自动延长</w:t>
      </w:r>
      <w:r>
        <w:rPr>
          <w:sz w:val="21"/>
        </w:rPr>
        <w:t>7</w:t>
      </w:r>
      <w:r>
        <w:rPr>
          <w:sz w:val="21"/>
        </w:rPr>
        <w:t>天。</w:t>
      </w:r>
    </w:p>
    <w:p>
      <w:pPr>
        <w:ind w:firstLine="210"/>
        <w:jc w:val="both"/>
      </w:pPr>
      <w:r>
        <w:rPr>
          <w:sz w:val="21"/>
        </w:rPr>
        <w:t>（</w:t>
      </w:r>
      <w:r>
        <w:rPr>
          <w:sz w:val="21"/>
        </w:rPr>
        <w:t>5）</w:t>
      </w:r>
      <w:r>
        <w:rPr>
          <w:sz w:val="21"/>
        </w:rPr>
        <w:t>热线服务：全国范围内开通免费热线电话，</w:t>
      </w:r>
      <w:r>
        <w:rPr>
          <w:sz w:val="21"/>
        </w:rPr>
        <w:t>24</w:t>
      </w:r>
      <w:r>
        <w:rPr>
          <w:sz w:val="21"/>
        </w:rPr>
        <w:t xml:space="preserve"> </w:t>
      </w:r>
      <w:r>
        <w:rPr>
          <w:sz w:val="21"/>
        </w:rPr>
        <w:t>小时</w:t>
      </w:r>
      <w:r>
        <w:rPr>
          <w:sz w:val="21"/>
        </w:rPr>
        <w:t>×</w:t>
      </w:r>
      <w:r>
        <w:rPr>
          <w:sz w:val="21"/>
        </w:rPr>
        <w:t>365</w:t>
      </w:r>
      <w:r>
        <w:rPr>
          <w:sz w:val="21"/>
        </w:rPr>
        <w:t xml:space="preserve"> </w:t>
      </w:r>
      <w:r>
        <w:rPr>
          <w:sz w:val="21"/>
        </w:rPr>
        <w:t>天有工程师接听，为用户</w:t>
      </w:r>
      <w:r>
        <w:rPr>
          <w:sz w:val="21"/>
        </w:rPr>
        <w:t>提供设备的</w:t>
      </w:r>
      <w:r>
        <w:rPr>
          <w:sz w:val="21"/>
        </w:rPr>
        <w:t>快速诊断和技术支持</w:t>
      </w:r>
      <w:r>
        <w:rPr>
          <w:sz w:val="21"/>
        </w:rPr>
        <w:t>等</w:t>
      </w:r>
      <w:r>
        <w:rPr>
          <w:sz w:val="21"/>
        </w:rPr>
        <w:t>服务。</w:t>
      </w:r>
    </w:p>
    <w:p>
      <w:pPr>
        <w:ind w:firstLine="210"/>
        <w:jc w:val="both"/>
      </w:pPr>
      <w:r>
        <w:rPr>
          <w:sz w:val="21"/>
        </w:rPr>
        <w:t>（</w:t>
      </w:r>
      <w:r>
        <w:rPr>
          <w:sz w:val="21"/>
        </w:rPr>
        <w:t>6）</w:t>
      </w:r>
      <w:r>
        <w:rPr>
          <w:sz w:val="21"/>
        </w:rPr>
        <w:t>备件：</w:t>
      </w:r>
    </w:p>
    <w:p>
      <w:pPr>
        <w:ind w:firstLine="210"/>
        <w:jc w:val="both"/>
      </w:pPr>
      <w:r>
        <w:rPr>
          <w:sz w:val="21"/>
        </w:rPr>
        <w:t>•</w:t>
      </w:r>
      <w:r>
        <w:rPr>
          <w:sz w:val="21"/>
        </w:rPr>
        <w:t>提供保修所需的备件，备件供应要及时、充足，备件必须是原厂提供的全新备件。</w:t>
      </w:r>
    </w:p>
    <w:p>
      <w:pPr>
        <w:ind w:firstLine="210"/>
        <w:jc w:val="both"/>
      </w:pPr>
      <w:r>
        <w:rPr>
          <w:sz w:val="21"/>
        </w:rPr>
        <w:t>•</w:t>
      </w:r>
      <w:r>
        <w:rPr>
          <w:sz w:val="21"/>
        </w:rPr>
        <w:t>优先提供备件的发货。</w:t>
      </w:r>
    </w:p>
    <w:p>
      <w:pPr>
        <w:ind w:firstLine="211"/>
        <w:jc w:val="left"/>
      </w:pPr>
      <w:r>
        <w:rPr>
          <w:b/>
          <w:sz w:val="21"/>
        </w:rPr>
        <w:t>五、甲方乙方的权利和义务</w:t>
      </w:r>
    </w:p>
    <w:p>
      <w:pPr>
        <w:ind w:firstLine="210"/>
        <w:jc w:val="both"/>
      </w:pPr>
      <w:r>
        <w:rPr>
          <w:sz w:val="21"/>
        </w:rPr>
        <w:t>（一）甲方的权利</w:t>
      </w:r>
    </w:p>
    <w:p>
      <w:pPr>
        <w:ind w:firstLine="210"/>
        <w:jc w:val="both"/>
      </w:pPr>
      <w:r>
        <w:rPr>
          <w:sz w:val="21"/>
        </w:rPr>
        <w:t>1、对乙方的承担的项目工作进行监督。</w:t>
      </w:r>
    </w:p>
    <w:p>
      <w:pPr>
        <w:ind w:firstLine="210"/>
        <w:jc w:val="both"/>
      </w:pPr>
      <w:r>
        <w:rPr>
          <w:sz w:val="21"/>
        </w:rPr>
        <w:t>2、乙方在服务工作中有违法违规行为的，甲方可以解除委托，并追究乙方的违约责任。</w:t>
      </w:r>
    </w:p>
    <w:p>
      <w:pPr>
        <w:ind w:firstLine="210"/>
        <w:jc w:val="both"/>
      </w:pPr>
      <w:r>
        <w:rPr>
          <w:sz w:val="21"/>
        </w:rPr>
        <w:t>3、甲方认为乙方提供的某一具体服务行为不符合合同约定的，甲方有权以书面通知乙方限期整改；整改后仍不合格时，甲方有权依据《民法典》有关规定，单方通知宣布解除本合同。解除合同通知送达之时即合同解除之时。</w:t>
      </w:r>
    </w:p>
    <w:p>
      <w:pPr>
        <w:ind w:firstLine="210"/>
        <w:jc w:val="both"/>
      </w:pPr>
      <w:r>
        <w:rPr>
          <w:sz w:val="21"/>
        </w:rPr>
        <w:t>（二）甲方的义务</w:t>
      </w:r>
    </w:p>
    <w:p>
      <w:pPr>
        <w:ind w:firstLine="210"/>
        <w:jc w:val="both"/>
      </w:pPr>
      <w:r>
        <w:rPr>
          <w:sz w:val="21"/>
        </w:rPr>
        <w:t>1、为乙方提供真实、合法、完整的本项目信息。</w:t>
      </w:r>
    </w:p>
    <w:p>
      <w:pPr>
        <w:ind w:firstLine="210"/>
        <w:jc w:val="both"/>
      </w:pPr>
      <w:r>
        <w:rPr>
          <w:sz w:val="21"/>
        </w:rPr>
        <w:t>2、为乙方提供必要的工作条件和工作合作。</w:t>
      </w:r>
    </w:p>
    <w:p>
      <w:pPr>
        <w:ind w:firstLine="210"/>
        <w:jc w:val="both"/>
      </w:pPr>
      <w:r>
        <w:rPr>
          <w:sz w:val="21"/>
        </w:rPr>
        <w:t>3、负责监督和检查本项目工作的进度、质量及纪律的遵守情况。发现乙方在本项目工作中有违法违规行为的，应当及时予以制止，并向有关部门报告。</w:t>
      </w:r>
    </w:p>
    <w:p>
      <w:pPr>
        <w:ind w:firstLine="210"/>
        <w:jc w:val="both"/>
      </w:pPr>
      <w:r>
        <w:rPr>
          <w:sz w:val="21"/>
        </w:rPr>
        <w:t>4、解决项目开展中出现的问题。</w:t>
      </w:r>
    </w:p>
    <w:p>
      <w:pPr>
        <w:ind w:firstLine="210"/>
        <w:jc w:val="both"/>
      </w:pPr>
      <w:r>
        <w:rPr>
          <w:sz w:val="21"/>
        </w:rPr>
        <w:t>5、按本合同书的规定支付本项目费用。</w:t>
      </w:r>
    </w:p>
    <w:p>
      <w:pPr>
        <w:ind w:firstLine="210"/>
        <w:jc w:val="both"/>
      </w:pPr>
      <w:r>
        <w:rPr>
          <w:sz w:val="21"/>
        </w:rPr>
        <w:t>（三）乙方的权利</w:t>
      </w:r>
    </w:p>
    <w:p>
      <w:pPr>
        <w:ind w:firstLine="210"/>
        <w:jc w:val="both"/>
      </w:pPr>
      <w:r>
        <w:rPr>
          <w:sz w:val="21"/>
        </w:rPr>
        <w:t>1、要求甲方为本项目工作的开展提供必要的资料和便利。</w:t>
      </w:r>
    </w:p>
    <w:p>
      <w:pPr>
        <w:ind w:firstLine="210"/>
        <w:jc w:val="both"/>
      </w:pPr>
      <w:r>
        <w:rPr>
          <w:sz w:val="21"/>
        </w:rPr>
        <w:t>2、要求甲方按约定及时支付本项目费用。</w:t>
      </w:r>
    </w:p>
    <w:p>
      <w:pPr>
        <w:ind w:firstLine="210"/>
        <w:jc w:val="both"/>
      </w:pPr>
      <w:r>
        <w:rPr>
          <w:sz w:val="21"/>
        </w:rPr>
        <w:t>（四）乙方的义务</w:t>
      </w:r>
    </w:p>
    <w:p>
      <w:pPr>
        <w:ind w:firstLine="210"/>
        <w:jc w:val="left"/>
      </w:pPr>
      <w:r>
        <w:rPr>
          <w:sz w:val="21"/>
        </w:rPr>
        <w:t>1、</w:t>
      </w:r>
      <w:r>
        <w:rPr>
          <w:sz w:val="21"/>
        </w:rPr>
        <w:t>在履行本合同书规定的义务期间，按甲方的指示进行项目服务。</w:t>
      </w:r>
    </w:p>
    <w:p>
      <w:pPr>
        <w:ind w:firstLine="210"/>
        <w:jc w:val="left"/>
      </w:pPr>
      <w:r>
        <w:rPr>
          <w:sz w:val="21"/>
        </w:rPr>
        <w:t>2、</w:t>
      </w:r>
      <w:r>
        <w:rPr>
          <w:sz w:val="21"/>
        </w:rPr>
        <w:t>出具甲方要求的相关报告。</w:t>
      </w:r>
    </w:p>
    <w:p>
      <w:pPr>
        <w:ind w:firstLine="210"/>
        <w:jc w:val="left"/>
      </w:pPr>
      <w:r>
        <w:rPr>
          <w:sz w:val="21"/>
        </w:rPr>
        <w:t>3、</w:t>
      </w:r>
      <w:r>
        <w:rPr>
          <w:sz w:val="21"/>
        </w:rPr>
        <w:t>对于在本项目过程中一时不能明确的问题应当及时汇报告甲方。</w:t>
      </w:r>
    </w:p>
    <w:p>
      <w:pPr>
        <w:ind w:firstLine="210"/>
        <w:jc w:val="left"/>
      </w:pPr>
      <w:r>
        <w:rPr>
          <w:sz w:val="21"/>
        </w:rPr>
        <w:t>4、</w:t>
      </w:r>
      <w:r>
        <w:rPr>
          <w:sz w:val="21"/>
        </w:rPr>
        <w:t>对受委托执行业务过程中知悉的企业商业秘密严加保密，乙方不得将其知悉的商业秘密和企业提供的资料对外泄露。</w:t>
      </w:r>
    </w:p>
    <w:p>
      <w:pPr>
        <w:ind w:firstLine="210"/>
        <w:jc w:val="left"/>
      </w:pPr>
      <w:r>
        <w:rPr>
          <w:sz w:val="21"/>
        </w:rPr>
        <w:t>5、</w:t>
      </w:r>
      <w:r>
        <w:rPr>
          <w:sz w:val="21"/>
        </w:rPr>
        <w:t>不得将本合同书委托的事项转委托第三者。</w:t>
      </w:r>
    </w:p>
    <w:p>
      <w:pPr>
        <w:ind w:firstLine="210"/>
        <w:jc w:val="left"/>
      </w:pPr>
      <w:r>
        <w:rPr>
          <w:sz w:val="21"/>
        </w:rPr>
        <w:t>6、</w:t>
      </w:r>
      <w:r>
        <w:rPr>
          <w:sz w:val="21"/>
        </w:rPr>
        <w:t>必须严格按规定开展本项目工作，不得有违法违规的行为。</w:t>
      </w:r>
    </w:p>
    <w:p>
      <w:pPr>
        <w:ind w:firstLine="210"/>
        <w:jc w:val="left"/>
      </w:pPr>
      <w:r>
        <w:rPr>
          <w:sz w:val="21"/>
        </w:rPr>
        <w:t>7、</w:t>
      </w:r>
      <w:r>
        <w:rPr>
          <w:sz w:val="21"/>
        </w:rPr>
        <w:t>如乙方在服务的过程中因自身原因造成甲方或其他第三方损害，乙方应承担相应的赔偿责任。</w:t>
      </w:r>
    </w:p>
    <w:p>
      <w:pPr>
        <w:ind w:firstLine="211"/>
        <w:jc w:val="left"/>
      </w:pPr>
      <w:r>
        <w:rPr>
          <w:b/>
          <w:sz w:val="21"/>
        </w:rPr>
        <w:t>六、验收要求</w:t>
      </w:r>
    </w:p>
    <w:p>
      <w:pPr>
        <w:ind w:firstLine="210"/>
        <w:jc w:val="left"/>
      </w:pPr>
      <w:r>
        <w:rPr>
          <w:sz w:val="21"/>
        </w:rPr>
        <w:t>1、</w:t>
      </w:r>
      <w:r>
        <w:rPr>
          <w:sz w:val="21"/>
        </w:rPr>
        <w:t>乙方每次完成维保维修服务后，甲方按照合同的约定对履约情况进行验收，对每一项技术、服务、安全标准的履约情况进行确认。</w:t>
      </w:r>
    </w:p>
    <w:p>
      <w:pPr>
        <w:ind w:firstLine="210"/>
        <w:jc w:val="left"/>
      </w:pPr>
      <w:r>
        <w:rPr>
          <w:sz w:val="21"/>
        </w:rPr>
        <w:t>2、</w:t>
      </w:r>
      <w:r>
        <w:rPr>
          <w:sz w:val="21"/>
        </w:rPr>
        <w:t>验收由甲方组织相关人员依照有关标准、项目及合同要求进行。</w:t>
      </w:r>
    </w:p>
    <w:p>
      <w:pPr>
        <w:ind w:firstLine="210"/>
        <w:jc w:val="left"/>
      </w:pPr>
      <w:r>
        <w:rPr>
          <w:sz w:val="21"/>
        </w:rPr>
        <w:t>3、</w:t>
      </w:r>
      <w:r>
        <w:rPr>
          <w:sz w:val="21"/>
        </w:rPr>
        <w:t>验收完毕由甲方及乙方在验收报告上签名或盖章确认。</w:t>
      </w:r>
    </w:p>
    <w:p>
      <w:pPr>
        <w:ind w:firstLine="211"/>
        <w:jc w:val="both"/>
      </w:pPr>
      <w:r>
        <w:rPr>
          <w:b/>
          <w:sz w:val="21"/>
        </w:rPr>
        <w:t>七、</w:t>
      </w:r>
      <w:r>
        <w:rPr>
          <w:b/>
          <w:sz w:val="21"/>
        </w:rPr>
        <w:t>合同的变更和转让：</w:t>
      </w:r>
    </w:p>
    <w:p>
      <w:pPr>
        <w:ind w:firstLine="420"/>
        <w:jc w:val="both"/>
      </w:pPr>
      <w:r>
        <w:rPr>
          <w:sz w:val="21"/>
        </w:rPr>
        <w:t>合同有效</w:t>
      </w:r>
      <w:r>
        <w:rPr>
          <w:sz w:val="21"/>
        </w:rPr>
        <w:t>期内</w:t>
      </w:r>
      <w:r>
        <w:rPr>
          <w:sz w:val="21"/>
        </w:rPr>
        <w:t>,</w:t>
      </w:r>
      <w:r>
        <w:rPr>
          <w:sz w:val="21"/>
        </w:rPr>
        <w:t>任何一方都不得擅自转让本合同项下的权利和义务，</w:t>
      </w:r>
      <w:r>
        <w:rPr>
          <w:sz w:val="21"/>
        </w:rPr>
        <w:t>任何一方</w:t>
      </w:r>
      <w:r>
        <w:rPr>
          <w:sz w:val="21"/>
        </w:rPr>
        <w:t>不得擅自变更合同的权利和义务</w:t>
      </w:r>
      <w:r>
        <w:rPr>
          <w:sz w:val="21"/>
        </w:rPr>
        <w:t>,除非双方的授权代表以书面的方式确认。</w:t>
      </w:r>
    </w:p>
    <w:p>
      <w:pPr>
        <w:ind w:firstLine="211"/>
        <w:jc w:val="both"/>
      </w:pPr>
      <w:r>
        <w:rPr>
          <w:b/>
          <w:sz w:val="21"/>
        </w:rPr>
        <w:t>八、</w:t>
      </w:r>
      <w:r>
        <w:rPr>
          <w:b/>
          <w:sz w:val="21"/>
        </w:rPr>
        <w:t>信息保密：</w:t>
      </w:r>
    </w:p>
    <w:p>
      <w:pPr>
        <w:ind w:firstLine="420"/>
        <w:jc w:val="both"/>
      </w:pPr>
      <w:r>
        <w:rPr>
          <w:sz w:val="21"/>
        </w:rPr>
        <w:t>甲乙双方对在履行本合同过程中获悉的对方商业秘密及其他敏感信息均负有保密义务。未经另一方事先书面同意，任何一方不得将前述信息向除本单位法律顾问以外的任何第三方或社会公众披露。如</w:t>
      </w:r>
      <w:r>
        <w:rPr>
          <w:sz w:val="21"/>
        </w:rPr>
        <w:t>政府相关部门或司法机关</w:t>
      </w:r>
      <w:r>
        <w:rPr>
          <w:sz w:val="21"/>
        </w:rPr>
        <w:t>要求甲方或乙方提供保密信息，该方应依要求提供</w:t>
      </w:r>
      <w:r>
        <w:rPr>
          <w:sz w:val="21"/>
        </w:rPr>
        <w:t>，</w:t>
      </w:r>
      <w:r>
        <w:rPr>
          <w:sz w:val="21"/>
        </w:rPr>
        <w:t>并及时将此</w:t>
      </w:r>
      <w:r>
        <w:rPr>
          <w:sz w:val="21"/>
        </w:rPr>
        <w:t>情况</w:t>
      </w:r>
      <w:r>
        <w:rPr>
          <w:sz w:val="21"/>
        </w:rPr>
        <w:t>及时通知另一方。即使本合同履行完毕</w:t>
      </w:r>
      <w:r>
        <w:rPr>
          <w:sz w:val="21"/>
        </w:rPr>
        <w:t>，</w:t>
      </w:r>
      <w:r>
        <w:rPr>
          <w:sz w:val="21"/>
        </w:rPr>
        <w:t>双方的保密义务依然存在</w:t>
      </w:r>
      <w:r>
        <w:rPr>
          <w:sz w:val="21"/>
        </w:rPr>
        <w:t>。</w:t>
      </w:r>
    </w:p>
    <w:p>
      <w:pPr>
        <w:ind w:firstLine="211"/>
        <w:jc w:val="both"/>
      </w:pPr>
      <w:r>
        <w:rPr>
          <w:b/>
          <w:sz w:val="21"/>
        </w:rPr>
        <w:t>九</w:t>
      </w:r>
      <w:r>
        <w:rPr>
          <w:b/>
          <w:sz w:val="21"/>
        </w:rPr>
        <w:t>、</w:t>
      </w:r>
      <w:r>
        <w:rPr>
          <w:b/>
          <w:sz w:val="21"/>
        </w:rPr>
        <w:t>违约责任</w:t>
      </w:r>
    </w:p>
    <w:p>
      <w:pPr>
        <w:ind w:firstLine="210"/>
        <w:jc w:val="both"/>
      </w:pPr>
      <w:r>
        <w:rPr>
          <w:sz w:val="21"/>
        </w:rPr>
        <w:t>1、由于公认的不可抗力事件造成的损坏（如自然灾害、爆炸、房屋倒塌、暴乱、坠机及蓄意破坏、罢工、战争等），双方根据实际情况部分或全部免除责任，并及时通知对方。</w:t>
      </w:r>
    </w:p>
    <w:p>
      <w:pPr>
        <w:ind w:firstLine="210"/>
        <w:jc w:val="both"/>
      </w:pPr>
      <w:r>
        <w:rPr>
          <w:sz w:val="21"/>
        </w:rPr>
        <w:t>2、除不可抗力或乙方不可能控制的因素导致的情形外，如乙方由于非甲方的原因而不再履行本合同，甲方有权解除合同，因此给甲方造成损失的，乙方负责赔偿。除不可抗力或甲方不可能控制的因素导致的情形外，如甲方由于非乙方的原因而不再履行本合同，乙方有权解除合同，甲方除付清至合同解除日期前应付的款项外，因此给乙方造成损失的，甲方负责赔偿。</w:t>
      </w:r>
    </w:p>
    <w:p>
      <w:pPr>
        <w:ind w:firstLine="210"/>
        <w:jc w:val="both"/>
      </w:pPr>
      <w:r>
        <w:rPr>
          <w:sz w:val="21"/>
        </w:rPr>
        <w:t>3、如果甲方在本合同付款条款规定期限内还未支付相关款项，</w:t>
      </w:r>
      <w:r>
        <w:rPr>
          <w:sz w:val="21"/>
        </w:rPr>
        <w:t>如逾期半个月以上，乙方有权中止或解除合同</w:t>
      </w:r>
      <w:r>
        <w:rPr>
          <w:sz w:val="21"/>
        </w:rPr>
        <w:t>，并可要求甲方支付所有中止或解除日前已到期的应付款及违约金（违约金按每</w:t>
      </w:r>
      <w:r>
        <w:rPr>
          <w:sz w:val="21"/>
        </w:rPr>
        <w:t>7天以未支付金额的0.3%算）。在中止或解除合同之前，乙方将书面通知甲方。</w:t>
      </w:r>
    </w:p>
    <w:p>
      <w:pPr>
        <w:ind w:firstLine="210"/>
        <w:jc w:val="both"/>
      </w:pPr>
      <w:r>
        <w:rPr>
          <w:sz w:val="21"/>
        </w:rPr>
        <w:t>4、如果乙方未能按本合同约定的交货时间提供服务，从逾期之日起每日按逾期服务所对应的当期服务价款按每7天0.3%向甲方支付违约金，逾期半个月以上的甲方有权终止合同，由此给甲方造成的损失，由乙方负责。</w:t>
      </w:r>
    </w:p>
    <w:p>
      <w:pPr>
        <w:ind w:firstLine="211"/>
        <w:jc w:val="both"/>
      </w:pPr>
      <w:r>
        <w:rPr>
          <w:b/>
          <w:sz w:val="21"/>
        </w:rPr>
        <w:t>十、</w:t>
      </w:r>
      <w:r>
        <w:rPr>
          <w:b/>
          <w:sz w:val="21"/>
        </w:rPr>
        <w:t>争议解决和法律适用：</w:t>
      </w:r>
    </w:p>
    <w:p>
      <w:pPr>
        <w:ind w:firstLine="420"/>
        <w:jc w:val="both"/>
      </w:pPr>
      <w:r>
        <w:rPr>
          <w:sz w:val="21"/>
        </w:rPr>
        <w:t>签约双方在履约中发生争执和分歧，双方应通过友好协商解决，若经协商不能达成协议时，则由甲方所在地人民法院管辖。诉讼期间，双方应继续履行合同其余部分。</w:t>
      </w:r>
    </w:p>
    <w:p>
      <w:pPr>
        <w:ind w:firstLine="211"/>
        <w:jc w:val="both"/>
      </w:pPr>
      <w:r>
        <w:rPr>
          <w:b/>
          <w:sz w:val="21"/>
        </w:rPr>
        <w:t>十一、</w:t>
      </w:r>
      <w:r>
        <w:rPr>
          <w:b/>
          <w:sz w:val="21"/>
        </w:rPr>
        <w:t>其他</w:t>
      </w:r>
    </w:p>
    <w:p>
      <w:pPr>
        <w:ind w:firstLine="210"/>
        <w:jc w:val="both"/>
      </w:pPr>
      <w:r>
        <w:rPr>
          <w:sz w:val="21"/>
        </w:rPr>
        <w:t>1、本合同在甲乙双方法人代表或其授权代表签字盖章后生效。</w:t>
      </w:r>
    </w:p>
    <w:p>
      <w:pPr>
        <w:ind w:firstLine="210"/>
        <w:jc w:val="both"/>
      </w:pPr>
      <w:r>
        <w:rPr>
          <w:sz w:val="21"/>
        </w:rPr>
        <w:t>2</w:t>
      </w:r>
      <w:r>
        <w:rPr>
          <w:sz w:val="21"/>
        </w:rPr>
        <w:t>、合同一式六份，甲方执四份，乙方执一份，招标公司一份。</w:t>
      </w:r>
    </w:p>
    <w:p>
      <w:pPr>
        <w:ind w:firstLine="210"/>
        <w:jc w:val="both"/>
      </w:pPr>
    </w:p>
    <w:p>
      <w:pPr>
        <w:ind w:firstLine="210"/>
        <w:jc w:val="both"/>
      </w:pPr>
      <w:r>
        <w:rPr>
          <w:sz w:val="21"/>
        </w:rPr>
        <w:t>甲方（盖章）：广州医科大学附属第五医院</w:t>
      </w:r>
      <w:r>
        <w:rPr>
          <w:sz w:val="21"/>
        </w:rPr>
        <w:t xml:space="preserve">   </w:t>
      </w:r>
      <w:r>
        <w:rPr>
          <w:sz w:val="21"/>
        </w:rPr>
        <w:t xml:space="preserve"> </w:t>
      </w:r>
      <w:r>
        <w:rPr>
          <w:sz w:val="21"/>
        </w:rPr>
        <w:t>乙方（盖章）：</w:t>
      </w:r>
      <w:r>
        <w:rPr>
          <w:sz w:val="21"/>
        </w:rPr>
        <w:t xml:space="preserve">                    </w:t>
      </w:r>
    </w:p>
    <w:p>
      <w:pPr>
        <w:ind w:firstLine="210"/>
        <w:jc w:val="both"/>
      </w:pPr>
      <w:r>
        <w:rPr>
          <w:sz w:val="21"/>
        </w:rPr>
        <w:t>法人</w:t>
      </w:r>
      <w:r>
        <w:rPr>
          <w:sz w:val="21"/>
        </w:rPr>
        <w:t>/</w:t>
      </w:r>
      <w:r>
        <w:rPr>
          <w:sz w:val="21"/>
        </w:rPr>
        <w:t>授权代表：</w:t>
      </w:r>
      <w:r>
        <w:rPr>
          <w:sz w:val="21"/>
        </w:rPr>
        <w:t xml:space="preserve">                           </w:t>
      </w:r>
      <w:r>
        <w:rPr>
          <w:sz w:val="21"/>
        </w:rPr>
        <w:t>法人</w:t>
      </w:r>
      <w:r>
        <w:rPr>
          <w:sz w:val="21"/>
        </w:rPr>
        <w:t>/</w:t>
      </w:r>
      <w:r>
        <w:rPr>
          <w:sz w:val="21"/>
        </w:rPr>
        <w:t>授权代表：</w:t>
      </w:r>
    </w:p>
    <w:p>
      <w:pPr>
        <w:jc w:val="both"/>
      </w:pPr>
      <w:r>
        <w:rPr>
          <w:sz w:val="21"/>
        </w:rPr>
        <w:t>开户行：中国工商银行广州黄埔支行</w:t>
      </w:r>
      <w:r>
        <w:rPr>
          <w:sz w:val="21"/>
        </w:rPr>
        <w:t xml:space="preserve">         </w:t>
      </w:r>
      <w:r>
        <w:rPr>
          <w:sz w:val="21"/>
        </w:rPr>
        <w:t>开户行：</w:t>
      </w:r>
      <w:r>
        <w:rPr>
          <w:sz w:val="21"/>
        </w:rPr>
        <w:t xml:space="preserve"> </w:t>
      </w:r>
    </w:p>
    <w:p>
      <w:pPr>
        <w:ind w:firstLine="210"/>
        <w:jc w:val="both"/>
      </w:pPr>
      <w:r>
        <w:rPr>
          <w:sz w:val="21"/>
        </w:rPr>
        <w:t>开户账号：</w:t>
      </w:r>
      <w:r>
        <w:rPr>
          <w:sz w:val="21"/>
        </w:rPr>
        <w:t>3602 0013 0920 020 4110</w:t>
      </w:r>
      <w:r>
        <w:rPr>
          <w:sz w:val="21"/>
        </w:rPr>
        <w:t xml:space="preserve">         </w:t>
      </w:r>
      <w:r>
        <w:rPr>
          <w:sz w:val="21"/>
        </w:rPr>
        <w:t>开户账号：</w:t>
      </w:r>
    </w:p>
    <w:p>
      <w:pPr>
        <w:ind w:firstLine="210"/>
        <w:jc w:val="both"/>
      </w:pPr>
      <w:r>
        <w:rPr>
          <w:sz w:val="21"/>
        </w:rPr>
        <w:t>纳税人识别号：</w:t>
      </w:r>
      <w:r>
        <w:rPr>
          <w:sz w:val="21"/>
        </w:rPr>
        <w:t>12440100455417101D</w:t>
      </w:r>
      <w:r>
        <w:rPr>
          <w:sz w:val="21"/>
        </w:rPr>
        <w:t xml:space="preserve">          </w:t>
      </w:r>
      <w:r>
        <w:rPr>
          <w:sz w:val="21"/>
        </w:rPr>
        <w:t>纳税人识别号：</w:t>
      </w:r>
    </w:p>
    <w:p>
      <w:pPr>
        <w:ind w:firstLine="210"/>
        <w:jc w:val="both"/>
      </w:pPr>
      <w:r>
        <w:rPr>
          <w:sz w:val="21"/>
        </w:rPr>
        <w:t>签约地点：广州</w:t>
      </w:r>
    </w:p>
    <w:p>
      <w:pPr>
        <w:ind w:firstLine="210"/>
        <w:jc w:val="both"/>
      </w:pPr>
      <w:r>
        <w:rPr>
          <w:sz w:val="21"/>
        </w:rPr>
        <w:t>签约日期：</w:t>
      </w:r>
      <w:r>
        <w:rPr>
          <w:sz w:val="21"/>
        </w:rPr>
        <w:t xml:space="preserve">      </w:t>
      </w:r>
      <w:r>
        <w:rPr>
          <w:sz w:val="21"/>
        </w:rPr>
        <w:t>年</w:t>
      </w:r>
      <w:r>
        <w:rPr>
          <w:sz w:val="21"/>
        </w:rPr>
        <w:t xml:space="preserve">   </w:t>
      </w:r>
      <w:r>
        <w:rPr>
          <w:sz w:val="21"/>
        </w:rPr>
        <w:t xml:space="preserve"> </w:t>
      </w:r>
      <w:r>
        <w:rPr>
          <w:sz w:val="21"/>
        </w:rPr>
        <w:t>月</w:t>
      </w:r>
      <w:r>
        <w:rPr>
          <w:sz w:val="21"/>
        </w:rPr>
        <w:t xml:space="preserve">    </w:t>
      </w:r>
      <w:r>
        <w:rPr>
          <w:sz w:val="21"/>
        </w:rPr>
        <w:t>日</w:t>
      </w:r>
    </w:p>
    <w:p>
      <w:pPr>
        <w:ind w:firstLine="321"/>
        <w:jc w:val="center"/>
      </w:pPr>
      <w:r>
        <w:rPr/>
        <w:t xml:space="preserve"> </w:t>
      </w:r>
    </w:p>
    <w:p>
      <w:pPr>
        <w:ind w:firstLine="321"/>
        <w:jc w:val="center"/>
      </w:pPr>
      <w:r>
        <w:rPr/>
        <w:t xml:space="preserve"> </w:t>
      </w:r>
    </w:p>
    <w:p>
      <w:pPr>
        <w:ind w:firstLine="321"/>
        <w:jc w:val="center"/>
      </w:pPr>
      <w:r>
        <w:rPr>
          <w:b/>
          <w:sz w:val="32"/>
        </w:rPr>
        <w:t>广州医科大学附属第五医院招标廉洁协议</w:t>
      </w:r>
    </w:p>
    <w:p>
      <w:pPr>
        <w:ind w:firstLine="321"/>
        <w:jc w:val="center"/>
      </w:pPr>
      <w:r>
        <w:rPr/>
        <w:t xml:space="preserve"> </w:t>
      </w:r>
    </w:p>
    <w:p>
      <w:pPr>
        <w:ind w:firstLine="321"/>
        <w:jc w:val="center"/>
      </w:pPr>
      <w:r>
        <w:rPr/>
        <w:t xml:space="preserve"> </w:t>
      </w:r>
    </w:p>
    <w:p>
      <w:pPr>
        <w:ind w:firstLine="210"/>
        <w:jc w:val="both"/>
      </w:pPr>
    </w:p>
    <w:p>
      <w:pPr>
        <w:ind w:firstLine="210"/>
        <w:jc w:val="both"/>
      </w:pPr>
      <w:r>
        <w:rPr>
          <w:sz w:val="21"/>
        </w:rPr>
        <w:t>甲方：广州医科大学附属第五医院</w:t>
      </w:r>
    </w:p>
    <w:p>
      <w:pPr>
        <w:ind w:firstLine="210"/>
        <w:jc w:val="both"/>
      </w:pPr>
    </w:p>
    <w:p>
      <w:pPr>
        <w:ind w:firstLine="210"/>
        <w:jc w:val="both"/>
      </w:pPr>
      <w:r>
        <w:rPr>
          <w:sz w:val="21"/>
        </w:rPr>
        <w:t>乙方：</w:t>
      </w:r>
      <w:r>
        <w:rPr>
          <w:sz w:val="21"/>
          <w:u w:val="single"/>
        </w:rPr>
        <w:t xml:space="preserve">                       </w:t>
      </w:r>
    </w:p>
    <w:p>
      <w:pPr>
        <w:ind w:firstLine="210"/>
        <w:jc w:val="both"/>
      </w:pPr>
    </w:p>
    <w:p>
      <w:pPr>
        <w:ind w:firstLine="210"/>
        <w:jc w:val="both"/>
      </w:pPr>
      <w:r>
        <w:rPr>
          <w:sz w:val="21"/>
        </w:rPr>
        <w:t>为加强医院廉政建设，促进医院与企业廉洁合作，有效防范商业贿赂行为。经甲、乙双方协商，同意签订本协议，并共同遵守。</w:t>
      </w:r>
    </w:p>
    <w:p>
      <w:pPr>
        <w:ind w:firstLine="211"/>
        <w:jc w:val="both"/>
      </w:pPr>
      <w:r>
        <w:rPr>
          <w:b/>
          <w:sz w:val="21"/>
        </w:rPr>
        <w:t>一、甲方责任和廉洁要求</w:t>
      </w:r>
    </w:p>
    <w:p>
      <w:pPr>
        <w:ind w:firstLine="210"/>
        <w:jc w:val="both"/>
      </w:pPr>
      <w:r>
        <w:rPr>
          <w:sz w:val="21"/>
        </w:rPr>
        <w:t>甲方在招标、遴选、议标、合同签订、合同履约、合同付款、合同结算等过程中，要遵守以下廉洁约定：</w:t>
      </w:r>
    </w:p>
    <w:p>
      <w:pPr>
        <w:ind w:firstLine="210"/>
        <w:jc w:val="both"/>
      </w:pPr>
      <w:r>
        <w:rPr>
          <w:sz w:val="21"/>
        </w:rPr>
        <w:t>1.甲方在进行上述业务活动过程中，应严格遵守国家法律法规、行业纪律和医院规章制度，严格执行双方确定的合同、协议和承诺；</w:t>
      </w:r>
    </w:p>
    <w:p>
      <w:pPr>
        <w:ind w:firstLine="210"/>
        <w:jc w:val="both"/>
      </w:pPr>
      <w:r>
        <w:rPr>
          <w:sz w:val="21"/>
        </w:rPr>
        <w:t>2.甲方人员在进行上述活动，如与乙方存在利益关联或者亲属关系的，应主动向业务主管部门报告，申请回避；</w:t>
      </w:r>
    </w:p>
    <w:p>
      <w:pPr>
        <w:ind w:firstLine="210"/>
        <w:jc w:val="both"/>
      </w:pPr>
      <w:r>
        <w:rPr>
          <w:sz w:val="21"/>
        </w:rPr>
        <w:t>3.甲方的人员必须严格执行廉洁自律各项规定，不得向乙方索要任何形式的个人利益，不得收受乙方赠送的礼品、礼金和有价证券，不得接受乙方宴请、免费旅游、房屋装修、出国留学或其它财产性利益；</w:t>
      </w:r>
    </w:p>
    <w:p>
      <w:pPr>
        <w:ind w:firstLine="210"/>
        <w:jc w:val="both"/>
      </w:pPr>
      <w:r>
        <w:rPr>
          <w:sz w:val="21"/>
        </w:rPr>
        <w:t>4.甲方应向乙方介绍本单位的有关廉政建设的各项制度和规定，有权对乙方在业务活动中保持廉洁的情况实行监督，如发现乙方的人员有不廉洁行为，应及时采取措施，终止其不廉洁行为的继续发生。</w:t>
      </w:r>
    </w:p>
    <w:p>
      <w:pPr>
        <w:ind w:firstLine="211"/>
        <w:jc w:val="both"/>
      </w:pPr>
      <w:r>
        <w:rPr>
          <w:b/>
          <w:sz w:val="21"/>
        </w:rPr>
        <w:t>二、乙方责任和廉洁要求</w:t>
      </w:r>
    </w:p>
    <w:p>
      <w:pPr>
        <w:ind w:firstLine="210"/>
        <w:jc w:val="both"/>
      </w:pPr>
      <w:r>
        <w:rPr>
          <w:sz w:val="21"/>
        </w:rPr>
        <w:t>1.乙方加强对应标项目工作的乙方人员的廉洁教育，主动如实向甲方报告是否与甲方的员工存在利益关联或亲属关系的情况；</w:t>
      </w:r>
    </w:p>
    <w:p>
      <w:pPr>
        <w:ind w:firstLine="210"/>
        <w:jc w:val="both"/>
      </w:pPr>
      <w:r>
        <w:rPr>
          <w:sz w:val="21"/>
        </w:rPr>
        <w:t>2.业务活动坚持“公开、公正、诚信、透明”原则，乙方不得与甲方的人员就业务事项进行私下商谈或者达成默契，不得与其他单位串通投标，不得采取不正当手段竞争业务；</w:t>
      </w:r>
    </w:p>
    <w:p>
      <w:pPr>
        <w:ind w:firstLine="210"/>
        <w:jc w:val="both"/>
      </w:pPr>
      <w:r>
        <w:rPr>
          <w:sz w:val="21"/>
        </w:rPr>
        <w:t>3.乙方承诺杜绝实施商业贿赂行为，不以任何名义宴请采购人的人员及其亲属，或为甲方的人员及其亲属提供娱乐服务、免费旅游、房屋装修、出国留学或其它财产性利益，或赠送礼品、礼金及有价证券等，不以任何其他方式为甲方的人员及其亲属赠送、提供其他未列举的任何形式的好处与利益；</w:t>
      </w:r>
    </w:p>
    <w:p>
      <w:pPr>
        <w:ind w:firstLine="210"/>
        <w:jc w:val="both"/>
      </w:pPr>
      <w:r>
        <w:rPr>
          <w:sz w:val="21"/>
        </w:rPr>
        <w:t>4.乙方在业务活动过程中发现甲方的人员有不廉洁的行为，须及时采取措施，终止其不廉洁行为的继续发生。</w:t>
      </w:r>
    </w:p>
    <w:p>
      <w:pPr>
        <w:ind w:firstLine="211"/>
        <w:jc w:val="both"/>
      </w:pPr>
      <w:r>
        <w:rPr>
          <w:b/>
          <w:sz w:val="21"/>
        </w:rPr>
        <w:t>三、违约的处理</w:t>
      </w:r>
    </w:p>
    <w:p>
      <w:pPr>
        <w:ind w:firstLine="210"/>
        <w:jc w:val="both"/>
      </w:pPr>
      <w:r>
        <w:rPr>
          <w:sz w:val="21"/>
        </w:rPr>
        <w:t>1.甲乙双方如违反上述协议任何一条，被发现或被投诉，一经查实，即构成违约。如甲方违约，按管理权限，依据有关规定，给予党纪、政纪或组织处理；如乙方违约，甲方有权立即终止与乙方的所有项目合同和其他一切业务，并由乙方赔偿甲方因此造成的损失以及发生的一切费用；涉嫌犯罪的，移交司法机关处理。</w:t>
      </w:r>
    </w:p>
    <w:p>
      <w:pPr>
        <w:ind w:firstLine="210"/>
        <w:jc w:val="both"/>
      </w:pPr>
      <w:r>
        <w:rPr>
          <w:sz w:val="21"/>
        </w:rPr>
        <w:t>2.如乙方被政府部门列入商业贿赂不良记录，则严格按照《中华人民共和国反不正当竞争法》相关规定处理。</w:t>
      </w:r>
    </w:p>
    <w:p>
      <w:pPr>
        <w:ind w:firstLine="211"/>
        <w:jc w:val="both"/>
      </w:pPr>
      <w:r>
        <w:rPr>
          <w:b/>
          <w:sz w:val="21"/>
        </w:rPr>
        <w:t>四、</w:t>
      </w:r>
      <w:r>
        <w:rPr>
          <w:sz w:val="21"/>
        </w:rPr>
        <w:t>本协议作为甲乙双方业务合同的重要组成部分，与业务合同一并执行，具有同等法律效力。</w:t>
      </w:r>
    </w:p>
    <w:p>
      <w:pPr>
        <w:ind w:firstLine="211"/>
        <w:jc w:val="both"/>
      </w:pPr>
      <w:r>
        <w:rPr>
          <w:b/>
          <w:sz w:val="21"/>
        </w:rPr>
        <w:t>五、</w:t>
      </w:r>
      <w:r>
        <w:rPr>
          <w:sz w:val="21"/>
        </w:rPr>
        <w:t>本协议一式贰份，甲、乙双方各执壹份，并从签订之日起生效。</w:t>
      </w:r>
    </w:p>
    <w:p>
      <w:pPr>
        <w:ind w:firstLine="210"/>
        <w:jc w:val="both"/>
      </w:pPr>
    </w:p>
    <w:p>
      <w:pPr>
        <w:ind w:firstLine="210"/>
        <w:jc w:val="both"/>
      </w:pPr>
    </w:p>
    <w:p>
      <w:pPr>
        <w:ind w:firstLine="210"/>
        <w:jc w:val="both"/>
      </w:pPr>
    </w:p>
    <w:p>
      <w:pPr>
        <w:ind w:firstLine="210"/>
        <w:jc w:val="both"/>
      </w:pPr>
      <w:r>
        <w:rPr>
          <w:sz w:val="21"/>
        </w:rPr>
        <w:t xml:space="preserve"> </w:t>
      </w:r>
    </w:p>
    <w:p>
      <w:pPr>
        <w:ind w:firstLine="210"/>
        <w:jc w:val="both"/>
      </w:pPr>
      <w:r>
        <w:rPr>
          <w:sz w:val="21"/>
        </w:rPr>
        <w:t>甲方（盖章）：</w:t>
      </w:r>
      <w:r>
        <w:rPr>
          <w:sz w:val="21"/>
        </w:rPr>
        <w:t xml:space="preserve">             </w:t>
      </w:r>
      <w:r>
        <w:rPr>
          <w:sz w:val="21"/>
        </w:rPr>
        <w:t>乙方（盖章）：</w:t>
      </w:r>
    </w:p>
    <w:p>
      <w:pPr>
        <w:ind w:firstLine="210"/>
        <w:jc w:val="both"/>
      </w:pPr>
    </w:p>
    <w:p>
      <w:pPr>
        <w:ind w:firstLine="210"/>
        <w:jc w:val="both"/>
      </w:pPr>
      <w:r>
        <w:rPr>
          <w:sz w:val="21"/>
        </w:rPr>
        <w:t>法人代表（负责人）：</w:t>
      </w:r>
      <w:r>
        <w:rPr>
          <w:sz w:val="21"/>
        </w:rPr>
        <w:t xml:space="preserve">              </w:t>
      </w:r>
      <w:r>
        <w:rPr>
          <w:sz w:val="21"/>
        </w:rPr>
        <w:t>法人代表（负责人）：</w:t>
      </w:r>
    </w:p>
    <w:p>
      <w:pPr>
        <w:ind w:firstLine="210"/>
        <w:jc w:val="both"/>
      </w:pPr>
    </w:p>
    <w:p>
      <w:pPr>
        <w:ind w:firstLine="210"/>
        <w:jc w:val="both"/>
      </w:pPr>
      <w:r>
        <w:rPr>
          <w:sz w:val="21"/>
        </w:rPr>
        <w:t>经办人签名：</w:t>
      </w:r>
      <w:r>
        <w:rPr>
          <w:sz w:val="21"/>
        </w:rPr>
        <w:t xml:space="preserve">               </w:t>
      </w:r>
      <w:r>
        <w:rPr>
          <w:sz w:val="21"/>
        </w:rPr>
        <w:t>经办人签名：</w:t>
      </w:r>
    </w:p>
    <w:p>
      <w:pPr>
        <w:ind w:firstLine="210"/>
        <w:jc w:val="both"/>
      </w:pPr>
    </w:p>
    <w:p>
      <w:pPr>
        <w:ind w:firstLine="210"/>
        <w:jc w:val="both"/>
      </w:pP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440101-2024-03666</w:t>
      </w:r>
    </w:p>
    <w:p>
      <w:pPr>
        <w:jc w:val="center"/>
      </w:pPr>
      <w:r>
        <w:rPr>
          <w:b/>
          <w:sz w:val="24"/>
        </w:rPr>
        <w:t>采购项目编号：</w:t>
      </w:r>
      <w:r>
        <w:rPr>
          <w:b/>
          <w:sz w:val="24"/>
        </w:rPr>
        <w:t>GZGK24D064C0124Z</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广州市国科招标代理有限公司</w:t>
      </w:r>
    </w:p>
    <w:p>
      <w:pPr>
        <w:ind w:firstLine="480"/>
      </w:pPr>
      <w:r>
        <w:rPr/>
        <w:t>你方组织的</w:t>
      </w:r>
      <w:r>
        <w:rPr>
          <w:u w:val="single"/>
        </w:rPr>
        <w:t>“</w:t>
      </w:r>
      <w:r>
        <w:rPr>
          <w:u w:val="single"/>
        </w:rPr>
        <w:t>广州医科大学附属第五医院直线加速器维保服务项目</w:t>
      </w:r>
      <w:r>
        <w:rPr>
          <w:u w:val="single"/>
        </w:rPr>
        <w:t>”</w:t>
      </w:r>
      <w:r>
        <w:rPr/>
        <w:t>项目的招标[采购项目编号为：</w:t>
      </w:r>
      <w:r>
        <w:rPr>
          <w:u w:val="single"/>
        </w:rPr>
        <w:t>GZGK24D064C0124Z</w:t>
      </w:r>
      <w:r>
        <w:rPr/>
        <w:t>]，我方愿参与投标。</w:t>
      </w:r>
    </w:p>
    <w:p>
      <w:pPr>
        <w:ind w:firstLine="480"/>
      </w:pPr>
      <w:r>
        <w:rPr/>
        <w:t>我方确认收到贵方提供的</w:t>
      </w:r>
      <w:r>
        <w:rPr>
          <w:u w:val="single"/>
        </w:rPr>
        <w:t>“</w:t>
      </w:r>
      <w:r>
        <w:rPr>
          <w:u w:val="single"/>
        </w:rPr>
        <w:t>广州医科大学附属第五医院直线加速器维保服务项目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（十二）我方承诺遵守《中华人民共和国劳动合同法》有关规定和《中华人民共和国妇女权益保障法》中关于“劳动和社会保障权益”的有关要求。</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广州医科大学附属第五医院直线加速器维保服务项目</w:t>
      </w:r>
      <w:r>
        <w:rPr/>
        <w:t>”项目采购[采购项目编号为</w:t>
      </w:r>
      <w:r>
        <w:rPr/>
        <w:t>GZGK24D064C0124Z</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广州医科大学附属第五医院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r>
        <w:rPr/>
        <w:t>（七）根据《财政部关于规范政府采购行政处罚有关问题的通知》（财库〔2015〕150 号）规定，各级人民政府财政部门依法对供应商作出的禁止参加政府采购活动的行政处罚决定在全国范围内生效。 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广州市国科招标代理有限公司</w:t>
      </w:r>
    </w:p>
    <w:p>
      <w:pPr>
        <w:ind w:firstLine="480"/>
      </w:pPr>
      <w:r>
        <w:rPr/>
        <w:t>如果我方在贵采购代理机构组织的</w:t>
      </w:r>
      <w:r>
        <w:rPr/>
        <w:t>广州医科大学附属第五医院直线加速器维保服务项目</w:t>
      </w:r>
      <w:r>
        <w:rPr/>
        <w:t>招标中获中标（采购项目编号：</w:t>
      </w:r>
      <w:r>
        <w:rPr/>
        <w:t>GZGK24D064C0124Z</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广州市国科招标代理有限公司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