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440112-2023-02233</w:t>
      </w:r>
    </w:p>
    <w:p>
      <w:pPr>
        <w:jc w:val="center"/>
      </w:pPr>
      <w:r>
        <w:rPr>
          <w:b/>
          <w:sz w:val="24"/>
        </w:rPr>
        <w:t>采购项目编号：</w:t>
      </w:r>
      <w:r>
        <w:rPr>
          <w:b/>
          <w:sz w:val="24"/>
        </w:rPr>
        <w:t>GZGK23D105A0286Z</w:t>
      </w:r>
    </w:p>
    <w:p>
      <w:pPr>
        <w:jc w:val="center"/>
      </w:pPr>
      <w:r>
        <w:rPr>
          <w:b/>
          <w:sz w:val="24"/>
        </w:rPr>
        <w:t>项目名称：</w:t>
      </w:r>
      <w:r>
        <w:rPr>
          <w:b/>
          <w:sz w:val="24"/>
        </w:rPr>
        <w:t>广州市黄埔区环卫美化服务中心马路扫采购项目</w:t>
      </w:r>
    </w:p>
    <w:p>
      <w:pPr>
        <w:jc w:val="center"/>
      </w:pPr>
      <w:r>
        <w:rPr>
          <w:b/>
          <w:sz w:val="24"/>
        </w:rPr>
        <w:t>采购人：</w:t>
      </w:r>
      <w:r>
        <w:rPr>
          <w:b/>
          <w:sz w:val="24"/>
        </w:rPr>
        <w:t>广州市黄埔区环卫美化服务中心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广州市黄埔区环卫美化服务中心</w:t>
      </w:r>
      <w:r>
        <w:rPr/>
        <w:t>的委托，采用</w:t>
      </w:r>
      <w:r>
        <w:rPr/>
        <w:t>公开招标</w:t>
      </w:r>
      <w:r>
        <w:rPr/>
        <w:t>方式组织采购</w:t>
      </w:r>
      <w:r>
        <w:rPr/>
        <w:t>广州市黄埔区环卫美化服务中心马路扫采购项目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广州市黄埔区环卫美化服务中心马路扫采购项目</w:t>
      </w:r>
    </w:p>
    <w:p>
      <w:pPr>
        <w:ind w:firstLine="480"/>
      </w:pPr>
      <w:r>
        <w:rPr/>
        <w:t>采购计划编号：</w:t>
      </w:r>
      <w:r>
        <w:rPr/>
        <w:t>440112-2023-02233</w:t>
      </w:r>
    </w:p>
    <w:p>
      <w:pPr>
        <w:ind w:firstLine="480"/>
      </w:pPr>
      <w:r>
        <w:rPr/>
        <w:t>采购项目编号：</w:t>
      </w:r>
      <w:r>
        <w:rPr/>
        <w:t>GZGK23D105A0286Z</w:t>
      </w:r>
    </w:p>
    <w:p>
      <w:pPr>
        <w:ind w:firstLine="480"/>
      </w:pPr>
      <w:r>
        <w:rPr/>
        <w:t>采购方式：</w:t>
      </w:r>
      <w:r>
        <w:rPr/>
        <w:t>公开招标</w:t>
      </w:r>
    </w:p>
    <w:p>
      <w:pPr>
        <w:ind w:firstLine="480"/>
      </w:pPr>
      <w:r>
        <w:rPr/>
        <w:t>预算金额：</w:t>
      </w:r>
      <w:r>
        <w:rPr/>
        <w:t>1,999,000.00</w:t>
      </w:r>
      <w:r>
        <w:rPr/>
        <w:t>元</w:t>
      </w:r>
    </w:p>
    <w:p>
      <w:r>
        <w:rPr>
          <w:b/>
          <w:sz w:val="24"/>
        </w:rPr>
        <w:t>2.项目内容及需求情况（采购项目技术规格、参数及要求）</w:t>
      </w:r>
    </w:p>
    <w:p>
      <w:pPr>
        <w:ind w:firstLine="480"/>
      </w:pPr>
    </w:p>
    <w:p/>
    <w:p>
      <w:r>
        <w:rPr/>
        <w:t>采购包1(马路扫):</w:t>
      </w:r>
    </w:p>
    <w:p>
      <w:r>
        <w:rPr/>
        <w:t>采购包预算金额：1,999,000.00元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其他清洁用品</w:t>
            </w:r>
          </w:p>
        </w:tc>
        <w:tc>
          <w:tcPr>
            <w:tcW w:type="dxa" w:w="2052"/>
          </w:tcPr>
          <w:p>
            <w:r>
              <w:rPr/>
              <w:t>马路扫1</w:t>
            </w:r>
          </w:p>
        </w:tc>
        <w:tc>
          <w:tcPr>
            <w:tcW w:type="dxa" w:w="977"/>
          </w:tcPr>
          <w:p>
            <w:r>
              <w:rPr/>
              <w:t>50,000.00(把)</w:t>
            </w:r>
          </w:p>
        </w:tc>
        <w:tc>
          <w:tcPr>
            <w:tcW w:type="dxa" w:w="977"/>
          </w:tcPr>
          <w:p>
            <w:r>
              <w:rPr/>
              <w:t>详见第二章</w:t>
            </w:r>
          </w:p>
        </w:tc>
        <w:tc>
          <w:tcPr>
            <w:tcW w:type="dxa" w:w="977"/>
          </w:tcPr>
          <w:p>
            <w:r>
              <w:rPr/>
              <w:t>925,000.00</w:t>
            </w:r>
          </w:p>
        </w:tc>
        <w:tc>
          <w:tcPr>
            <w:tcW w:type="dxa" w:w="977"/>
          </w:tcPr>
          <w:p>
            <w:r>
              <w:rPr/>
              <w:t>否</w:t>
            </w:r>
          </w:p>
        </w:tc>
      </w:tr>
      <w:tr>
        <w:tc>
          <w:tcPr>
            <w:tcW w:type="dxa" w:w="977"/>
          </w:tcPr>
          <w:p>
            <w:r>
              <w:rPr/>
              <w:t>1-2</w:t>
            </w:r>
          </w:p>
        </w:tc>
        <w:tc>
          <w:tcPr>
            <w:tcW w:type="dxa" w:w="1368"/>
          </w:tcPr>
          <w:p>
            <w:r>
              <w:rPr/>
              <w:t>其他清洁用品</w:t>
            </w:r>
          </w:p>
        </w:tc>
        <w:tc>
          <w:tcPr>
            <w:tcW w:type="dxa" w:w="2052"/>
          </w:tcPr>
          <w:p>
            <w:r>
              <w:rPr/>
              <w:t>马路扫2</w:t>
            </w:r>
          </w:p>
        </w:tc>
        <w:tc>
          <w:tcPr>
            <w:tcW w:type="dxa" w:w="977"/>
          </w:tcPr>
          <w:p>
            <w:r>
              <w:rPr/>
              <w:t>35,800.00(把)</w:t>
            </w:r>
          </w:p>
        </w:tc>
        <w:tc>
          <w:tcPr>
            <w:tcW w:type="dxa" w:w="977"/>
          </w:tcPr>
          <w:p>
            <w:r>
              <w:rPr/>
              <w:t>详见第二章</w:t>
            </w:r>
          </w:p>
        </w:tc>
        <w:tc>
          <w:tcPr>
            <w:tcW w:type="dxa" w:w="977"/>
          </w:tcPr>
          <w:p>
            <w:r>
              <w:rPr/>
              <w:t>1,074,000.00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采购包1（马路扫）：</w:t>
      </w:r>
      <w:r>
        <w:rPr/>
        <w:t>采购包整体专门面向中小企业，全部货物须由中小微企业或监狱企业或残疾人福利性单位制造。 注：本项目采购标的对应的中小企业划分标准所属行业为：工业。</w:t>
      </w:r>
    </w:p>
    <w:p/>
    <w:p>
      <w:r>
        <w:rPr>
          <w:b/>
          <w:sz w:val="24"/>
        </w:rPr>
        <w:t>3.本项目特定的资格要求：</w:t>
      </w:r>
    </w:p>
    <w:p>
      <w:pPr>
        <w:ind w:firstLine="480"/>
      </w:pPr>
    </w:p>
    <w:p/>
    <w:p>
      <w:r>
        <w:rPr/>
        <w:t>采购包1（马路扫）：</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广州市黄埔区环卫美化服务中心</w:t>
      </w:r>
    </w:p>
    <w:p>
      <w:pPr>
        <w:ind w:firstLine="480"/>
      </w:pPr>
      <w:r>
        <w:rPr/>
        <w:t>地址：</w:t>
      </w:r>
      <w:r>
        <w:rPr/>
        <w:t>广州市黄埔区科学城揽月路西玉树公园内</w:t>
      </w:r>
    </w:p>
    <w:p>
      <w:pPr>
        <w:ind w:firstLine="480"/>
      </w:pPr>
      <w:r>
        <w:rPr/>
        <w:t>联系方式：</w:t>
      </w:r>
      <w:r>
        <w:rPr/>
        <w:t>020-82113932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020-37814404、020-87687817</w:t>
      </w:r>
    </w:p>
    <w:p>
      <w:r>
        <w:rPr>
          <w:b/>
          <w:sz w:val="24"/>
        </w:rPr>
        <w:t>3.项目联系方式</w:t>
      </w:r>
    </w:p>
    <w:p>
      <w:pPr>
        <w:ind w:firstLine="480"/>
      </w:pPr>
      <w:r>
        <w:rPr/>
        <w:t>项目联系人：</w:t>
      </w:r>
      <w:r>
        <w:rPr/>
        <w:t>吕永珊、梁思瑶</w:t>
      </w:r>
    </w:p>
    <w:p>
      <w:pPr>
        <w:ind w:firstLine="480"/>
      </w:pPr>
      <w:r>
        <w:rPr/>
        <w:t>电话：</w:t>
      </w:r>
      <w:r>
        <w:rPr/>
        <w:t>020-37814404、020-87687817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GZGK23D105A0286Z</w:t>
      </w:r>
    </w:p>
    <w:p>
      <w:pPr>
        <w:jc w:val="both"/>
      </w:pPr>
      <w:r>
        <w:rPr>
          <w:b/>
          <w:sz w:val="21"/>
        </w:rPr>
        <w:t>（二）</w:t>
      </w:r>
      <w:r>
        <w:rPr>
          <w:b/>
          <w:sz w:val="21"/>
        </w:rPr>
        <w:t>项目名称：</w:t>
      </w:r>
      <w:r>
        <w:rPr>
          <w:sz w:val="21"/>
        </w:rPr>
        <w:t>广州市黄埔区环卫美化服务中心马路扫采购项目</w:t>
      </w:r>
    </w:p>
    <w:p>
      <w:pPr>
        <w:jc w:val="both"/>
      </w:pPr>
      <w:r>
        <w:rPr>
          <w:b/>
          <w:color w:val="000000"/>
          <w:sz w:val="21"/>
        </w:rPr>
        <w:t>（三）</w:t>
      </w:r>
      <w:r>
        <w:rPr>
          <w:b/>
          <w:color w:val="000000"/>
          <w:sz w:val="21"/>
        </w:rPr>
        <w:t>总体要求说明：</w:t>
      </w:r>
    </w:p>
    <w:p>
      <w:pPr>
        <w:jc w:val="both"/>
      </w:pPr>
      <w:r>
        <w:rPr>
          <w:sz w:val="21"/>
        </w:rPr>
        <w:t>1、</w:t>
      </w:r>
      <w:r>
        <w:rPr>
          <w:color w:val="000000"/>
          <w:sz w:val="21"/>
        </w:rPr>
        <w:t>投标人必须承诺提供厂商原装、全新的、符合国家及用户提出的有关质量标准的产品。</w:t>
      </w:r>
    </w:p>
    <w:p>
      <w:pPr>
        <w:jc w:val="both"/>
      </w:pPr>
      <w:r>
        <w:rPr>
          <w:sz w:val="21"/>
        </w:rPr>
        <w:t>2、</w:t>
      </w:r>
      <w:r>
        <w:rPr>
          <w:color w:val="000000"/>
          <w:sz w:val="21"/>
        </w:rPr>
        <w:t>投标人应对采购需求中的性能和技术指标在响应详细内容中列出具体数值。如果投标人只注明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sz w:val="21"/>
        </w:rPr>
        <w:t>3、</w:t>
      </w:r>
      <w:r>
        <w:rPr>
          <w:color w:val="000000"/>
          <w:sz w:val="21"/>
        </w:rPr>
        <w:t>投标人所投产品除项目采购文件中明确规定要求提供彩页或相应检测报告等证明材</w:t>
      </w:r>
      <w:r>
        <w:rPr>
          <w:sz w:val="21"/>
        </w:rPr>
        <w:t>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4、</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5、</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6、</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7、</w:t>
      </w:r>
      <w:r>
        <w:rPr>
          <w:sz w:val="21"/>
        </w:rPr>
        <w:t>投标人没有在投标文件中注明偏离（文字说明或在响应表注明）的参数、配置、条款视为被投标人完全接受。</w:t>
      </w:r>
    </w:p>
    <w:p>
      <w:pPr>
        <w:jc w:val="both"/>
      </w:pPr>
      <w:r>
        <w:rPr>
          <w:sz w:val="21"/>
        </w:rPr>
        <w:t>8、</w:t>
      </w:r>
      <w:r>
        <w:rPr>
          <w:sz w:val="21"/>
        </w:rPr>
        <w:t>投标人应保证，采购人在中华人民共和国使用该货物或货物的任何一部分时，免受第三方提出的侵犯其专利权、商标权、著作权或其它知识产权的起诉。</w:t>
      </w:r>
    </w:p>
    <w:p>
      <w:pPr>
        <w:jc w:val="both"/>
      </w:pPr>
      <w:r>
        <w:rPr>
          <w:sz w:val="21"/>
        </w:rPr>
        <w:t>9、</w:t>
      </w:r>
      <w:r>
        <w:rPr>
          <w:sz w:val="21"/>
        </w:rPr>
        <w:t>不允许中标供应商</w:t>
      </w:r>
      <w:r>
        <w:rPr>
          <w:sz w:val="21"/>
        </w:rPr>
        <w:t>转包、分包项目内容</w:t>
      </w:r>
      <w:r>
        <w:rPr>
          <w:sz w:val="21"/>
        </w:rPr>
        <w:t>。</w:t>
      </w:r>
    </w:p>
    <w:p>
      <w:pPr>
        <w:jc w:val="both"/>
      </w:pPr>
      <w:r>
        <w:rPr>
          <w:sz w:val="21"/>
        </w:rPr>
        <w:t>10、</w:t>
      </w:r>
      <w:r>
        <w:rPr>
          <w:sz w:val="21"/>
        </w:rPr>
        <w:t>小型和微型企业、监狱企业和残疾人福利性单位必须按照招标文件第三章内容提供相应的资料。</w:t>
      </w:r>
    </w:p>
    <w:p>
      <w:pPr>
        <w:jc w:val="both"/>
      </w:pPr>
      <w:r>
        <w:rPr>
          <w:sz w:val="21"/>
        </w:rPr>
        <w:t>11、</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12、</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b/>
          <w:sz w:val="21"/>
        </w:rPr>
        <w:t>（四）</w:t>
      </w:r>
      <w:r>
        <w:rPr>
          <w:b/>
          <w:sz w:val="21"/>
        </w:rPr>
        <w:t>其他说明：</w:t>
      </w:r>
    </w:p>
    <w:p>
      <w:pPr>
        <w:jc w:val="both"/>
      </w:pPr>
      <w:r>
        <w:rPr>
          <w:color w:val="000000"/>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color w:val="000000"/>
          <w:sz w:val="21"/>
        </w:rPr>
        <w:t>盘及纸质投标文件前往开标现场进行签到、解密。</w:t>
      </w:r>
    </w:p>
    <w:p>
      <w:pPr>
        <w:jc w:val="both"/>
      </w:pPr>
      <w:r>
        <w:rPr>
          <w:sz w:val="21"/>
        </w:rPr>
        <w:t>2、</w:t>
      </w:r>
      <w:r>
        <w:rPr>
          <w:color w:val="000000"/>
          <w:sz w:val="21"/>
        </w:rPr>
        <w:t>纸质投标文件邮寄地址（邮寄地址：广州市先烈中路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1、本项目采用下浮率报价，</w:t>
      </w:r>
      <w:r>
        <w:rPr>
          <w:sz w:val="21"/>
        </w:rPr>
        <w:t>所有货物均适用于同一个</w:t>
      </w:r>
      <w:r>
        <w:rPr>
          <w:sz w:val="21"/>
        </w:rPr>
        <w:t>下浮率，投标下浮率在以下范围内取值：</w:t>
      </w:r>
      <w:r>
        <w:rPr>
          <w:sz w:val="21"/>
        </w:rPr>
        <w:t>0.00%≤投标下浮率＜100.00%，凡超出报价范围的投标，一律视为无效投标。投标下浮率必须为固定、唯一报价，不接受区间报价，</w:t>
      </w:r>
      <w:r>
        <w:rPr>
          <w:sz w:val="21"/>
        </w:rPr>
        <w:t>保留两位小数点</w:t>
      </w:r>
      <w:r>
        <w:rPr>
          <w:sz w:val="21"/>
        </w:rPr>
        <w:t>。</w:t>
      </w:r>
      <w:r>
        <w:rPr>
          <w:sz w:val="21"/>
        </w:rPr>
        <w:t>各种货物的采购数量按采购人实际需求。</w:t>
      </w:r>
      <w:r>
        <w:rPr>
          <w:sz w:val="21"/>
        </w:rPr>
        <w:t>例如，某货物的单价最高限价为</w:t>
      </w:r>
      <w:r>
        <w:rPr>
          <w:sz w:val="21"/>
        </w:rPr>
        <w:t>100元，投标人实际供货价为80元，则其投标下浮率为[（100-80）/100]×100%=20%。</w:t>
      </w:r>
    </w:p>
    <w:p>
      <w:pPr>
        <w:jc w:val="both"/>
      </w:pPr>
      <w:r>
        <w:rPr>
          <w:sz w:val="21"/>
        </w:rPr>
        <w:t>2、本项目采用投标下浮率的方式报价，结算费用=单价最高限价×（1-投标下浮率）×实际供货数量。</w:t>
      </w:r>
    </w:p>
    <w:p>
      <w:pPr>
        <w:jc w:val="both"/>
      </w:pPr>
      <w:r>
        <w:rPr>
          <w:sz w:val="21"/>
        </w:rPr>
        <w:t>3、投标报价包括：完成本项目的成本、利润、运费、税金及合同实施过程中不可预见费用等。</w:t>
      </w:r>
    </w:p>
    <w:p>
      <w:pPr>
        <w:jc w:val="both"/>
      </w:pPr>
      <w:r>
        <w:rPr>
          <w:b/>
          <w:sz w:val="21"/>
        </w:rPr>
        <w:t>（六）</w:t>
      </w:r>
      <w:r>
        <w:rPr>
          <w:b/>
          <w:sz w:val="21"/>
        </w:rPr>
        <w:t>实现的功能</w:t>
      </w:r>
    </w:p>
    <w:p>
      <w:pPr>
        <w:ind w:firstLine="420"/>
        <w:jc w:val="both"/>
      </w:pPr>
      <w:r>
        <w:rPr>
          <w:sz w:val="21"/>
        </w:rPr>
        <w:t>本项目拟采购马路扫一批，有效保障环卫工人作业工具及时发放到位，确保环卫工人作业条件得到保障。</w:t>
      </w:r>
    </w:p>
    <w:p>
      <w:pPr>
        <w:jc w:val="both"/>
      </w:pPr>
      <w:r>
        <w:rPr>
          <w:b/>
          <w:sz w:val="21"/>
        </w:rPr>
        <w:t>（七）</w:t>
      </w:r>
      <w:r>
        <w:rPr>
          <w:b/>
          <w:sz w:val="21"/>
        </w:rPr>
        <w:t>需执行国家相关标准、行业标准、地方标准或者其他标准、规范</w:t>
      </w:r>
    </w:p>
    <w:p>
      <w:pPr>
        <w:ind w:firstLine="420"/>
        <w:jc w:val="both"/>
      </w:pPr>
      <w:r>
        <w:rPr>
          <w:sz w:val="21"/>
        </w:rPr>
        <w:t>投标人提供的物品必须是全新、表面无划伤、无碰撞，产品质量符合中华人民共和国国家行业标准。</w:t>
      </w:r>
    </w:p>
    <w:p>
      <w:pPr>
        <w:ind w:firstLine="420"/>
        <w:jc w:val="both"/>
      </w:pPr>
      <w:r>
        <w:rPr>
          <w:sz w:val="21"/>
        </w:rPr>
        <w:t>本项目要求中如有出现工艺、材料仅为方便描述而设有限制性，供应商可以在其提供的文件资料中选用替代标准，但这些替代标准必须相当于或优于本</w:t>
      </w:r>
      <w:r>
        <w:rPr>
          <w:sz w:val="21"/>
        </w:rPr>
        <w:t>采购需求</w:t>
      </w:r>
      <w:r>
        <w:rPr>
          <w:sz w:val="21"/>
        </w:rPr>
        <w:t>的标准。</w:t>
      </w:r>
    </w:p>
    <w:p/>
    <w:p>
      <w:pPr>
        <w:ind w:firstLine="480"/>
      </w:pPr>
    </w:p>
    <w:p/>
    <w:p>
      <w:r>
        <w:rPr/>
        <w:t>采购包1（马路扫）</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供货期：合同签订生效之日起1年或累计结算金额达采购预算，以二者先到者为准。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1期：支付比例100%,1、由采购人按下列程序付款： (1)结算费用按月支付。合同签订后5个工作日内，中标供应商向采购人提交本项目预算金额30%的等额发票，采购人收到发票后15日内支付预算金额的30%作为预付款。 (2)采购人每月支付一次上月的货款，先从预付款中扣除。预付款扣完时，采购人再另行支付每月的结算费用。 （3）每次支付时，采购人收到完整的申请资料后15日内完成资金支付，支付方式为银行转账形式。 2、结算费用=单价最高限价×（1-投标下浮率）×实际供货数量。 3、采购项目清单中货物内容所涉的各项货物数量为计划采购数，该计划采购数量与实际采购需求数可能存在差异。为避免货款结算产生异议，采购人可依据实际采购需要调整采购相关马路扫数量，双方应以实际采购数量进行结算，结算费用不得超过本项目的采购预算金额。</w:t>
            </w:r>
          </w:p>
        </w:tc>
      </w:tr>
      <w:tr>
        <w:tc>
          <w:tcPr>
            <w:tcW w:type="dxa" w:w="4153"/>
          </w:tcPr>
          <w:p>
            <w:r>
              <w:rPr/>
              <w:t>验收要求</w:t>
            </w:r>
          </w:p>
        </w:tc>
        <w:tc>
          <w:tcPr>
            <w:tcW w:type="dxa" w:w="4153"/>
          </w:tcPr>
          <w:p/>
          <w:p/>
          <w:p/>
          <w:p>
            <w:r>
              <w:rPr/>
              <w:t>1期：1、货物到达现场后，采购人将对货物进行验收。中标供应商每次送货前，应当通知采购人验收。未通知采购人验收的，采购人有权不予支付该批货物的经费。 2、货物到达现场后，采购人将对货物进行验收。有下列情形之一的，视为受检的单个产品不合格。  （1）不符合招标文件规定的材质、质量、规格、性能要求的。  （2）与投标样品相比，材质、质量、葵重量、性能不一致的。  3、配送货物必须按时按量按质送到采购人指定地点，并当面核实数量。验收完毕后，双方必须在货物收货清单（格式自定，但必须包括货物名称、规格、数量等内容）上签名确认，中标供应商并出具质量和使用安全承诺书或产品合格证或检验报告保证使用安全，作为采购人支付货款的依据之一。 4、产品未提供合格证或检验报告或质量承诺，或与合格证、检测报告、承诺书不符，有责任事故的，中标供应商必须承担相应责任事故，并赔偿相应的费用。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送货方式，每次根据采购人的电话或其它方式通知订购品种、数量后，中标供应商按时运送物品到采购人指定地点，中标供应商随货提供注明货物名称、单位、数量、售价及总金额的商品送货清单及发票，作为采购人入库验收之凭证。</w:t>
            </w:r>
          </w:p>
          <w:p/>
          <w:p>
            <w:r>
              <w:rPr/>
              <w:t>（二）数量要求，保证配送品种、数目的准确性，以采购人的验货数量为准，中标供应商每次随货送上一式两份的送货清单，供双方验货后签字确认，双方各持一份，作为送、收货的凭证。</w:t>
            </w:r>
          </w:p>
          <w:p/>
          <w:p>
            <w:r>
              <w:rPr/>
              <w:t>（三）配送要求，1、每次根据采购人的通知订购品种和数量后，具体送货时间由采购人通知时约定，由采购人指定负责人验收。对于不符合质量的品种采购人可退货或换货（由于产品质量问题造成安全事故的，中标供应商须承担全部责任）。 2、对批量购置的物品，采购人提前10个工作日将购置计划通知中标供应商，中标供应商须在购置计划约定的日期内配送；对采购人临时的供货要求，需随订随送，至少在4个小时内响应。对特急物品，需按采购人需求时限送达。</w:t>
            </w:r>
          </w:p>
          <w:p/>
          <w:p>
            <w:r>
              <w:rPr/>
              <w:t>（四）包装与运输，包装箱应用坚固的材料制造，适用长途运输、防潮、防锈、防震、防粗暴装卸。</w:t>
            </w:r>
          </w:p>
          <w:p/>
          <w:p>
            <w:r>
              <w:rPr/>
              <w:t>（五）保险，货物从出厂运至采购人指定地点的保险费用须包含在投标报价中。</w:t>
            </w:r>
          </w:p>
          <w:p/>
          <w:p>
            <w:r>
              <w:rPr/>
              <w:t>（六）售后服务，非采购人的人为原因而出现产品质量，由中标供应商负责包换或包退，并承担因此而产生的一切费用。</w:t>
            </w:r>
          </w:p>
          <w:p/>
          <w:p>
            <w:r>
              <w:rPr/>
              <w:t>（七）采购人配合条件，中标供应商在投标文件中要列明在交货验收前要求采购人提供的配合条件。</w:t>
            </w:r>
          </w:p>
          <w:p/>
          <w:p>
            <w:r>
              <w:rPr/>
              <w:t>（八）样品，1、投标人在递交投标文件的同时需按要求提供投标样品，需提供马路扫1、马路扫2各一把，该样品将作为评标的依据。 2、实物样品必须符合招标文件的要求，不按要求提交样品或提交的样品不符合采购需求的，将会导致样品评分及技术评分严重扣分。样品的各项技术质量指标标准应符合国家及地方强制性规定。 3、所有投标样品均需密封包装，外包装标明投标人名称、项目名称、项目编号、产品材料、联系人、联系电话并加盖投标人公章。 4、在采购任务完结之后，中标供应商的样品封存于采购人单位，作为履约验收的依据之一。采购人及采购代理机构对投标人所递交样品的破损或质量不负任何责任。未中标的投标人应在接到采购代理机构通知之日起3个工作日内自行取回投标样品。3个工作日后不取回样品，则视为自动放弃样品的所有权，采购机构有权自行处置相关样品。</w:t>
            </w: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其他清洁用品</w:t>
            </w:r>
          </w:p>
        </w:tc>
        <w:tc>
          <w:tcPr>
            <w:tcW w:type="dxa" w:w="748"/>
          </w:tcPr>
          <w:p>
            <w:pPr>
              <w:jc w:val="left"/>
            </w:pPr>
            <w:r>
              <w:rPr/>
              <w:t>马路扫1</w:t>
            </w:r>
          </w:p>
        </w:tc>
        <w:tc>
          <w:tcPr>
            <w:tcW w:type="dxa" w:w="748"/>
          </w:tcPr>
          <w:p>
            <w:pPr>
              <w:jc w:val="left"/>
            </w:pPr>
            <w:r>
              <w:rPr/>
              <w:t>把</w:t>
            </w:r>
          </w:p>
        </w:tc>
        <w:tc>
          <w:tcPr>
            <w:tcW w:type="dxa" w:w="748"/>
          </w:tcPr>
          <w:p>
            <w:pPr>
              <w:jc w:val="right"/>
            </w:pPr>
            <w:r>
              <w:rPr/>
              <w:t>50,000.00</w:t>
            </w:r>
          </w:p>
        </w:tc>
        <w:tc>
          <w:tcPr>
            <w:tcW w:type="dxa" w:w="748"/>
          </w:tcPr>
          <w:p>
            <w:pPr>
              <w:jc w:val="right"/>
            </w:pPr>
            <w:r>
              <w:rPr/>
              <w:t>18.50</w:t>
            </w:r>
          </w:p>
        </w:tc>
        <w:tc>
          <w:tcPr>
            <w:tcW w:type="dxa" w:w="748"/>
          </w:tcPr>
          <w:p>
            <w:pPr>
              <w:jc w:val="right"/>
            </w:pPr>
            <w:r>
              <w:rPr/>
              <w:t>925,000.00</w:t>
            </w:r>
          </w:p>
        </w:tc>
        <w:tc>
          <w:tcPr>
            <w:tcW w:type="dxa" w:w="748"/>
          </w:tcPr>
          <w:p>
            <w:r>
              <w:rPr/>
              <w:t>46.27</w:t>
            </w:r>
          </w:p>
        </w:tc>
        <w:tc>
          <w:tcPr>
            <w:tcW w:type="dxa" w:w="823"/>
          </w:tcPr>
          <w:p>
            <w:r>
              <w:rPr/>
              <w:t>工业</w:t>
            </w:r>
          </w:p>
        </w:tc>
        <w:tc>
          <w:tcPr>
            <w:tcW w:type="dxa" w:w="748"/>
          </w:tcPr>
          <w:p>
            <w:r>
              <w:rPr/>
              <w:t>详见附表一</w:t>
            </w:r>
          </w:p>
        </w:tc>
      </w:tr>
      <w:tr>
        <w:tc>
          <w:tcPr>
            <w:tcW w:type="dxa" w:w="748"/>
          </w:tcPr>
          <w:p>
            <w:pPr>
              <w:jc w:val="center"/>
            </w:pPr>
            <w:r>
              <w:rPr/>
              <w:t>2</w:t>
            </w:r>
          </w:p>
        </w:tc>
        <w:tc>
          <w:tcPr>
            <w:tcW w:type="dxa" w:w="748"/>
          </w:tcPr>
          <w:p>
            <w:pPr>
              <w:jc w:val="center"/>
            </w:pPr>
            <w:r>
              <w:rPr/>
              <w:t>△</w:t>
            </w:r>
          </w:p>
        </w:tc>
        <w:tc>
          <w:tcPr>
            <w:tcW w:type="dxa" w:w="748"/>
          </w:tcPr>
          <w:p>
            <w:pPr>
              <w:jc w:val="left"/>
            </w:pPr>
            <w:r>
              <w:rPr/>
              <w:t>其他清洁用品</w:t>
            </w:r>
          </w:p>
        </w:tc>
        <w:tc>
          <w:tcPr>
            <w:tcW w:type="dxa" w:w="748"/>
          </w:tcPr>
          <w:p>
            <w:pPr>
              <w:jc w:val="left"/>
            </w:pPr>
            <w:r>
              <w:rPr/>
              <w:t>马路扫2</w:t>
            </w:r>
          </w:p>
        </w:tc>
        <w:tc>
          <w:tcPr>
            <w:tcW w:type="dxa" w:w="748"/>
          </w:tcPr>
          <w:p>
            <w:pPr>
              <w:jc w:val="left"/>
            </w:pPr>
            <w:r>
              <w:rPr/>
              <w:t>把</w:t>
            </w:r>
          </w:p>
        </w:tc>
        <w:tc>
          <w:tcPr>
            <w:tcW w:type="dxa" w:w="748"/>
          </w:tcPr>
          <w:p>
            <w:pPr>
              <w:jc w:val="right"/>
            </w:pPr>
            <w:r>
              <w:rPr/>
              <w:t>35,800.00</w:t>
            </w:r>
          </w:p>
        </w:tc>
        <w:tc>
          <w:tcPr>
            <w:tcW w:type="dxa" w:w="748"/>
          </w:tcPr>
          <w:p>
            <w:pPr>
              <w:jc w:val="right"/>
            </w:pPr>
            <w:r>
              <w:rPr/>
              <w:t>30.00</w:t>
            </w:r>
          </w:p>
        </w:tc>
        <w:tc>
          <w:tcPr>
            <w:tcW w:type="dxa" w:w="748"/>
          </w:tcPr>
          <w:p>
            <w:pPr>
              <w:jc w:val="right"/>
            </w:pPr>
            <w:r>
              <w:rPr/>
              <w:t>1,074,000.00</w:t>
            </w:r>
          </w:p>
        </w:tc>
        <w:tc>
          <w:tcPr>
            <w:tcW w:type="dxa" w:w="748"/>
          </w:tcPr>
          <w:p>
            <w:r>
              <w:rPr/>
              <w:t>53.73</w:t>
            </w:r>
          </w:p>
        </w:tc>
        <w:tc>
          <w:tcPr>
            <w:tcW w:type="dxa" w:w="823"/>
          </w:tcPr>
          <w:p>
            <w:r>
              <w:rPr/>
              <w:t>工业</w:t>
            </w:r>
          </w:p>
        </w:tc>
        <w:tc>
          <w:tcPr>
            <w:tcW w:type="dxa" w:w="748"/>
          </w:tcPr>
          <w:p>
            <w:r>
              <w:rPr/>
              <w:t>详见附表二</w:t>
            </w:r>
          </w:p>
        </w:tc>
      </w:tr>
    </w:tbl>
    <w:p>
      <w:r>
        <w:rPr/>
        <w:t>备注：最终综合总报价=（各产品报价×各项产品权重）的相加值</w:t>
      </w:r>
    </w:p>
    <w:p/>
    <w:p>
      <w:r>
        <w:rPr>
          <w:b/>
        </w:rPr>
        <w:t>附表</w:t>
      </w:r>
      <w:r>
        <w:rPr>
          <w:b/>
        </w:rPr>
        <w:t>一</w:t>
      </w:r>
      <w:r>
        <w:rPr>
          <w:b/>
        </w:rPr>
        <w:t>：</w:t>
      </w:r>
      <w:r>
        <w:rPr>
          <w:b/>
        </w:rPr>
        <w:t>马路扫1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54"/>
              <w:gridCol w:w="3357"/>
              <w:gridCol w:w="581"/>
              <w:gridCol w:w="353"/>
              <w:gridCol w:w="652"/>
            </w:tblGrid>
            <w:tr>
              <w:tc>
                <w:tcPr>
                  <w:tcW w:type="dxa" w:w="654"/>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3357"/>
                  <w:tcBorders>
                    <w:top w:val="single" w:color="000000" w:sz="4"/>
                    <w:left w:val="single" w:color="000000" w:sz="4"/>
                    <w:bottom w:val="single" w:color="000000" w:sz="4"/>
                    <w:right w:val="single" w:color="000000" w:sz="4"/>
                  </w:tcBorders>
                  <w:vAlign w:val="top"/>
                </w:tcPr>
                <w:p>
                  <w:pPr>
                    <w:jc w:val="center"/>
                  </w:pPr>
                  <w:r>
                    <w:rPr>
                      <w:b/>
                      <w:sz w:val="21"/>
                    </w:rPr>
                    <w:t>规格参数</w:t>
                  </w:r>
                </w:p>
              </w:tc>
              <w:tc>
                <w:tcPr>
                  <w:tcW w:type="dxa" w:w="581"/>
                  <w:tcBorders>
                    <w:top w:val="single" w:color="000000" w:sz="4"/>
                    <w:left w:val="single" w:color="000000" w:sz="4"/>
                    <w:bottom w:val="single" w:color="000000" w:sz="4"/>
                    <w:right w:val="single" w:color="000000" w:sz="4"/>
                  </w:tcBorders>
                  <w:vAlign w:val="top"/>
                </w:tcPr>
                <w:p>
                  <w:pPr>
                    <w:jc w:val="center"/>
                  </w:pPr>
                  <w:r>
                    <w:rPr>
                      <w:b/>
                      <w:color w:val="000000"/>
                      <w:sz w:val="21"/>
                    </w:rPr>
                    <w:t>计划采购数</w:t>
                  </w:r>
                </w:p>
              </w:tc>
              <w:tc>
                <w:tcPr>
                  <w:tcW w:type="dxa" w:w="353"/>
                  <w:tcBorders>
                    <w:top w:val="single" w:color="000000" w:sz="4"/>
                    <w:left w:val="single" w:color="000000" w:sz="4"/>
                    <w:bottom w:val="single" w:color="000000" w:sz="4"/>
                    <w:right w:val="single" w:color="000000" w:sz="4"/>
                  </w:tcBorders>
                  <w:vAlign w:val="top"/>
                </w:tcPr>
                <w:p>
                  <w:pPr>
                    <w:jc w:val="center"/>
                  </w:pPr>
                  <w:r>
                    <w:rPr>
                      <w:b/>
                      <w:color w:val="000000"/>
                      <w:sz w:val="21"/>
                    </w:rPr>
                    <w:t>单位</w:t>
                  </w:r>
                </w:p>
              </w:tc>
              <w:tc>
                <w:tcPr>
                  <w:tcW w:type="dxa" w:w="652"/>
                  <w:tcBorders>
                    <w:top w:val="single" w:color="000000" w:sz="4"/>
                    <w:left w:val="single" w:color="000000" w:sz="4"/>
                    <w:bottom w:val="single" w:color="000000" w:sz="4"/>
                    <w:right w:val="single" w:color="000000" w:sz="4"/>
                  </w:tcBorders>
                  <w:vAlign w:val="top"/>
                </w:tcPr>
                <w:p>
                  <w:pPr>
                    <w:jc w:val="center"/>
                  </w:pPr>
                  <w:r>
                    <w:rPr>
                      <w:b/>
                      <w:color w:val="000000"/>
                      <w:sz w:val="21"/>
                    </w:rPr>
                    <w:t>单价最高限价</w:t>
                  </w:r>
                  <w:r>
                    <w:rPr>
                      <w:b/>
                      <w:color w:val="000000"/>
                      <w:sz w:val="21"/>
                    </w:rPr>
                    <w:t>(元)</w:t>
                  </w:r>
                </w:p>
              </w:tc>
            </w:tr>
            <w:tr>
              <w:tc>
                <w:tcPr>
                  <w:tcW w:type="dxa" w:w="654"/>
                  <w:tcBorders>
                    <w:top w:val="none" w:color="000000" w:sz="4"/>
                    <w:left w:val="single" w:color="000000" w:sz="4"/>
                    <w:bottom w:val="single" w:color="000000" w:sz="4"/>
                    <w:right w:val="single" w:color="000000" w:sz="4"/>
                  </w:tcBorders>
                  <w:vAlign w:val="top"/>
                </w:tcPr>
                <w:p>
                  <w:pPr>
                    <w:jc w:val="center"/>
                  </w:pPr>
                  <w:r>
                    <w:rPr>
                      <w:color w:val="000000"/>
                      <w:sz w:val="21"/>
                    </w:rPr>
                    <w:t>马路扫</w:t>
                  </w:r>
                  <w:r>
                    <w:rPr>
                      <w:color w:val="000000"/>
                      <w:sz w:val="21"/>
                    </w:rPr>
                    <w:t>1</w:t>
                  </w:r>
                </w:p>
              </w:tc>
              <w:tc>
                <w:tcPr>
                  <w:tcW w:type="dxa" w:w="3357"/>
                  <w:tcBorders>
                    <w:top w:val="none" w:color="000000" w:sz="4"/>
                    <w:left w:val="single" w:color="000000" w:sz="4"/>
                    <w:bottom w:val="single" w:color="000000" w:sz="4"/>
                    <w:right w:val="single" w:color="000000" w:sz="4"/>
                  </w:tcBorders>
                  <w:vAlign w:val="top"/>
                </w:tcPr>
                <w:p>
                  <w:pPr>
                    <w:jc w:val="both"/>
                  </w:pPr>
                  <w:r>
                    <w:rPr>
                      <w:sz w:val="21"/>
                    </w:rPr>
                    <w:t>1、材质越南葵，扫柄全新竹料，无虫蛀，完好；</w:t>
                  </w:r>
                </w:p>
                <w:p>
                  <w:pPr>
                    <w:jc w:val="both"/>
                  </w:pPr>
                  <w:r>
                    <w:rPr>
                      <w:sz w:val="21"/>
                    </w:rPr>
                    <w:t>2、</w:t>
                  </w:r>
                  <w:r>
                    <w:rPr>
                      <w:sz w:val="21"/>
                    </w:rPr>
                    <w:t>杆长150-153cm，杆径22-25mm，把头宽28-30cm，二度加固；</w:t>
                  </w:r>
                </w:p>
                <w:p>
                  <w:pPr>
                    <w:jc w:val="both"/>
                  </w:pPr>
                  <w:r>
                    <w:rPr>
                      <w:sz w:val="21"/>
                    </w:rPr>
                    <w:t>3、每把8株，每株条数≥50条；</w:t>
                  </w:r>
                </w:p>
                <w:p>
                  <w:pPr>
                    <w:jc w:val="both"/>
                  </w:pPr>
                  <w:r>
                    <w:rPr>
                      <w:sz w:val="21"/>
                    </w:rPr>
                    <w:t>4、葵骨长度98cm-105cm；宽度≥3mm，葵骨重量≥1.25kg；</w:t>
                  </w:r>
                </w:p>
                <w:p>
                  <w:pPr>
                    <w:jc w:val="both"/>
                  </w:pPr>
                  <w:r>
                    <w:rPr>
                      <w:sz w:val="21"/>
                    </w:rPr>
                    <w:t>5、每一株葵杆都用刚晒好的葵骨编扎而成。需以反面编扎防松工艺，整把马路扫坚实耐用。适用于大马路、水泥路、建筑工地的场地使用。</w:t>
                  </w:r>
                </w:p>
              </w:tc>
              <w:tc>
                <w:tcPr>
                  <w:tcW w:type="dxa" w:w="581"/>
                  <w:tcBorders>
                    <w:top w:val="none" w:color="000000" w:sz="4"/>
                    <w:left w:val="single" w:color="000000" w:sz="4"/>
                    <w:bottom w:val="single" w:color="000000" w:sz="4"/>
                    <w:right w:val="single" w:color="000000" w:sz="4"/>
                  </w:tcBorders>
                  <w:vAlign w:val="top"/>
                </w:tcPr>
                <w:p>
                  <w:pPr>
                    <w:jc w:val="center"/>
                  </w:pPr>
                  <w:r>
                    <w:rPr>
                      <w:sz w:val="21"/>
                    </w:rPr>
                    <w:t>50000</w:t>
                  </w:r>
                </w:p>
              </w:tc>
              <w:tc>
                <w:tcPr>
                  <w:tcW w:type="dxa" w:w="353"/>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18.50</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马路扫2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54"/>
              <w:gridCol w:w="3357"/>
              <w:gridCol w:w="581"/>
              <w:gridCol w:w="353"/>
              <w:gridCol w:w="652"/>
            </w:tblGrid>
            <w:tr>
              <w:tc>
                <w:tcPr>
                  <w:tcW w:type="dxa" w:w="654"/>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3357"/>
                  <w:tcBorders>
                    <w:top w:val="single" w:color="000000" w:sz="4"/>
                    <w:left w:val="single" w:color="000000" w:sz="4"/>
                    <w:bottom w:val="single" w:color="000000" w:sz="4"/>
                    <w:right w:val="single" w:color="000000" w:sz="4"/>
                  </w:tcBorders>
                  <w:vAlign w:val="top"/>
                </w:tcPr>
                <w:p>
                  <w:pPr>
                    <w:jc w:val="center"/>
                  </w:pPr>
                  <w:r>
                    <w:rPr>
                      <w:b/>
                      <w:sz w:val="21"/>
                    </w:rPr>
                    <w:t>规格参数</w:t>
                  </w:r>
                </w:p>
              </w:tc>
              <w:tc>
                <w:tcPr>
                  <w:tcW w:type="dxa" w:w="581"/>
                  <w:tcBorders>
                    <w:top w:val="single" w:color="000000" w:sz="4"/>
                    <w:left w:val="single" w:color="000000" w:sz="4"/>
                    <w:bottom w:val="single" w:color="000000" w:sz="4"/>
                    <w:right w:val="single" w:color="000000" w:sz="4"/>
                  </w:tcBorders>
                  <w:vAlign w:val="top"/>
                </w:tcPr>
                <w:p>
                  <w:pPr>
                    <w:jc w:val="center"/>
                  </w:pPr>
                  <w:r>
                    <w:rPr>
                      <w:b/>
                      <w:color w:val="000000"/>
                      <w:sz w:val="21"/>
                    </w:rPr>
                    <w:t>计划采购数</w:t>
                  </w:r>
                </w:p>
              </w:tc>
              <w:tc>
                <w:tcPr>
                  <w:tcW w:type="dxa" w:w="353"/>
                  <w:tcBorders>
                    <w:top w:val="single" w:color="000000" w:sz="4"/>
                    <w:left w:val="single" w:color="000000" w:sz="4"/>
                    <w:bottom w:val="single" w:color="000000" w:sz="4"/>
                    <w:right w:val="single" w:color="000000" w:sz="4"/>
                  </w:tcBorders>
                  <w:vAlign w:val="top"/>
                </w:tcPr>
                <w:p>
                  <w:pPr>
                    <w:jc w:val="center"/>
                  </w:pPr>
                  <w:r>
                    <w:rPr>
                      <w:b/>
                      <w:color w:val="000000"/>
                      <w:sz w:val="21"/>
                    </w:rPr>
                    <w:t>单位</w:t>
                  </w:r>
                </w:p>
              </w:tc>
              <w:tc>
                <w:tcPr>
                  <w:tcW w:type="dxa" w:w="652"/>
                  <w:tcBorders>
                    <w:top w:val="single" w:color="000000" w:sz="4"/>
                    <w:left w:val="single" w:color="000000" w:sz="4"/>
                    <w:bottom w:val="single" w:color="000000" w:sz="4"/>
                    <w:right w:val="single" w:color="000000" w:sz="4"/>
                  </w:tcBorders>
                  <w:vAlign w:val="top"/>
                </w:tcPr>
                <w:p>
                  <w:pPr>
                    <w:jc w:val="center"/>
                  </w:pPr>
                  <w:r>
                    <w:rPr>
                      <w:b/>
                      <w:color w:val="000000"/>
                      <w:sz w:val="21"/>
                    </w:rPr>
                    <w:t>单价最高限价</w:t>
                  </w:r>
                  <w:r>
                    <w:rPr>
                      <w:b/>
                      <w:color w:val="000000"/>
                      <w:sz w:val="21"/>
                    </w:rPr>
                    <w:t>(元)</w:t>
                  </w:r>
                </w:p>
              </w:tc>
            </w:tr>
            <w:tr>
              <w:tc>
                <w:tcPr>
                  <w:tcW w:type="dxa" w:w="654"/>
                  <w:tcBorders>
                    <w:top w:val="none" w:color="000000" w:sz="4"/>
                    <w:left w:val="single" w:color="000000" w:sz="4"/>
                    <w:bottom w:val="single" w:color="000000" w:sz="4"/>
                    <w:right w:val="single" w:color="000000" w:sz="4"/>
                  </w:tcBorders>
                  <w:vAlign w:val="top"/>
                </w:tcPr>
                <w:p>
                  <w:pPr>
                    <w:jc w:val="center"/>
                  </w:pPr>
                  <w:r>
                    <w:rPr>
                      <w:color w:val="000000"/>
                      <w:sz w:val="21"/>
                    </w:rPr>
                    <w:t>马路扫</w:t>
                  </w:r>
                  <w:r>
                    <w:rPr>
                      <w:color w:val="000000"/>
                      <w:sz w:val="21"/>
                    </w:rPr>
                    <w:t>2</w:t>
                  </w:r>
                </w:p>
              </w:tc>
              <w:tc>
                <w:tcPr>
                  <w:tcW w:type="dxa" w:w="3357"/>
                  <w:tcBorders>
                    <w:top w:val="none" w:color="000000" w:sz="4"/>
                    <w:left w:val="single" w:color="000000" w:sz="4"/>
                    <w:bottom w:val="single" w:color="000000" w:sz="4"/>
                    <w:right w:val="single" w:color="000000" w:sz="4"/>
                  </w:tcBorders>
                  <w:vAlign w:val="top"/>
                </w:tcPr>
                <w:p>
                  <w:pPr>
                    <w:jc w:val="both"/>
                  </w:pPr>
                  <w:r>
                    <w:rPr>
                      <w:sz w:val="21"/>
                    </w:rPr>
                    <w:t>1、材质新会葵，扫柄全新竹料，无虫蛀，完好；</w:t>
                  </w:r>
                </w:p>
                <w:p>
                  <w:pPr>
                    <w:jc w:val="both"/>
                  </w:pPr>
                  <w:r>
                    <w:rPr>
                      <w:sz w:val="21"/>
                    </w:rPr>
                    <w:t>2、</w:t>
                  </w:r>
                  <w:r>
                    <w:rPr>
                      <w:sz w:val="21"/>
                    </w:rPr>
                    <w:t>杆</w:t>
                  </w:r>
                  <w:r>
                    <w:rPr>
                      <w:sz w:val="21"/>
                    </w:rPr>
                    <w:t>长150-153cm，杆径22-25mm，把头宽28-30cm，二度加固；</w:t>
                  </w:r>
                </w:p>
                <w:p>
                  <w:pPr>
                    <w:jc w:val="both"/>
                  </w:pPr>
                  <w:r>
                    <w:rPr>
                      <w:sz w:val="21"/>
                    </w:rPr>
                    <w:t>3、每把8株，每珠条数≥50条；</w:t>
                  </w:r>
                </w:p>
                <w:p>
                  <w:pPr>
                    <w:jc w:val="both"/>
                  </w:pPr>
                  <w:r>
                    <w:rPr>
                      <w:sz w:val="21"/>
                    </w:rPr>
                    <w:t>4、葵骨长度125cm-130cm；宽度≥3mm，葵骨重量≥1kg；</w:t>
                  </w:r>
                </w:p>
                <w:p>
                  <w:pPr>
                    <w:jc w:val="both"/>
                  </w:pPr>
                  <w:r>
                    <w:rPr>
                      <w:sz w:val="21"/>
                    </w:rPr>
                    <w:t>5、产品均用纯人工制作，每一把扫把都用崭新的编制带编扎而成。把头上端和下端都用</w:t>
                  </w:r>
                  <w:r>
                    <w:rPr>
                      <w:sz w:val="21"/>
                    </w:rPr>
                    <w:t>2cm</w:t>
                  </w:r>
                  <w:r>
                    <w:rPr>
                      <w:sz w:val="21"/>
                    </w:rPr>
                    <w:t>的编织带做穿引。每一株葵杆都用刚晒好的葵骨编扎而成。整把马路扫坚实耐用。适用于街道、人行道的场地使用。</w:t>
                  </w:r>
                </w:p>
              </w:tc>
              <w:tc>
                <w:tcPr>
                  <w:tcW w:type="dxa" w:w="581"/>
                  <w:tcBorders>
                    <w:top w:val="none" w:color="000000" w:sz="4"/>
                    <w:left w:val="single" w:color="000000" w:sz="4"/>
                    <w:bottom w:val="single" w:color="000000" w:sz="4"/>
                    <w:right w:val="single" w:color="000000" w:sz="4"/>
                  </w:tcBorders>
                  <w:vAlign w:val="top"/>
                </w:tcPr>
                <w:p>
                  <w:pPr>
                    <w:jc w:val="center"/>
                  </w:pPr>
                  <w:r>
                    <w:rPr>
                      <w:sz w:val="21"/>
                    </w:rPr>
                    <w:t>35800</w:t>
                  </w:r>
                </w:p>
              </w:tc>
              <w:tc>
                <w:tcPr>
                  <w:tcW w:type="dxa" w:w="353"/>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30.00</w:t>
                  </w: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广州市黄埔区环卫美化服务中心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采购包1：投标下浮率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25,989.00元（大写：人民币贰万伍仟玖佰捌拾玖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吕永珊、梁思瑶</w:t>
      </w:r>
    </w:p>
    <w:p>
      <w:pPr>
        <w:ind w:firstLine="480"/>
      </w:pPr>
      <w:r>
        <w:rPr/>
        <w:t>电话：</w:t>
      </w:r>
      <w:r>
        <w:rPr/>
        <w:t>020-37814404、020-87687817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采购包1(马路扫)：综合评分法,是指投标文件满足招标文件全部实质性要求，且按照评审因素的量化指标评审得分最高的投标人为中标候选人的评标方法。（最低报价不是中标的唯一依据。）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采购包1（马路扫）：</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采购包1（马路扫）：</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 注：本项目采购标的对应的中小企业划分标准所属行业为：工业。</w:t>
            </w:r>
          </w:p>
        </w:tc>
      </w:tr>
    </w:tbl>
    <w:p/>
    <w:p>
      <w:pPr>
        <w:ind w:firstLine="480"/>
      </w:pPr>
      <w:r>
        <w:rPr/>
        <w:t>表二符合性审查表：</w:t>
      </w:r>
    </w:p>
    <w:p>
      <w:pPr>
        <w:ind w:firstLine="480"/>
      </w:pPr>
    </w:p>
    <w:p/>
    <w:p>
      <w:r>
        <w:rPr/>
        <w:t>采购包1（马路扫）：</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投标下浮率为固定、唯一报价（非区间报价）且未超过本项目规定的范围：0.00%≤投标下浮率＜100.00%</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8</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采购包1(马路扫):</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(10.0分)</w:t>
            </w:r>
          </w:p>
        </w:tc>
        <w:tc>
          <w:tcPr>
            <w:tcW w:type="dxa" w:w="5076"/>
          </w:tcPr>
          <w:p>
            <w:pPr>
              <w:jc w:val="left"/>
            </w:pPr>
            <w:r>
              <w:rPr/>
              <w:t>根据投标人对“技术标准与要求”中的技术条款响应情况（共10项）进行打分：全部满足要求，得10分；一个负偏离或不响应扣1分，扣完10分为止。</w:t>
            </w:r>
          </w:p>
        </w:tc>
      </w:tr>
      <w:tr>
        <w:tc>
          <w:tcPr>
            <w:tcW w:type="dxa" w:w="922"/>
            <w:gridSpan w:val="2"/>
            <w:vMerge/>
          </w:tcPr>
          <w:p/>
        </w:tc>
        <w:tc>
          <w:tcPr>
            <w:tcW w:type="dxa" w:w="2307"/>
          </w:tcPr>
          <w:p>
            <w:pPr>
              <w:jc w:val="left"/>
            </w:pPr>
            <w:r>
              <w:rPr/>
              <w:t>项目实施方案1 (3.0分)</w:t>
            </w:r>
          </w:p>
        </w:tc>
        <w:tc>
          <w:tcPr>
            <w:tcW w:type="dxa" w:w="5076"/>
          </w:tcPr>
          <w:p>
            <w:pPr>
              <w:jc w:val="left"/>
            </w:pPr>
            <w:r>
              <w:rPr/>
              <w:t>评标委员会根据投标人提供的项目实施方案进行评价，方案应包括（投标文件中的方案标题应以下列方案内容命名）： （1）供货方案； （2）项目重点、难点分析及应对方案； （3）实施能力方案。 提供全部内容得3分，每缺1项扣1分，最低扣至0分。</w:t>
            </w:r>
          </w:p>
        </w:tc>
      </w:tr>
      <w:tr>
        <w:tc>
          <w:tcPr>
            <w:tcW w:type="dxa" w:w="922"/>
            <w:gridSpan w:val="2"/>
            <w:vMerge/>
          </w:tcPr>
          <w:p/>
        </w:tc>
        <w:tc>
          <w:tcPr>
            <w:tcW w:type="dxa" w:w="2307"/>
          </w:tcPr>
          <w:p>
            <w:pPr>
              <w:jc w:val="left"/>
            </w:pPr>
            <w:r>
              <w:rPr/>
              <w:t>项目实施方案2 (10.0分)</w:t>
            </w:r>
          </w:p>
        </w:tc>
        <w:tc>
          <w:tcPr>
            <w:tcW w:type="dxa" w:w="5076"/>
          </w:tcPr>
          <w:p>
            <w:pPr>
              <w:jc w:val="left"/>
            </w:pPr>
            <w:r>
              <w:rPr/>
              <w:t>评标委员会根据投标人提供的项目实施方案详细内容进行综合评价： （1）项目实施方案全面具体、针对性强、科学合理、可操作性强的，得10分； （2）项目实施方案较全面具体、针对性较强、较科学合理、可操作性较强的，得7分； （3）项目实施方案全面具体性一般、针对性一般、科学合理性一般、可操作性一般的，得4分； （4）项目实施方案全面具体性较差、缺乏针对性、科学合理性、可操作性差，得1分； （5）不提供或其他情况的，0分。</w:t>
            </w:r>
          </w:p>
        </w:tc>
      </w:tr>
      <w:tr>
        <w:tc>
          <w:tcPr>
            <w:tcW w:type="dxa" w:w="922"/>
            <w:gridSpan w:val="2"/>
            <w:vMerge/>
          </w:tcPr>
          <w:p/>
        </w:tc>
        <w:tc>
          <w:tcPr>
            <w:tcW w:type="dxa" w:w="2307"/>
          </w:tcPr>
          <w:p>
            <w:pPr>
              <w:jc w:val="left"/>
            </w:pPr>
            <w:r>
              <w:rPr/>
              <w:t>质量保障措施方案1 (5.0分)</w:t>
            </w:r>
          </w:p>
        </w:tc>
        <w:tc>
          <w:tcPr>
            <w:tcW w:type="dxa" w:w="5076"/>
          </w:tcPr>
          <w:p>
            <w:pPr>
              <w:jc w:val="left"/>
            </w:pPr>
            <w:r>
              <w:rPr/>
              <w:t>评标委员会根据投标人提供的质量保障措施方案进行评价，方案应包括以下环节（投标文件中的方案标题应以下列方案内容命名）： （1）货物来源； （2）货物加工； （3）货物包装 （4）货物保存； （5）货物运输。 提供全部内容得5分，每缺1项扣1分，最低扣至0分。</w:t>
            </w:r>
          </w:p>
        </w:tc>
      </w:tr>
      <w:tr>
        <w:tc>
          <w:tcPr>
            <w:tcW w:type="dxa" w:w="922"/>
            <w:gridSpan w:val="2"/>
            <w:vMerge/>
          </w:tcPr>
          <w:p/>
        </w:tc>
        <w:tc>
          <w:tcPr>
            <w:tcW w:type="dxa" w:w="2307"/>
          </w:tcPr>
          <w:p>
            <w:pPr>
              <w:jc w:val="left"/>
            </w:pPr>
            <w:r>
              <w:rPr/>
              <w:t>质量保障措施方案2 (10.0分)</w:t>
            </w:r>
          </w:p>
        </w:tc>
        <w:tc>
          <w:tcPr>
            <w:tcW w:type="dxa" w:w="5076"/>
          </w:tcPr>
          <w:p>
            <w:pPr>
              <w:jc w:val="left"/>
            </w:pPr>
            <w:r>
              <w:rPr/>
              <w:t>评标委员会根据投标人提供的项目质量保障措施方案详细内容进行综合评价： （1）方案全面具体、详实清晰、科学合理、可操作性强的，得10分； （2）方案较全面具体、较详实清晰、较科学合理、可操作性较强的，得7分； （3）方案全面具体性一般、详实清晰性一般、科学合理性一般、可操作性一般的，得4分； （4）方案全面具体性较差、缺乏详实清晰性、科学合理性、可操作性差，得1分； （5）不提供或其他情况的，0分。</w:t>
            </w:r>
          </w:p>
        </w:tc>
      </w:tr>
      <w:tr>
        <w:tc>
          <w:tcPr>
            <w:tcW w:type="dxa" w:w="922"/>
            <w:gridSpan w:val="2"/>
            <w:vMerge/>
          </w:tcPr>
          <w:p/>
        </w:tc>
        <w:tc>
          <w:tcPr>
            <w:tcW w:type="dxa" w:w="2307"/>
          </w:tcPr>
          <w:p>
            <w:pPr>
              <w:jc w:val="left"/>
            </w:pPr>
            <w:r>
              <w:rPr/>
              <w:t>售后服务方案1 (5.0分)</w:t>
            </w:r>
          </w:p>
        </w:tc>
        <w:tc>
          <w:tcPr>
            <w:tcW w:type="dxa" w:w="5076"/>
          </w:tcPr>
          <w:p>
            <w:pPr>
              <w:jc w:val="left"/>
            </w:pPr>
            <w:r>
              <w:rPr/>
              <w:t>评标委员会根据投标人提供的售后服务方案进行评价，售后服务方案应包括（投标文件中的方案标题应以下列方案内容命名）： （1）提供售后人员情况； （2）提供售后保障方案详情； （3）售后承诺； （4）售后服务计划； （5）售后应急措施。 提供全部内容得5分，每缺1项扣1分，最低扣至0分。</w:t>
            </w:r>
          </w:p>
        </w:tc>
      </w:tr>
      <w:tr>
        <w:tc>
          <w:tcPr>
            <w:tcW w:type="dxa" w:w="922"/>
            <w:gridSpan w:val="2"/>
            <w:vMerge/>
          </w:tcPr>
          <w:p/>
        </w:tc>
        <w:tc>
          <w:tcPr>
            <w:tcW w:type="dxa" w:w="2307"/>
          </w:tcPr>
          <w:p>
            <w:pPr>
              <w:jc w:val="left"/>
            </w:pPr>
            <w:r>
              <w:rPr/>
              <w:t>售后服务方案2 (8.0分)</w:t>
            </w:r>
          </w:p>
        </w:tc>
        <w:tc>
          <w:tcPr>
            <w:tcW w:type="dxa" w:w="5076"/>
          </w:tcPr>
          <w:p>
            <w:pPr>
              <w:jc w:val="left"/>
            </w:pPr>
            <w:r>
              <w:rPr/>
              <w:t>评标委员会根据投标人提供售后服务方案的详细内容进行综合评价： （1）有完善的售后服务，各阶段服务计划详尽，针对性及具有操作性强的，得8分； （2）售后服务较完善，各阶段服务计划较详尽，针对性及操作性较强的，得5分； （3）售后服务一般，各阶段服务计划一般，针对性及操作性一般的，得3分； （4）售后服务较差，缺乏各阶段服务计划，针对性及操作性较差，得1分； （5）不提供或其他情况的，0分。</w:t>
            </w:r>
          </w:p>
        </w:tc>
      </w:tr>
      <w:tr>
        <w:tc>
          <w:tcPr>
            <w:tcW w:type="dxa" w:w="922"/>
            <w:gridSpan w:val="2"/>
            <w:vMerge/>
          </w:tcPr>
          <w:p/>
        </w:tc>
        <w:tc>
          <w:tcPr>
            <w:tcW w:type="dxa" w:w="2307"/>
          </w:tcPr>
          <w:p>
            <w:pPr>
              <w:jc w:val="left"/>
            </w:pPr>
            <w:r>
              <w:rPr/>
              <w:t>投标样品1 (2.0分)</w:t>
            </w:r>
          </w:p>
        </w:tc>
        <w:tc>
          <w:tcPr>
            <w:tcW w:type="dxa" w:w="5076"/>
          </w:tcPr>
          <w:p>
            <w:pPr>
              <w:jc w:val="left"/>
            </w:pPr>
            <w:r>
              <w:rPr/>
              <w:t>评标委员会根据“第二章 采购需求”的内容。对投标人提供的样品(详见招标文件样品清单)进行评分。 提供齐全样品得2分，每缺1个扣1分，最低扣至0分。</w:t>
            </w:r>
          </w:p>
        </w:tc>
      </w:tr>
      <w:tr>
        <w:tc>
          <w:tcPr>
            <w:tcW w:type="dxa" w:w="922"/>
            <w:gridSpan w:val="2"/>
            <w:vMerge/>
          </w:tcPr>
          <w:p/>
        </w:tc>
        <w:tc>
          <w:tcPr>
            <w:tcW w:type="dxa" w:w="2307"/>
          </w:tcPr>
          <w:p>
            <w:pPr>
              <w:jc w:val="left"/>
            </w:pPr>
            <w:r>
              <w:rPr/>
              <w:t>投标样品2 (7.0分)</w:t>
            </w:r>
          </w:p>
        </w:tc>
        <w:tc>
          <w:tcPr>
            <w:tcW w:type="dxa" w:w="5076"/>
          </w:tcPr>
          <w:p>
            <w:pPr>
              <w:jc w:val="left"/>
            </w:pPr>
            <w:r>
              <w:rPr/>
              <w:t>评标委员会根据具体响应内容(材质、工艺、性能等) 进一步评审: （1）样品提供的材料或成品样品质量、工艺水平实用性较强、设计合理,得7 分； （2）投标人提供的材料或成品样品质量、工艺水平实用性较强、设计较合理,得4 分； （3）投标人提供的材料或成品样品质量、工艺水平实用性不强、设计基本合理,得1分； （4）不提供或其他情况的，0分。</w:t>
            </w:r>
          </w:p>
        </w:tc>
      </w:tr>
      <w:tr>
        <w:tc>
          <w:tcPr>
            <w:tcW w:type="dxa" w:w="922"/>
            <w:gridSpan w:val="2"/>
            <w:vMerge w:val="restart"/>
          </w:tcPr>
          <w:p>
            <w:pPr>
              <w:jc w:val="center"/>
            </w:pPr>
            <w:r>
              <w:rPr/>
              <w:t>商务部分</w:t>
            </w:r>
          </w:p>
        </w:tc>
        <w:tc>
          <w:tcPr>
            <w:tcW w:type="dxa" w:w="2307"/>
          </w:tcPr>
          <w:p>
            <w:pPr>
              <w:jc w:val="left"/>
            </w:pPr>
            <w:r>
              <w:rPr/>
              <w:t>项目业绩 (2.0分)</w:t>
            </w:r>
          </w:p>
        </w:tc>
        <w:tc>
          <w:tcPr>
            <w:tcW w:type="dxa" w:w="5076"/>
          </w:tcPr>
          <w:p>
            <w:pPr>
              <w:jc w:val="left"/>
            </w:pPr>
            <w:r>
              <w:rPr/>
              <w:t>投标人在2020年1月1日以来独立承接过同类项目的经验，每提供一项得0.5分，满分2分。  注：提供合同复印件加盖投标人公章，投标人承接同一项目的多个子包算一个业绩，时间以合同签订时间为准。无提供不得分。</w:t>
            </w:r>
          </w:p>
        </w:tc>
      </w:tr>
      <w:tr>
        <w:tc>
          <w:tcPr>
            <w:tcW w:type="dxa" w:w="922"/>
            <w:gridSpan w:val="2"/>
            <w:vMerge/>
          </w:tcPr>
          <w:p/>
        </w:tc>
        <w:tc>
          <w:tcPr>
            <w:tcW w:type="dxa" w:w="2307"/>
          </w:tcPr>
          <w:p>
            <w:pPr>
              <w:jc w:val="left"/>
            </w:pPr>
            <w:r>
              <w:rPr/>
              <w:t>投入本项目团队成员情况 (2.0分)</w:t>
            </w:r>
          </w:p>
        </w:tc>
        <w:tc>
          <w:tcPr>
            <w:tcW w:type="dxa" w:w="5076"/>
          </w:tcPr>
          <w:p>
            <w:pPr>
              <w:jc w:val="left"/>
            </w:pPr>
            <w:r>
              <w:rPr/>
              <w:t>投标人拟投入本项目团队成员： （1）具有高级或以上职称的，每1人得2分；  （2）具有中级职称的，每1人得1分； （3）具有初级职称的，每1人得0.5分。 注：提供项目团队成员的职称证书复印件以及投标截止前3个月任意一个月在投标人单位购买社保或代缴个税的证明文件复印件，无提供不得分。同一人具有多种证书的按一人计算。本项最高得2分。</w:t>
            </w:r>
          </w:p>
        </w:tc>
      </w:tr>
      <w:tr>
        <w:tc>
          <w:tcPr>
            <w:tcW w:type="dxa" w:w="922"/>
            <w:gridSpan w:val="2"/>
            <w:vMerge/>
          </w:tcPr>
          <w:p/>
        </w:tc>
        <w:tc>
          <w:tcPr>
            <w:tcW w:type="dxa" w:w="2307"/>
          </w:tcPr>
          <w:p>
            <w:pPr>
              <w:jc w:val="left"/>
            </w:pPr>
            <w:r>
              <w:rPr/>
              <w:t>企业认证 (6.0分)</w:t>
            </w:r>
          </w:p>
        </w:tc>
        <w:tc>
          <w:tcPr>
            <w:tcW w:type="dxa" w:w="5076"/>
          </w:tcPr>
          <w:p>
            <w:pPr>
              <w:jc w:val="left"/>
            </w:pPr>
            <w:r>
              <w:rPr/>
              <w:t>投标人具有质量管理体系认证、环境管理体系认证、职业健康安全管理体系认证，每个证书2分，满分6分。 注：提供有效的认证证书复印件作为证明材料，不提供或专家无法认定的不得分。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各投标人的评标价=1-投标下浮率，满足招标文件要求且评标价最低的为评标基准价。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t xml:space="preserve"> </w:t>
      </w:r>
    </w:p>
    <w:p>
      <w:pPr>
        <w:jc w:val="center"/>
      </w:pPr>
      <w:r>
        <w:rPr>
          <w:b/>
          <w:sz w:val="30"/>
        </w:rPr>
        <w:t>广州市黄埔区环卫美化服务中心马路扫采购项目</w:t>
      </w:r>
    </w:p>
    <w:p>
      <w:pPr>
        <w:jc w:val="center"/>
      </w:pPr>
      <w:r>
        <w:rPr/>
        <w:t xml:space="preserve"> </w:t>
      </w:r>
    </w:p>
    <w:p>
      <w:pPr>
        <w:jc w:val="center"/>
      </w:pPr>
      <w:r>
        <w:rPr>
          <w:b/>
          <w:sz w:val="30"/>
        </w:rPr>
        <w:t>政府采购合同</w:t>
      </w:r>
    </w:p>
    <w:p>
      <w:pPr>
        <w:jc w:val="center"/>
      </w:pPr>
    </w:p>
    <w:p>
      <w:pPr>
        <w:jc w:val="both"/>
      </w:pPr>
      <w:r>
        <w:rPr/>
        <w:t xml:space="preserve"> </w:t>
      </w:r>
    </w:p>
    <w:p>
      <w:pPr>
        <w:jc w:val="both"/>
      </w:pPr>
      <w:r>
        <w:rPr>
          <w:b/>
          <w:color w:val="222222"/>
          <w:sz w:val="21"/>
        </w:rPr>
        <w:t>甲　　方：广州市黄埔区环卫美化服务中心</w:t>
      </w:r>
    </w:p>
    <w:p>
      <w:pPr>
        <w:jc w:val="both"/>
      </w:pPr>
      <w:r>
        <w:rPr>
          <w:color w:val="222222"/>
          <w:sz w:val="21"/>
        </w:rPr>
        <w:t>地　　址：广州市黄埔区科学城揽月路西玉树公园内</w:t>
      </w:r>
    </w:p>
    <w:p>
      <w:pPr>
        <w:jc w:val="both"/>
      </w:pPr>
      <w:r>
        <w:rPr>
          <w:b/>
          <w:color w:val="222222"/>
          <w:sz w:val="21"/>
        </w:rPr>
        <w:t>乙　　方：</w:t>
      </w:r>
      <w:r>
        <w:rPr>
          <w:sz w:val="21"/>
        </w:rPr>
        <w:t xml:space="preserve"> </w:t>
      </w:r>
    </w:p>
    <w:p>
      <w:pPr>
        <w:jc w:val="both"/>
      </w:pPr>
      <w:r>
        <w:rPr>
          <w:color w:val="222222"/>
          <w:sz w:val="21"/>
        </w:rPr>
        <w:t>电　　话：</w:t>
      </w:r>
    </w:p>
    <w:p>
      <w:pPr>
        <w:jc w:val="both"/>
      </w:pPr>
      <w:r>
        <w:rPr>
          <w:color w:val="222222"/>
          <w:sz w:val="21"/>
        </w:rPr>
        <w:t>地　　址：</w:t>
      </w:r>
      <w:r>
        <w:rPr>
          <w:sz w:val="21"/>
        </w:rPr>
        <w:t xml:space="preserve"> </w:t>
      </w:r>
    </w:p>
    <w:p>
      <w:pPr>
        <w:jc w:val="both"/>
      </w:pPr>
      <w:r>
        <w:rPr>
          <w:sz w:val="21"/>
        </w:rPr>
        <w:t xml:space="preserve"> </w:t>
      </w:r>
    </w:p>
    <w:p>
      <w:pPr>
        <w:ind w:firstLine="404"/>
        <w:jc w:val="both"/>
      </w:pPr>
      <w:r>
        <w:rPr>
          <w:color w:val="222222"/>
          <w:sz w:val="21"/>
        </w:rPr>
        <w:t>根据</w:t>
      </w:r>
      <w:r>
        <w:rPr>
          <w:sz w:val="21"/>
          <w:u w:val="single"/>
        </w:rPr>
        <w:t>广州市黄埔区环卫美化服务中心马路扫采购项目</w:t>
      </w:r>
      <w:r>
        <w:rPr>
          <w:color w:val="222222"/>
          <w:sz w:val="21"/>
        </w:rPr>
        <w:t>的采购结果，按照《中华人民共和国政府采购法》《中华人民共和国民法典》的规定，经双方协商，本着平等互利和诚实信用的原则，一致同意签订本合同如下。</w:t>
      </w:r>
    </w:p>
    <w:p>
      <w:pPr>
        <w:jc w:val="both"/>
      </w:pPr>
      <w:r>
        <w:rPr>
          <w:b/>
          <w:color w:val="222222"/>
          <w:sz w:val="21"/>
        </w:rPr>
        <w:t>一、</w:t>
      </w:r>
      <w:r>
        <w:rPr>
          <w:sz w:val="21"/>
        </w:rPr>
        <w:t xml:space="preserve"> </w:t>
      </w:r>
      <w:r>
        <w:rPr>
          <w:b/>
          <w:color w:val="222222"/>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1019"/>
        <w:gridCol w:w="2118"/>
        <w:gridCol w:w="863"/>
        <w:gridCol w:w="1209"/>
        <w:gridCol w:w="797"/>
        <w:gridCol w:w="984"/>
        <w:gridCol w:w="1315"/>
      </w:tblGrid>
      <w:tr>
        <w:tc>
          <w:tcPr>
            <w:tcW w:type="dxa" w:w="1019"/>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2118"/>
            <w:tcBorders>
              <w:top w:val="single" w:color="000000" w:sz="4"/>
              <w:left w:val="single" w:color="000000" w:sz="4"/>
              <w:bottom w:val="single" w:color="000000" w:sz="4"/>
              <w:right w:val="single" w:color="000000" w:sz="4"/>
            </w:tcBorders>
            <w:vAlign w:val="top"/>
          </w:tcPr>
          <w:p>
            <w:pPr>
              <w:jc w:val="center"/>
            </w:pPr>
            <w:r>
              <w:rPr>
                <w:sz w:val="21"/>
              </w:rPr>
              <w:t>品牌、规格、标准</w:t>
            </w:r>
            <w:r>
              <w:rPr>
                <w:sz w:val="21"/>
              </w:rPr>
              <w:t>/主要服务内容</w:t>
            </w:r>
          </w:p>
        </w:tc>
        <w:tc>
          <w:tcPr>
            <w:tcW w:type="dxa" w:w="863"/>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1209"/>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97"/>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984"/>
            <w:tcBorders>
              <w:top w:val="single" w:color="000000" w:sz="4"/>
              <w:left w:val="single" w:color="000000" w:sz="4"/>
              <w:bottom w:val="single" w:color="000000" w:sz="4"/>
              <w:right w:val="single" w:color="000000" w:sz="4"/>
            </w:tcBorders>
            <w:vAlign w:val="top"/>
          </w:tcPr>
          <w:p>
            <w:pPr>
              <w:jc w:val="center"/>
            </w:pPr>
            <w:r>
              <w:rPr>
                <w:sz w:val="21"/>
              </w:rPr>
              <w:t>下浮率</w:t>
            </w:r>
          </w:p>
        </w:tc>
        <w:tc>
          <w:tcPr>
            <w:tcW w:type="dxa" w:w="1315"/>
            <w:tcBorders>
              <w:top w:val="single" w:color="000000" w:sz="4"/>
              <w:left w:val="single" w:color="000000" w:sz="4"/>
              <w:bottom w:val="single" w:color="000000" w:sz="4"/>
              <w:right w:val="single" w:color="000000" w:sz="4"/>
            </w:tcBorders>
            <w:vAlign w:val="top"/>
          </w:tcPr>
          <w:p>
            <w:pPr>
              <w:jc w:val="center"/>
            </w:pPr>
            <w:r>
              <w:rPr>
                <w:sz w:val="21"/>
              </w:rPr>
              <w:t>下浮后单价</w:t>
            </w:r>
          </w:p>
          <w:p>
            <w:pPr>
              <w:jc w:val="center"/>
            </w:pPr>
            <w:r>
              <w:rPr>
                <w:sz w:val="21"/>
              </w:rPr>
              <w:t>（元）</w:t>
            </w:r>
          </w:p>
        </w:tc>
      </w:tr>
      <w:tr>
        <w:tc>
          <w:tcPr>
            <w:tcW w:type="dxa" w:w="1019"/>
            <w:tcBorders>
              <w:top w:val="none" w:color="000000" w:sz="4"/>
              <w:left w:val="single" w:color="000000" w:sz="4"/>
              <w:bottom w:val="single" w:color="000000" w:sz="4"/>
              <w:right w:val="single" w:color="000000" w:sz="4"/>
            </w:tcBorders>
            <w:vAlign w:val="top"/>
          </w:tcPr>
          <w:p>
            <w:pPr>
              <w:jc w:val="center"/>
            </w:pPr>
            <w:r>
              <w:rPr>
                <w:sz w:val="21"/>
              </w:rPr>
              <w:t>马路扫</w:t>
            </w:r>
            <w:r>
              <w:rPr>
                <w:sz w:val="21"/>
              </w:rPr>
              <w:t>1</w:t>
            </w:r>
          </w:p>
        </w:tc>
        <w:tc>
          <w:tcPr>
            <w:tcW w:type="dxa" w:w="2118"/>
            <w:tcBorders>
              <w:top w:val="none" w:color="000000" w:sz="4"/>
              <w:left w:val="single" w:color="000000" w:sz="4"/>
              <w:bottom w:val="single" w:color="000000" w:sz="4"/>
              <w:right w:val="single" w:color="000000" w:sz="4"/>
            </w:tcBorders>
            <w:vAlign w:val="top"/>
          </w:tcPr>
          <w:p>
            <w:pPr>
              <w:jc w:val="center"/>
            </w:pPr>
            <w:r>
              <w:rPr>
                <w:sz w:val="21"/>
              </w:rPr>
              <w:t>越南葵：按参数要求进行制作</w:t>
            </w:r>
          </w:p>
        </w:tc>
        <w:tc>
          <w:tcPr>
            <w:tcW w:type="dxa" w:w="863"/>
            <w:tcBorders>
              <w:top w:val="none" w:color="000000" w:sz="4"/>
              <w:left w:val="single" w:color="000000" w:sz="4"/>
              <w:bottom w:val="single" w:color="000000" w:sz="4"/>
              <w:right w:val="single" w:color="000000" w:sz="4"/>
            </w:tcBorders>
            <w:vAlign w:val="top"/>
          </w:tcPr>
          <w:p>
            <w:pPr>
              <w:jc w:val="center"/>
            </w:pPr>
          </w:p>
        </w:tc>
        <w:tc>
          <w:tcPr>
            <w:tcW w:type="dxa" w:w="1209"/>
            <w:tcBorders>
              <w:top w:val="none" w:color="000000" w:sz="4"/>
              <w:left w:val="single" w:color="000000" w:sz="4"/>
              <w:bottom w:val="single" w:color="000000" w:sz="4"/>
              <w:right w:val="single" w:color="000000" w:sz="4"/>
            </w:tcBorders>
            <w:vAlign w:val="top"/>
          </w:tcPr>
          <w:p>
            <w:pPr>
              <w:jc w:val="center"/>
            </w:pPr>
          </w:p>
        </w:tc>
        <w:tc>
          <w:tcPr>
            <w:tcW w:type="dxa" w:w="797"/>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84"/>
            <w:tcBorders>
              <w:top w:val="none" w:color="000000" w:sz="4"/>
              <w:left w:val="single" w:color="000000" w:sz="4"/>
              <w:bottom w:val="single" w:color="000000" w:sz="4"/>
              <w:right w:val="single" w:color="000000" w:sz="4"/>
            </w:tcBorders>
            <w:vAlign w:val="top"/>
          </w:tcPr>
          <w:p>
            <w:pPr>
              <w:jc w:val="center"/>
            </w:pPr>
          </w:p>
        </w:tc>
        <w:tc>
          <w:tcPr>
            <w:tcW w:type="dxa" w:w="1315"/>
            <w:tcBorders>
              <w:top w:val="none" w:color="000000" w:sz="4"/>
              <w:left w:val="single" w:color="000000" w:sz="4"/>
              <w:bottom w:val="single" w:color="000000" w:sz="4"/>
              <w:right w:val="single" w:color="000000" w:sz="4"/>
            </w:tcBorders>
            <w:vAlign w:val="top"/>
          </w:tcPr>
          <w:p>
            <w:pPr>
              <w:jc w:val="center"/>
            </w:pPr>
          </w:p>
        </w:tc>
      </w:tr>
      <w:tr>
        <w:tc>
          <w:tcPr>
            <w:tcW w:type="dxa" w:w="1019"/>
            <w:tcBorders>
              <w:top w:val="none" w:color="000000" w:sz="4"/>
              <w:left w:val="single" w:color="000000" w:sz="4"/>
              <w:bottom w:val="single" w:color="000000" w:sz="4"/>
              <w:right w:val="single" w:color="000000" w:sz="4"/>
            </w:tcBorders>
            <w:vAlign w:val="top"/>
          </w:tcPr>
          <w:p>
            <w:pPr>
              <w:jc w:val="center"/>
            </w:pPr>
            <w:r>
              <w:rPr>
                <w:sz w:val="21"/>
              </w:rPr>
              <w:t>马路扫</w:t>
            </w:r>
            <w:r>
              <w:rPr>
                <w:sz w:val="21"/>
              </w:rPr>
              <w:t>2</w:t>
            </w:r>
          </w:p>
        </w:tc>
        <w:tc>
          <w:tcPr>
            <w:tcW w:type="dxa" w:w="2118"/>
            <w:tcBorders>
              <w:top w:val="none" w:color="000000" w:sz="4"/>
              <w:left w:val="single" w:color="000000" w:sz="4"/>
              <w:bottom w:val="single" w:color="000000" w:sz="4"/>
              <w:right w:val="single" w:color="000000" w:sz="4"/>
            </w:tcBorders>
            <w:vAlign w:val="top"/>
          </w:tcPr>
          <w:p>
            <w:pPr>
              <w:jc w:val="center"/>
            </w:pPr>
            <w:r>
              <w:rPr>
                <w:sz w:val="21"/>
              </w:rPr>
              <w:t>新会葵：按参数要求进行制作</w:t>
            </w:r>
          </w:p>
        </w:tc>
        <w:tc>
          <w:tcPr>
            <w:tcW w:type="dxa" w:w="863"/>
            <w:tcBorders>
              <w:top w:val="none" w:color="000000" w:sz="4"/>
              <w:left w:val="single" w:color="000000" w:sz="4"/>
              <w:bottom w:val="single" w:color="000000" w:sz="4"/>
              <w:right w:val="single" w:color="000000" w:sz="4"/>
            </w:tcBorders>
            <w:vAlign w:val="top"/>
          </w:tcPr>
          <w:p>
            <w:pPr>
              <w:jc w:val="center"/>
            </w:pPr>
          </w:p>
        </w:tc>
        <w:tc>
          <w:tcPr>
            <w:tcW w:type="dxa" w:w="1209"/>
            <w:tcBorders>
              <w:top w:val="none" w:color="000000" w:sz="4"/>
              <w:left w:val="single" w:color="000000" w:sz="4"/>
              <w:bottom w:val="single" w:color="000000" w:sz="4"/>
              <w:right w:val="single" w:color="000000" w:sz="4"/>
            </w:tcBorders>
            <w:vAlign w:val="top"/>
          </w:tcPr>
          <w:p>
            <w:pPr>
              <w:jc w:val="center"/>
            </w:pPr>
          </w:p>
        </w:tc>
        <w:tc>
          <w:tcPr>
            <w:tcW w:type="dxa" w:w="797"/>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84"/>
            <w:tcBorders>
              <w:top w:val="none" w:color="000000" w:sz="4"/>
              <w:left w:val="single" w:color="000000" w:sz="4"/>
              <w:bottom w:val="single" w:color="000000" w:sz="4"/>
              <w:right w:val="single" w:color="000000" w:sz="4"/>
            </w:tcBorders>
            <w:vAlign w:val="top"/>
          </w:tcPr>
          <w:p>
            <w:pPr>
              <w:jc w:val="center"/>
            </w:pPr>
          </w:p>
        </w:tc>
        <w:tc>
          <w:tcPr>
            <w:tcW w:type="dxa" w:w="1315"/>
            <w:tcBorders>
              <w:top w:val="none" w:color="000000" w:sz="4"/>
              <w:left w:val="single" w:color="000000" w:sz="4"/>
              <w:bottom w:val="single" w:color="000000" w:sz="4"/>
              <w:right w:val="single" w:color="000000" w:sz="4"/>
            </w:tcBorders>
            <w:vAlign w:val="top"/>
          </w:tcPr>
          <w:p>
            <w:pPr>
              <w:jc w:val="center"/>
            </w:pPr>
          </w:p>
        </w:tc>
      </w:tr>
    </w:tbl>
    <w:p>
      <w:pPr>
        <w:ind w:firstLine="400"/>
        <w:jc w:val="both"/>
      </w:pPr>
      <w:r>
        <w:rPr>
          <w:color w:val="222222"/>
          <w:sz w:val="21"/>
        </w:rPr>
        <w:t>注：货物名称内容必须与投标文件中货物名称内容一致。</w:t>
      </w:r>
    </w:p>
    <w:p>
      <w:pPr>
        <w:jc w:val="both"/>
      </w:pPr>
      <w:r>
        <w:rPr>
          <w:b/>
          <w:color w:val="222222"/>
          <w:sz w:val="21"/>
        </w:rPr>
        <w:t>二、</w:t>
      </w:r>
      <w:r>
        <w:rPr>
          <w:sz w:val="21"/>
        </w:rPr>
        <w:t xml:space="preserve"> </w:t>
      </w:r>
      <w:r>
        <w:rPr>
          <w:b/>
          <w:color w:val="222222"/>
          <w:sz w:val="21"/>
        </w:rPr>
        <w:t>合同金额</w:t>
      </w:r>
    </w:p>
    <w:p>
      <w:pPr>
        <w:ind w:firstLine="420"/>
        <w:jc w:val="both"/>
      </w:pPr>
      <w:r>
        <w:rPr>
          <w:color w:val="222222"/>
          <w:sz w:val="21"/>
        </w:rPr>
        <w:t>合同金额为（大写）：</w:t>
      </w:r>
      <w:r>
        <w:rPr>
          <w:sz w:val="21"/>
          <w:u w:val="single"/>
        </w:rPr>
        <w:t xml:space="preserve">      </w:t>
      </w:r>
      <w:r>
        <w:rPr>
          <w:color w:val="222222"/>
          <w:sz w:val="21"/>
        </w:rPr>
        <w:t>元（￥</w:t>
      </w:r>
      <w:r>
        <w:rPr>
          <w:sz w:val="21"/>
          <w:u w:val="single"/>
        </w:rPr>
        <w:t xml:space="preserve">          </w:t>
      </w:r>
      <w:r>
        <w:rPr>
          <w:color w:val="222222"/>
          <w:sz w:val="21"/>
        </w:rPr>
        <w:t>元）人民币。</w:t>
      </w:r>
    </w:p>
    <w:p>
      <w:pPr>
        <w:ind w:firstLine="420"/>
        <w:jc w:val="both"/>
      </w:pPr>
      <w:r>
        <w:rPr>
          <w:color w:val="222222"/>
          <w:sz w:val="21"/>
        </w:rPr>
        <w:t>合同金额包括：完成本项目的成本、利润、运费、税金及合同实施过程中不可预见费用等。</w:t>
      </w:r>
    </w:p>
    <w:p>
      <w:pPr>
        <w:jc w:val="both"/>
      </w:pPr>
      <w:r>
        <w:rPr>
          <w:b/>
          <w:color w:val="222222"/>
          <w:sz w:val="21"/>
        </w:rPr>
        <w:t>三、</w:t>
      </w:r>
      <w:r>
        <w:rPr>
          <w:sz w:val="21"/>
        </w:rPr>
        <w:t xml:space="preserve"> </w:t>
      </w:r>
      <w:r>
        <w:rPr>
          <w:b/>
          <w:color w:val="222222"/>
          <w:sz w:val="21"/>
        </w:rPr>
        <w:t>货物要求</w:t>
      </w:r>
    </w:p>
    <w:p>
      <w:pPr>
        <w:ind w:firstLine="420"/>
        <w:jc w:val="both"/>
      </w:pPr>
      <w:r>
        <w:rPr>
          <w:color w:val="222222"/>
          <w:sz w:val="21"/>
        </w:rPr>
        <w:t>货物为原制造商制造的全新产品，整体外观无污染痕迹，乙方或其所供货物的制造商无涉及第三方的侵权行为、表面无划损、无任何缺陷隐患，在中国境内可依常规安全合法使用。</w:t>
      </w:r>
    </w:p>
    <w:p>
      <w:pPr>
        <w:jc w:val="both"/>
      </w:pPr>
      <w:r>
        <w:rPr>
          <w:b/>
          <w:color w:val="222222"/>
          <w:sz w:val="21"/>
        </w:rPr>
        <w:t>四、</w:t>
      </w:r>
      <w:r>
        <w:rPr>
          <w:sz w:val="21"/>
        </w:rPr>
        <w:t xml:space="preserve"> </w:t>
      </w:r>
      <w:r>
        <w:rPr>
          <w:b/>
          <w:color w:val="222222"/>
          <w:sz w:val="21"/>
        </w:rPr>
        <w:t>交货期、交货方式及交货地点</w:t>
      </w:r>
    </w:p>
    <w:p>
      <w:pPr>
        <w:jc w:val="both"/>
      </w:pPr>
      <w:r>
        <w:rPr>
          <w:sz w:val="21"/>
        </w:rPr>
        <w:t xml:space="preserve">    </w:t>
      </w:r>
      <w:r>
        <w:rPr>
          <w:color w:val="222222"/>
          <w:sz w:val="21"/>
        </w:rPr>
        <w:t>1.交货期：合同签订生效</w:t>
      </w:r>
      <w:r>
        <w:rPr>
          <w:sz w:val="21"/>
        </w:rPr>
        <w:t>之日起</w:t>
      </w:r>
      <w:r>
        <w:rPr>
          <w:sz w:val="21"/>
          <w:u w:val="single"/>
        </w:rPr>
        <w:t xml:space="preserve"> </w:t>
      </w:r>
      <w:r>
        <w:rPr>
          <w:sz w:val="21"/>
          <w:u w:val="single"/>
        </w:rPr>
        <w:t>1</w:t>
      </w:r>
      <w:r>
        <w:rPr>
          <w:sz w:val="21"/>
        </w:rPr>
        <w:t>年，合同期届满或合同期内配送金额累计达到预算金额</w:t>
      </w:r>
      <w:r>
        <w:rPr>
          <w:sz w:val="21"/>
        </w:rPr>
        <w:t>199.9万元（以二者先到者为准），则合同终止。如因后者致使合同终止的，不视为甲方违约。</w:t>
      </w:r>
    </w:p>
    <w:p>
      <w:pPr>
        <w:jc w:val="both"/>
      </w:pPr>
      <w:r>
        <w:rPr>
          <w:sz w:val="21"/>
        </w:rPr>
        <w:t xml:space="preserve">    </w:t>
      </w:r>
      <w:r>
        <w:rPr>
          <w:sz w:val="21"/>
        </w:rPr>
        <w:t>2.交货方式：每次根据甲方的通知订购品种和数量后，具体送货时间由甲方通知时约定，由甲方指定负责人验收。</w:t>
      </w:r>
    </w:p>
    <w:p>
      <w:pPr>
        <w:jc w:val="both"/>
      </w:pPr>
      <w:r>
        <w:rPr>
          <w:sz w:val="21"/>
        </w:rPr>
        <w:t xml:space="preserve">    </w:t>
      </w:r>
      <w:r>
        <w:rPr>
          <w:sz w:val="21"/>
        </w:rPr>
        <w:t>3.交货地点：乙方按合同约定时间将货物送达甲方单位指定地点。</w:t>
      </w:r>
    </w:p>
    <w:p>
      <w:pPr>
        <w:jc w:val="both"/>
      </w:pPr>
      <w:r>
        <w:rPr>
          <w:b/>
          <w:sz w:val="21"/>
        </w:rPr>
        <w:t>五、</w:t>
      </w:r>
      <w:r>
        <w:rPr>
          <w:sz w:val="21"/>
        </w:rPr>
        <w:t xml:space="preserve"> </w:t>
      </w:r>
      <w:r>
        <w:rPr>
          <w:b/>
          <w:sz w:val="21"/>
        </w:rPr>
        <w:t>付款方式</w:t>
      </w:r>
    </w:p>
    <w:p>
      <w:pPr>
        <w:ind w:firstLine="420"/>
        <w:jc w:val="both"/>
      </w:pPr>
      <w:r>
        <w:rPr>
          <w:sz w:val="21"/>
        </w:rPr>
        <w:t>1.结算费用按月支付。合同签订后5个工作日内，乙方向甲方提交本项目预算金额30%的等额发票，甲方收到发票后15日内支付预算金额的30%作为预付款。</w:t>
      </w:r>
    </w:p>
    <w:p>
      <w:pPr>
        <w:ind w:firstLine="420"/>
        <w:jc w:val="both"/>
      </w:pPr>
      <w:r>
        <w:rPr>
          <w:sz w:val="21"/>
        </w:rPr>
        <w:t>2.甲方每月支付一次上月的货款，先从预付款中扣除。预付款扣完时，甲方再另行支付每月的结算费用。</w:t>
      </w:r>
    </w:p>
    <w:p>
      <w:pPr>
        <w:ind w:firstLine="420"/>
        <w:jc w:val="both"/>
      </w:pPr>
      <w:r>
        <w:rPr>
          <w:sz w:val="21"/>
        </w:rPr>
        <w:t>3.每次支付时，甲方收到完整的申请资料后15日内完成资金支付，支付方式为银行转账形式。</w:t>
      </w:r>
    </w:p>
    <w:p>
      <w:pPr>
        <w:ind w:firstLine="420"/>
        <w:jc w:val="left"/>
      </w:pPr>
      <w:r>
        <w:rPr>
          <w:sz w:val="21"/>
        </w:rPr>
        <w:t>4</w:t>
      </w:r>
      <w:r>
        <w:rPr>
          <w:sz w:val="21"/>
        </w:rPr>
        <w:t>.</w:t>
      </w:r>
      <w:r>
        <w:rPr>
          <w:sz w:val="21"/>
        </w:rPr>
        <w:t>结算费用=单价最高限价×（1-中标下浮率）×实际供货数量。</w:t>
      </w:r>
    </w:p>
    <w:p>
      <w:pPr>
        <w:ind w:firstLine="420"/>
        <w:jc w:val="both"/>
      </w:pPr>
      <w:r>
        <w:rPr>
          <w:sz w:val="21"/>
        </w:rPr>
        <w:t>5</w:t>
      </w:r>
      <w:r>
        <w:rPr>
          <w:sz w:val="21"/>
        </w:rPr>
        <w:t>.</w:t>
      </w:r>
      <w:r>
        <w:rPr>
          <w:sz w:val="21"/>
        </w:rPr>
        <w:t>采购项目清单中货物内容所涉的各项货物数量为计划采购数，该计划采购数量与实际采购需求数可能存在差异。为避免货款结算产生异议，甲方可依据实际采购需要调整采购相关马路扫数量，双方应以实际采购数量进行结算，结算费用不得超过</w:t>
      </w:r>
      <w:r>
        <w:rPr>
          <w:sz w:val="21"/>
        </w:rPr>
        <w:t>本项目的采购预算金额</w:t>
      </w:r>
      <w:r>
        <w:rPr>
          <w:sz w:val="21"/>
        </w:rPr>
        <w:t>。</w:t>
      </w:r>
    </w:p>
    <w:p>
      <w:pPr>
        <w:jc w:val="both"/>
      </w:pPr>
      <w:r>
        <w:rPr>
          <w:b/>
          <w:color w:val="222222"/>
          <w:sz w:val="21"/>
        </w:rPr>
        <w:t>六、验收</w:t>
      </w:r>
    </w:p>
    <w:p>
      <w:pPr>
        <w:ind w:firstLine="420"/>
        <w:jc w:val="left"/>
      </w:pPr>
      <w:r>
        <w:rPr>
          <w:color w:val="222222"/>
          <w:sz w:val="21"/>
        </w:rPr>
        <w:t>1.货物到达现场后，甲方将对货物进行验收。乙方每次送货前，应当通知甲方验收。未通知甲方验收的，甲方有权不予支付该批货物的经费。</w:t>
      </w:r>
    </w:p>
    <w:p>
      <w:pPr>
        <w:ind w:firstLine="420"/>
        <w:jc w:val="left"/>
      </w:pPr>
      <w:r>
        <w:rPr>
          <w:color w:val="222222"/>
          <w:sz w:val="21"/>
        </w:rPr>
        <w:t>2.货物到达现场后，甲方将对货物进行验收。有下列情形之一的，视为受检的单个产品不合格。 （1）不符合招标文件规定的材质、质量、规格、性能要求的。 （2）与投标样品相比，材质、质量、葵重量、性能不一致的。</w:t>
      </w:r>
    </w:p>
    <w:p>
      <w:pPr>
        <w:ind w:firstLine="420"/>
        <w:jc w:val="left"/>
      </w:pPr>
      <w:r>
        <w:rPr>
          <w:color w:val="222222"/>
          <w:sz w:val="21"/>
        </w:rPr>
        <w:t>3.配送货物必须按时按量按质送到甲方指定地点，并当面核实数量。验收完毕后，双方必须在货物收货清单（格式自定，但必须包括货物单价、数量、合价等内容）上签名确认，乙方并出具质量和使用安全承诺书或产品合格证或检验报告保证使用安全，作为甲方支付货款的依据之一。</w:t>
      </w:r>
    </w:p>
    <w:p>
      <w:pPr>
        <w:ind w:firstLine="420"/>
        <w:jc w:val="left"/>
      </w:pPr>
      <w:r>
        <w:rPr>
          <w:color w:val="222222"/>
          <w:sz w:val="21"/>
        </w:rPr>
        <w:t xml:space="preserve"> </w:t>
      </w:r>
      <w:r>
        <w:rPr>
          <w:color w:val="222222"/>
          <w:sz w:val="21"/>
        </w:rPr>
        <w:t>4.产品未提供合格证或检验报告或质量</w:t>
      </w:r>
      <w:r>
        <w:rPr>
          <w:sz w:val="21"/>
        </w:rPr>
        <w:t>承诺，或与合格证、检测报告、承诺书不符，有责任事故的，乙方必须承担相应责任事故，并赔偿相应的费用。</w:t>
      </w:r>
    </w:p>
    <w:p>
      <w:pPr>
        <w:jc w:val="both"/>
      </w:pPr>
      <w:r>
        <w:rPr>
          <w:b/>
          <w:sz w:val="21"/>
        </w:rPr>
        <w:t>七、</w:t>
      </w:r>
      <w:r>
        <w:rPr>
          <w:sz w:val="21"/>
        </w:rPr>
        <w:t xml:space="preserve"> </w:t>
      </w:r>
      <w:r>
        <w:rPr>
          <w:b/>
          <w:sz w:val="21"/>
        </w:rPr>
        <w:t>违约责任与赔偿损失</w:t>
      </w:r>
    </w:p>
    <w:p>
      <w:pPr>
        <w:ind w:firstLine="420"/>
        <w:jc w:val="both"/>
      </w:pPr>
      <w:r>
        <w:rPr>
          <w:sz w:val="21"/>
        </w:rPr>
        <w:t>1.乙方提供的货物不符合本合同约定的，乙方应在收到甲方反馈意见后的4个工作日内无条件更换或采取补救措施。如经要求更换或采取补救措施或改正后，乙方仍未按照本合同约定的相关要求或标准履约，则自逾期更换或采取补救措施或改正之日起乙方须按照相关货物所涉的费用金额的万分之五的标准向甲方支付违约金。逾期满15日的，甲方有权视乎实际情况行使解除合同并要求乙方按照甲方已付合同款20%的标准支付违约金的权利。</w:t>
      </w:r>
    </w:p>
    <w:p>
      <w:pPr>
        <w:ind w:firstLine="420"/>
        <w:jc w:val="both"/>
      </w:pPr>
      <w:r>
        <w:rPr>
          <w:sz w:val="21"/>
        </w:rPr>
        <w:t>2.乙方出现供货能力不足的现象，或甲方有证据证明乙方无继续履约的能力，或乙方擅自将与甲方签订的供货项目转包给其他供应商的，甲方有权拒绝接受第三方提供的合同项下所涉的货物。如有出现上述情形，甲方有权解除本合同且乙方按照甲方已付合同款20%的标准向甲方支付违约金。</w:t>
      </w:r>
    </w:p>
    <w:p>
      <w:pPr>
        <w:ind w:firstLine="420"/>
        <w:jc w:val="both"/>
      </w:pPr>
      <w:r>
        <w:rPr>
          <w:sz w:val="21"/>
        </w:rPr>
        <w:t>3.乙方交付的货物规格、货物质量标准与合同规定不符时，甲方可以拒收。双方对更换或退货不予付款事宜协商不成时，甲方有权委托具有鉴定资质的机构对货物质量等事项进行鉴定，鉴定费用由甲方先行支付。如经鉴定乙方所供货物确为伪劣产品且数量占当次乙方所供货物数量10%或以上比例的，乙方需并向甲方支付该批货物总值的20%标准的违约金，且鉴定费由乙方负担。若累计出现2次类似情况的，甲方有权单方面解除合同及要求乙方按照甲方已付合同款20%的标准支付违约金。</w:t>
      </w:r>
    </w:p>
    <w:p>
      <w:pPr>
        <w:ind w:firstLine="420"/>
        <w:jc w:val="both"/>
      </w:pPr>
      <w:r>
        <w:rPr>
          <w:sz w:val="21"/>
        </w:rPr>
        <w:t>4.乙方如经有关部门证明确因不可抗力无法按时交货，甲方仍然需要乙方交货的，乙方可以迟延交货，不按违约处理。</w:t>
      </w:r>
    </w:p>
    <w:p>
      <w:pPr>
        <w:ind w:firstLine="420"/>
        <w:jc w:val="both"/>
      </w:pPr>
      <w:r>
        <w:rPr>
          <w:sz w:val="21"/>
        </w:rPr>
        <w:t>5.如乙方供应的货物被检测出属于伪劣产品，乙方应无条件更换，并承担全部费用及法律责任。如伪劣产品货物数量占当次乙方所供货物数量10%或以上比例的，甲方有权单方面解除合同及要求乙方按照甲方已付合同款20%的标准支付违约金。</w:t>
      </w:r>
    </w:p>
    <w:p>
      <w:pPr>
        <w:ind w:firstLine="420"/>
        <w:jc w:val="both"/>
      </w:pPr>
      <w:r>
        <w:rPr>
          <w:sz w:val="21"/>
        </w:rPr>
        <w:t>6.履约期间，乙方如有下列行为或情形的，视为乙方违约，甲方有权解除本合同及要求乙方按照甲方已付合同款20%的标准支付违约金：</w:t>
      </w:r>
    </w:p>
    <w:p>
      <w:pPr>
        <w:ind w:firstLine="420"/>
        <w:jc w:val="both"/>
      </w:pPr>
      <w:r>
        <w:rPr>
          <w:sz w:val="21"/>
        </w:rPr>
        <w:t>（</w:t>
      </w:r>
      <w:r>
        <w:rPr>
          <w:sz w:val="21"/>
        </w:rPr>
        <w:t>1）因合同履约情况违反法律法规、行业规范导致政府相关管理部门对乙方作出行政处罚的。</w:t>
      </w:r>
    </w:p>
    <w:p>
      <w:pPr>
        <w:ind w:firstLine="420"/>
        <w:jc w:val="both"/>
      </w:pPr>
      <w:r>
        <w:rPr>
          <w:sz w:val="21"/>
        </w:rPr>
        <w:t>（</w:t>
      </w:r>
      <w:r>
        <w:rPr>
          <w:sz w:val="21"/>
        </w:rPr>
        <w:t>2）经甲方发现并查实乙方违反本合同项下关于合同金额及相关货物规格、采购单价等约定，单方调整货物规格或调高采购单价，或有其他增加甲方采购费用支出的行为。</w:t>
      </w:r>
    </w:p>
    <w:p>
      <w:pPr>
        <w:ind w:firstLine="420"/>
        <w:jc w:val="both"/>
      </w:pPr>
      <w:r>
        <w:rPr>
          <w:sz w:val="21"/>
        </w:rPr>
        <w:t>（</w:t>
      </w:r>
      <w:r>
        <w:rPr>
          <w:sz w:val="21"/>
        </w:rPr>
        <w:t>3）未切实按照本合同项下约定提供符合甲方要求或标准的相应货物或配送服务，经甲方工作人员反映且未能有效改正的次数达到3次的。</w:t>
      </w:r>
    </w:p>
    <w:p>
      <w:pPr>
        <w:ind w:firstLine="420"/>
        <w:jc w:val="both"/>
      </w:pPr>
      <w:r>
        <w:rPr>
          <w:sz w:val="21"/>
        </w:rPr>
        <w:t>（</w:t>
      </w:r>
      <w:r>
        <w:rPr>
          <w:sz w:val="21"/>
        </w:rPr>
        <w:t>4）无甲方违约或乙方可行使法定合同解除权的情形，乙方单方终止合同的。</w:t>
      </w:r>
    </w:p>
    <w:p>
      <w:pPr>
        <w:ind w:firstLine="420"/>
        <w:jc w:val="both"/>
      </w:pPr>
      <w:r>
        <w:rPr>
          <w:sz w:val="21"/>
        </w:rPr>
        <w:t>（</w:t>
      </w:r>
      <w:r>
        <w:rPr>
          <w:sz w:val="21"/>
        </w:rPr>
        <w:t>5）因本合同的履行情况，乙方需协助配合甲方接受政府有关管理部门的监督检查工作，乙方无正当理由未协助配合或其作出有违真实情况的意思表示。</w:t>
      </w:r>
    </w:p>
    <w:p>
      <w:pPr>
        <w:ind w:firstLine="420"/>
        <w:jc w:val="both"/>
      </w:pPr>
      <w:r>
        <w:rPr>
          <w:sz w:val="21"/>
        </w:rPr>
        <w:t>（</w:t>
      </w:r>
      <w:r>
        <w:rPr>
          <w:sz w:val="21"/>
        </w:rPr>
        <w:t>6）经查实乙方人员对甲方人员存在商业贿赂情形的。</w:t>
      </w:r>
    </w:p>
    <w:p>
      <w:pPr>
        <w:ind w:firstLine="420"/>
        <w:jc w:val="both"/>
      </w:pPr>
      <w:r>
        <w:rPr>
          <w:sz w:val="21"/>
        </w:rPr>
        <w:t>7.如因国家政策发生重大变化，由此对合同履约情况有重要影响的，则甲乙双方应及时协商并针对具体情况签订补充或变更合同。乙方不得因双方未达成补充或变更合同的意愿，擅自单方终止合同，否则被视为违约。</w:t>
      </w:r>
    </w:p>
    <w:p>
      <w:pPr>
        <w:ind w:firstLine="420"/>
        <w:jc w:val="both"/>
      </w:pPr>
      <w:r>
        <w:rPr>
          <w:sz w:val="21"/>
        </w:rPr>
        <w:t>8.如违约金不足以弥补守约方的实际经济损失，违约方仍应补足差额损失。同时，守约方为维权所产生的律师服务费、财产保全担保费等合理费用，概由违约方负担。</w:t>
      </w:r>
    </w:p>
    <w:p>
      <w:pPr>
        <w:ind w:firstLine="420"/>
        <w:jc w:val="both"/>
      </w:pPr>
      <w:r>
        <w:rPr>
          <w:sz w:val="21"/>
        </w:rPr>
        <w:t>9.如无乙方违约或甲方可行使合同解除权的情形，甲方无正当理由未在规定时间内支付合同款给乙方，乙方应当先行催告甲方付款（催告期不少于15日），经催告仍未付款的，逾期每日甲方应按照应付合同款的万分之五标准向乙方支付违约金。逾期30日的，乙方有权解除合同且要求甲方按照甲方应付合同款10%的标准支付违约金。</w:t>
      </w:r>
    </w:p>
    <w:p>
      <w:pPr>
        <w:jc w:val="both"/>
      </w:pPr>
      <w:r>
        <w:rPr>
          <w:b/>
          <w:color w:val="222222"/>
          <w:sz w:val="21"/>
        </w:rPr>
        <w:t>八、</w:t>
      </w:r>
      <w:r>
        <w:rPr>
          <w:sz w:val="21"/>
        </w:rPr>
        <w:t xml:space="preserve"> </w:t>
      </w:r>
      <w:r>
        <w:rPr>
          <w:b/>
          <w:color w:val="222222"/>
          <w:sz w:val="21"/>
        </w:rPr>
        <w:t>争议的解决</w:t>
      </w:r>
    </w:p>
    <w:p>
      <w:pPr>
        <w:jc w:val="left"/>
      </w:pPr>
      <w:r>
        <w:rPr>
          <w:sz w:val="21"/>
        </w:rPr>
        <w:t xml:space="preserve">   </w:t>
      </w:r>
      <w:r>
        <w:rPr>
          <w:sz w:val="21"/>
        </w:rPr>
        <w:t>合同执行过程中发生的任何争议，如双方不能通过友好协商解决，任何一方可向广州市黄埔区人民法院起诉以解决争议。</w:t>
      </w:r>
    </w:p>
    <w:p>
      <w:pPr>
        <w:jc w:val="both"/>
      </w:pPr>
      <w:r>
        <w:rPr>
          <w:b/>
          <w:color w:val="222222"/>
          <w:sz w:val="21"/>
        </w:rPr>
        <w:t>九、不可抗力</w:t>
      </w:r>
    </w:p>
    <w:p>
      <w:pPr>
        <w:ind w:firstLine="420"/>
        <w:jc w:val="both"/>
      </w:pPr>
      <w:r>
        <w:rPr>
          <w:color w:val="222222"/>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1"/>
        </w:rPr>
        <w:t>十、税费负担归属</w:t>
      </w:r>
    </w:p>
    <w:p>
      <w:pPr>
        <w:ind w:firstLine="420"/>
        <w:jc w:val="both"/>
      </w:pPr>
      <w:r>
        <w:rPr>
          <w:color w:val="222222"/>
          <w:sz w:val="21"/>
        </w:rPr>
        <w:t>在中国境内、外发生的与本合同执行有关的一切税费均由乙方负担。</w:t>
      </w:r>
    </w:p>
    <w:p>
      <w:pPr>
        <w:jc w:val="both"/>
      </w:pPr>
      <w:r>
        <w:rPr>
          <w:b/>
          <w:color w:val="222222"/>
          <w:sz w:val="21"/>
        </w:rPr>
        <w:t>十一、附则</w:t>
      </w:r>
    </w:p>
    <w:p>
      <w:pPr>
        <w:ind w:firstLine="420"/>
        <w:jc w:val="both"/>
      </w:pPr>
      <w:r>
        <w:rPr>
          <w:color w:val="222222"/>
          <w:sz w:val="21"/>
        </w:rPr>
        <w:t>1.本合同所有附件、招标文件、投标文件、中标通知书均为合同的有效组成部分，与本合同具有同等法律效力。</w:t>
      </w:r>
    </w:p>
    <w:p>
      <w:pPr>
        <w:ind w:firstLine="420"/>
        <w:jc w:val="both"/>
      </w:pPr>
      <w:r>
        <w:rPr>
          <w:color w:val="222222"/>
          <w:sz w:val="21"/>
        </w:rPr>
        <w:t>2.在执行本合同的过程中，所有经双方签署确认的文件（包括会议纪要、补充协议、往来信函）即成为本合同的有效组成部分。</w:t>
      </w:r>
    </w:p>
    <w:p>
      <w:pPr>
        <w:ind w:firstLine="420"/>
        <w:jc w:val="both"/>
      </w:pPr>
      <w:r>
        <w:rPr>
          <w:color w:val="222222"/>
          <w:sz w:val="21"/>
        </w:rPr>
        <w:t>3.如一方地址、电话、传真号码有变更，应在变更当日内书面通知对方，否则，应承担相应责任。</w:t>
      </w:r>
    </w:p>
    <w:p>
      <w:pPr>
        <w:ind w:firstLine="420"/>
        <w:jc w:val="both"/>
      </w:pPr>
      <w:r>
        <w:rPr>
          <w:color w:val="222222"/>
          <w:sz w:val="21"/>
        </w:rPr>
        <w:t>4.除甲方事先书面同意外，乙方不得部分或全部转让其应履行的合同项下的义务。</w:t>
      </w:r>
    </w:p>
    <w:p>
      <w:pPr>
        <w:ind w:firstLine="420"/>
        <w:jc w:val="both"/>
      </w:pPr>
      <w:r>
        <w:rPr>
          <w:color w:val="222222"/>
          <w:sz w:val="21"/>
        </w:rPr>
        <w:t>5.</w:t>
      </w:r>
      <w:r>
        <w:rPr>
          <w:sz w:val="21"/>
        </w:rPr>
        <w:t>本合同经双方法定代表人或其授权代表签字并加盖单位合同专用章或公章之日起生效。双方签署日期不一致的，合同生效日期以最后一个签字日期为准。</w:t>
      </w:r>
    </w:p>
    <w:p>
      <w:pPr>
        <w:ind w:firstLine="420"/>
        <w:jc w:val="both"/>
      </w:pPr>
      <w:r>
        <w:rPr>
          <w:sz w:val="21"/>
        </w:rPr>
        <w:t>6.本合同壹式柒份，由甲方执肆份、乙方执贰份，代理机构执壹份，均具有同等法律效力。</w:t>
      </w:r>
    </w:p>
    <w:p>
      <w:pPr>
        <w:ind w:firstLine="480"/>
        <w:jc w:val="both"/>
      </w:pPr>
      <w:r>
        <w:rPr/>
        <w:t xml:space="preserve"> </w:t>
      </w:r>
    </w:p>
    <w:p>
      <w:pPr>
        <w:ind w:firstLine="480"/>
        <w:jc w:val="both"/>
      </w:pPr>
      <w:r>
        <w:rPr>
          <w:sz w:val="21"/>
        </w:rPr>
        <w:t>（以下为签字项）</w:t>
      </w:r>
    </w:p>
    <w:p>
      <w:pPr>
        <w:jc w:val="both"/>
      </w:pPr>
    </w:p>
    <w:p>
      <w:r>
        <w:rPr/>
        <w:t xml:space="preserve"> </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法定代表或授权代表：</w:t>
            </w:r>
          </w:p>
          <w:p>
            <w:pPr>
              <w:jc w:val="both"/>
            </w:pPr>
            <w:r>
              <w:rPr>
                <w:sz w:val="21"/>
              </w:rPr>
              <w:t>签订日期：</w:t>
            </w:r>
            <w:r>
              <w:rPr>
                <w:sz w:val="21"/>
              </w:rPr>
              <w:t>2023年　　月　　日</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法定代表或授权代表：</w:t>
            </w:r>
          </w:p>
          <w:p>
            <w:pPr>
              <w:jc w:val="both"/>
            </w:pPr>
            <w:r>
              <w:rPr>
                <w:sz w:val="21"/>
              </w:rPr>
              <w:t>签订日期：</w:t>
            </w:r>
            <w:r>
              <w:rPr>
                <w:sz w:val="21"/>
              </w:rPr>
              <w:t>2023年　　月　　日</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440112-2023-02233</w:t>
      </w:r>
    </w:p>
    <w:p>
      <w:pPr>
        <w:jc w:val="center"/>
      </w:pPr>
      <w:r>
        <w:rPr>
          <w:b/>
          <w:sz w:val="24"/>
        </w:rPr>
        <w:t>采购项目编号：</w:t>
      </w:r>
      <w:r>
        <w:rPr>
          <w:b/>
          <w:sz w:val="24"/>
        </w:rPr>
        <w:t>GZGK23D105A0286Z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广州市黄埔区环卫美化服务中心马路扫采购项目</w:t>
      </w:r>
      <w:r>
        <w:rPr>
          <w:u w:val="single"/>
        </w:rPr>
        <w:t>”</w:t>
      </w:r>
      <w:r>
        <w:rPr/>
        <w:t>项目的招标[采购项目编号为：</w:t>
      </w:r>
      <w:r>
        <w:rPr>
          <w:u w:val="single"/>
        </w:rPr>
        <w:t>GZGK23D105A0286Z</w:t>
      </w:r>
      <w:r>
        <w:rPr/>
        <w:t>]，我方愿参与投标。</w:t>
      </w:r>
    </w:p>
    <w:p>
      <w:pPr>
        <w:ind w:firstLine="480"/>
      </w:pPr>
      <w:r>
        <w:rPr/>
        <w:t>我方确认收到贵方提供的</w:t>
      </w:r>
      <w:r>
        <w:rPr>
          <w:u w:val="single"/>
        </w:rPr>
        <w:t>“</w:t>
      </w:r>
      <w:r>
        <w:rPr>
          <w:u w:val="single"/>
        </w:rPr>
        <w:t>广州市黄埔区环卫美化服务中心马路扫采购项目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广州市黄埔区环卫美化服务中心马路扫采购项目</w:t>
      </w:r>
      <w:r>
        <w:rPr/>
        <w:t>”项目采购[采购项目编号为</w:t>
      </w:r>
      <w:r>
        <w:rPr/>
        <w:t>GZGK23D105A0286Z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广州市黄埔区环卫美化服务中心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广州市黄埔区环卫美化服务中心马路扫采购项目</w:t>
      </w:r>
      <w:r>
        <w:rPr/>
        <w:t>招标中获中标（采购项目编号：</w:t>
      </w:r>
      <w:r>
        <w:rPr/>
        <w:t>GZGK23D105A0286Z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