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440101-2023-21881</w:t>
      </w:r>
    </w:p>
    <w:p>
      <w:pPr>
        <w:jc w:val="center"/>
      </w:pPr>
      <w:r>
        <w:rPr>
          <w:b/>
          <w:sz w:val="24"/>
        </w:rPr>
        <w:t>采购项目编号：</w:t>
      </w:r>
      <w:r>
        <w:rPr>
          <w:b/>
          <w:sz w:val="24"/>
        </w:rPr>
        <w:t>GZGK23D229C0684C</w:t>
      </w:r>
    </w:p>
    <w:p>
      <w:pPr>
        <w:jc w:val="center"/>
      </w:pPr>
      <w:r>
        <w:rPr>
          <w:b/>
          <w:sz w:val="24"/>
        </w:rPr>
        <w:t>项目名称：</w:t>
      </w:r>
      <w:r>
        <w:rPr>
          <w:b/>
          <w:sz w:val="24"/>
        </w:rPr>
        <w:t>广州市船舶与海洋工程装备产业发展规划研究项目</w:t>
      </w:r>
    </w:p>
    <w:p>
      <w:pPr>
        <w:jc w:val="center"/>
      </w:pPr>
      <w:r>
        <w:rPr>
          <w:b/>
          <w:sz w:val="24"/>
        </w:rPr>
        <w:t>采购人：</w:t>
      </w:r>
      <w:r>
        <w:rPr>
          <w:b/>
          <w:sz w:val="24"/>
        </w:rPr>
        <w:t>广州市工业和信息化局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广州市工业和信息化局</w:t>
      </w:r>
      <w:r>
        <w:rPr/>
        <w:t>的委托，采用</w:t>
      </w:r>
      <w:r>
        <w:rPr/>
        <w:t>竞争性磋商</w:t>
      </w:r>
      <w:r>
        <w:rPr/>
        <w:t>方式组织采购</w:t>
      </w:r>
      <w:r>
        <w:rPr/>
        <w:t>广州市船舶与海洋工程装备产业发展规划研究项目</w:t>
      </w:r>
      <w:r>
        <w:rPr/>
        <w:t>。欢迎符合资格条件的供应商参加。</w:t>
      </w:r>
    </w:p>
    <w:p>
      <w:r>
        <w:rPr>
          <w:b/>
          <w:sz w:val="28"/>
        </w:rPr>
        <w:t>一.项目概述</w:t>
      </w:r>
    </w:p>
    <w:p>
      <w:r>
        <w:rPr>
          <w:b/>
          <w:sz w:val="24"/>
        </w:rPr>
        <w:t>1.名称与编号</w:t>
      </w:r>
    </w:p>
    <w:p>
      <w:pPr>
        <w:ind w:firstLine="480"/>
      </w:pPr>
      <w:r>
        <w:rPr/>
        <w:t>采购项目名称：</w:t>
      </w:r>
      <w:r>
        <w:rPr/>
        <w:t>广州市船舶与海洋工程装备产业发展规划研究项目</w:t>
      </w:r>
    </w:p>
    <w:p>
      <w:pPr>
        <w:ind w:firstLine="480"/>
      </w:pPr>
      <w:r>
        <w:rPr/>
        <w:t>采购计划编号：</w:t>
      </w:r>
      <w:r>
        <w:rPr/>
        <w:t>440101-2023-21881</w:t>
      </w:r>
    </w:p>
    <w:p>
      <w:pPr>
        <w:ind w:firstLine="480"/>
      </w:pPr>
      <w:r>
        <w:rPr/>
        <w:t>采购项目编号：</w:t>
      </w:r>
      <w:r>
        <w:rPr/>
        <w:t>GZGK23D229C0684C</w:t>
      </w:r>
    </w:p>
    <w:p>
      <w:pPr>
        <w:ind w:firstLine="480"/>
      </w:pPr>
      <w:r>
        <w:rPr/>
        <w:t>采购方式：</w:t>
      </w:r>
      <w:r>
        <w:rPr/>
        <w:t>竞争性磋商</w:t>
      </w:r>
    </w:p>
    <w:p>
      <w:pPr>
        <w:ind w:firstLine="480"/>
      </w:pPr>
      <w:r>
        <w:rPr/>
        <w:t>预算金额：</w:t>
      </w:r>
      <w:r>
        <w:rPr/>
        <w:t>1,600,000.00</w:t>
      </w:r>
      <w:r>
        <w:rPr/>
        <w:t>元</w:t>
      </w:r>
    </w:p>
    <w:p>
      <w:r>
        <w:rPr>
          <w:b/>
          <w:sz w:val="24"/>
        </w:rPr>
        <w:t>2.项目内容及需求情况（采购项目技术规格、参数及要求）</w:t>
      </w:r>
    </w:p>
    <w:p>
      <w:pPr>
        <w:ind w:firstLine="480"/>
      </w:pPr>
    </w:p>
    <w:p/>
    <w:p>
      <w:r>
        <w:rPr/>
        <w:t>采购包1(广州市船舶与海洋工程装备产业发展规划研究项目):</w:t>
      </w:r>
    </w:p>
    <w:p>
      <w:r>
        <w:rPr/>
        <w:t>采购包预算金额：1,600,000.00元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社会与管理咨询服务</w:t>
            </w:r>
          </w:p>
        </w:tc>
        <w:tc>
          <w:tcPr>
            <w:tcW w:type="dxa" w:w="2136"/>
          </w:tcPr>
          <w:p>
            <w:r>
              <w:rPr/>
              <w:t>广州市船舶与海洋工程装备产业发展规划研究项目</w:t>
            </w:r>
          </w:p>
        </w:tc>
        <w:tc>
          <w:tcPr>
            <w:tcW w:type="dxa" w:w="1187"/>
          </w:tcPr>
          <w:p>
            <w:r>
              <w:rPr/>
              <w:t>1.00(项)</w:t>
            </w:r>
          </w:p>
        </w:tc>
        <w:tc>
          <w:tcPr>
            <w:tcW w:type="dxa" w:w="1187"/>
          </w:tcPr>
          <w:p>
            <w:r>
              <w:rPr/>
              <w:t>详见第二章</w:t>
            </w:r>
          </w:p>
        </w:tc>
        <w:tc>
          <w:tcPr>
            <w:tcW w:type="dxa" w:w="1187"/>
          </w:tcPr>
          <w:p>
            <w:r>
              <w:rPr/>
              <w:t>否</w:t>
            </w:r>
          </w:p>
        </w:tc>
      </w:tr>
    </w:tbl>
    <w:p/>
    <w:p>
      <w:r>
        <w:rPr/>
        <w:t>本采购包接受联合体响应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采购包1（广州市船舶与海洋工程装备产业发展规划研究项目）：</w:t>
      </w:r>
      <w:r>
        <w:rPr/>
        <w:t>本采购包不属于专门面向中小企业采购的项目。</w:t>
      </w:r>
    </w:p>
    <w:p/>
    <w:p>
      <w:r>
        <w:rPr>
          <w:b/>
          <w:sz w:val="24"/>
        </w:rPr>
        <w:t>3.本项目特定的资格要求：</w:t>
      </w:r>
    </w:p>
    <w:p>
      <w:pPr>
        <w:ind w:firstLine="480"/>
      </w:pPr>
    </w:p>
    <w:p/>
    <w:p>
      <w:r>
        <w:rPr/>
        <w:t>采购包1（广州市船舶与海洋工程装备产业发展规划研究项目）：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3)本项目接受联合体响应；  1）联合体响应的响应文件应出示有效的联合体协议书，联合体各成员之间签订的联合体协议书随响应文件一起递交；  2）组成联合体的单位数量不超过三家，联合体牵头人全权代表所有联合体成员参与本次磋商、与采购人洽谈并签订合同，并负责整个合同实施阶段的协调工作；联合体必须签订联合体协议书，明确联合体成员各方的分工； 3）响应供应商的响应文件及成交后签署由联合体各方的联合体合同，对联合体每一成员均具有法律约束；  4）所有联合体成员按合同规定，为合同履行承担连带责任。联合体牵头人的授权书、响应文件及成交后签署的合同中应对此作相应的声明；  5）联合体的各成员不得再以自己名义单独响应，也不得同时参加两个及以上的联合体响应。如有违反将取消该联合体及联合体各成员的参与资格。联合体响应的，须提供《联合体共同响应协议书》； 6）联合体成员应在报名时确定，在智慧云平台中明确牵头方和成员方。</w:t>
      </w:r>
    </w:p>
    <w:p/>
    <w:p>
      <w:r>
        <w:rPr/>
        <w:t>4)已获取本项目采购文件。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广州市工业和信息化局</w:t>
      </w:r>
    </w:p>
    <w:p>
      <w:pPr>
        <w:ind w:firstLine="480"/>
      </w:pPr>
      <w:r>
        <w:rPr/>
        <w:t>地址：</w:t>
      </w:r>
      <w:r>
        <w:rPr/>
        <w:t>广州市府前路1号市府大院</w:t>
      </w:r>
    </w:p>
    <w:p>
      <w:pPr>
        <w:ind w:firstLine="480"/>
      </w:pPr>
      <w:r>
        <w:rPr/>
        <w:t>联系方式：</w:t>
      </w:r>
      <w:r>
        <w:rPr/>
        <w:t>020-83123872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020-31603842、020-37635007</w:t>
      </w:r>
    </w:p>
    <w:p>
      <w:r>
        <w:rPr>
          <w:b/>
          <w:sz w:val="24"/>
        </w:rPr>
        <w:t>3.项目联系方式</w:t>
      </w:r>
    </w:p>
    <w:p>
      <w:pPr>
        <w:ind w:firstLine="480"/>
      </w:pPr>
      <w:r>
        <w:rPr/>
        <w:t>项目联系人：</w:t>
      </w:r>
      <w:r>
        <w:rPr/>
        <w:t>李国晨、郑璧伦</w:t>
      </w:r>
    </w:p>
    <w:p>
      <w:pPr>
        <w:ind w:firstLine="480"/>
      </w:pPr>
      <w:r>
        <w:rPr/>
        <w:t>电话：</w:t>
      </w:r>
      <w:r>
        <w:rPr/>
        <w:t>020-31603842、020-37635007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GZGK23D229C0684C</w:t>
      </w:r>
    </w:p>
    <w:p>
      <w:pPr>
        <w:jc w:val="both"/>
      </w:pPr>
      <w:r>
        <w:rPr>
          <w:b/>
          <w:sz w:val="21"/>
        </w:rPr>
        <w:t>（二）</w:t>
      </w:r>
      <w:r>
        <w:rPr>
          <w:b/>
          <w:sz w:val="21"/>
        </w:rPr>
        <w:t>项目名称：</w:t>
      </w:r>
      <w:r>
        <w:rPr>
          <w:sz w:val="21"/>
        </w:rPr>
        <w:t>广州市船舶与海洋工程装备产业发展规划研究项目</w:t>
      </w:r>
    </w:p>
    <w:p>
      <w:pPr>
        <w:jc w:val="both"/>
      </w:pPr>
      <w:r>
        <w:rPr>
          <w:b/>
          <w:sz w:val="21"/>
        </w:rPr>
        <w:t>（三）</w:t>
      </w:r>
      <w:r>
        <w:rPr>
          <w:b/>
          <w:sz w:val="21"/>
        </w:rPr>
        <w:t>总体要求说明：</w:t>
      </w:r>
    </w:p>
    <w:p>
      <w:pPr>
        <w:ind w:firstLine="420"/>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“★”的条款未响应或不满足，将按无效响应处理。</w:t>
      </w:r>
    </w:p>
    <w:p>
      <w:pPr>
        <w:ind w:firstLine="420"/>
        <w:jc w:val="both"/>
      </w:pPr>
      <w:r>
        <w:rPr>
          <w:sz w:val="21"/>
        </w:rPr>
        <w:t>2、</w:t>
      </w:r>
      <w:r>
        <w:rPr>
          <w:sz w:val="21"/>
        </w:rPr>
        <w:t>标有</w:t>
      </w:r>
      <w:r>
        <w:rPr>
          <w:sz w:val="21"/>
        </w:rPr>
        <w:t>“▲”的条款为重要性要求，响应供应商如有“▲”的条款未响应或负偏离的将被严重扣分。</w:t>
      </w:r>
    </w:p>
    <w:p>
      <w:pPr>
        <w:ind w:firstLine="420"/>
        <w:jc w:val="both"/>
      </w:pPr>
      <w:r>
        <w:rPr>
          <w:sz w:val="21"/>
        </w:rPr>
        <w:t>3、</w:t>
      </w:r>
      <w:r>
        <w:rPr>
          <w:sz w:val="21"/>
        </w:rPr>
        <w:t>响应供应商应对采购需求中的服务指标在响应详细内容中列出明确承诺。如果响应供应商只注明</w:t>
      </w:r>
      <w:r>
        <w:rPr>
          <w:sz w:val="21"/>
        </w:rPr>
        <w:t>“正偏离”或“无偏离”，将</w:t>
      </w:r>
      <w:r>
        <w:rPr>
          <w:sz w:val="21"/>
        </w:rPr>
        <w:t>可能</w:t>
      </w:r>
      <w:r>
        <w:rPr>
          <w:sz w:val="21"/>
        </w:rPr>
        <w:t>被视为</w:t>
      </w:r>
      <w:r>
        <w:rPr>
          <w:sz w:val="21"/>
        </w:rPr>
        <w:t>“负偏离”，从而可能导致严重影响评审结果。</w:t>
      </w:r>
    </w:p>
    <w:p>
      <w:pPr>
        <w:ind w:firstLine="420"/>
        <w:jc w:val="both"/>
      </w:pPr>
      <w:r>
        <w:rPr>
          <w:sz w:val="21"/>
        </w:rPr>
        <w:t>4、</w:t>
      </w:r>
      <w:r>
        <w:rPr>
          <w:sz w:val="21"/>
        </w:rPr>
        <w:t>响应供应商没有在响应文件中注明偏离（文字说明或在响应表注明）的参数、配置、条款视为被响应供应商完全接受。</w:t>
      </w:r>
    </w:p>
    <w:p>
      <w:pPr>
        <w:ind w:firstLine="420"/>
        <w:jc w:val="both"/>
      </w:pPr>
      <w:r>
        <w:rPr>
          <w:sz w:val="21"/>
        </w:rPr>
        <w:t>5、</w:t>
      </w:r>
      <w:r>
        <w:rPr>
          <w:sz w:val="21"/>
        </w:rPr>
        <w:t>响应供应商应保证，采购人在中华人民共和国使用该服务或服务的任何一部分时，免受第三方提出的侵犯其专利权、商标权、著作权或其它知识产权的起诉。</w:t>
      </w:r>
    </w:p>
    <w:p>
      <w:pPr>
        <w:ind w:firstLine="420"/>
        <w:jc w:val="both"/>
      </w:pPr>
      <w:r>
        <w:rPr>
          <w:sz w:val="21"/>
        </w:rPr>
        <w:t>6、</w:t>
      </w:r>
      <w:r>
        <w:rPr>
          <w:sz w:val="21"/>
        </w:rPr>
        <w:t>不允许成交供应商</w:t>
      </w:r>
      <w:r>
        <w:rPr>
          <w:sz w:val="21"/>
        </w:rPr>
        <w:t>转包、分包项目内容</w:t>
      </w:r>
      <w:r>
        <w:rPr>
          <w:sz w:val="21"/>
        </w:rPr>
        <w:t>。</w:t>
      </w:r>
    </w:p>
    <w:p>
      <w:pPr>
        <w:ind w:firstLine="420"/>
        <w:jc w:val="both"/>
      </w:pPr>
      <w:r>
        <w:rPr>
          <w:sz w:val="21"/>
        </w:rPr>
        <w:t>7、</w:t>
      </w:r>
      <w:r>
        <w:rPr>
          <w:sz w:val="21"/>
        </w:rPr>
        <w:t>小型和微型企业、监狱企业和残疾人福利性单位必须按照竞争性磋商文件</w:t>
      </w:r>
      <w:r>
        <w:rPr>
          <w:sz w:val="21"/>
        </w:rPr>
        <w:t>第三章</w:t>
      </w:r>
      <w:r>
        <w:rPr>
          <w:sz w:val="21"/>
        </w:rPr>
        <w:t>的内容提供相应的资料。</w:t>
      </w:r>
    </w:p>
    <w:p>
      <w:pPr>
        <w:ind w:firstLine="420"/>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ind w:firstLine="420"/>
        <w:jc w:val="both"/>
      </w:pPr>
      <w:r>
        <w:rPr>
          <w:sz w:val="21"/>
        </w:rPr>
        <w:t>9、</w:t>
      </w:r>
      <w:r>
        <w:rPr>
          <w:b/>
          <w:sz w:val="21"/>
        </w:rPr>
        <w:t>本项目符合《政府采购促进中小企业发展管理办法》第六条第（三）项的情形，故不专门面向中小企业</w:t>
      </w:r>
      <w:r>
        <w:rPr>
          <w:sz w:val="21"/>
        </w:rPr>
        <w:t>。</w:t>
      </w:r>
    </w:p>
    <w:p>
      <w:pPr>
        <w:ind w:firstLine="422"/>
        <w:jc w:val="both"/>
      </w:pPr>
      <w:r>
        <w:rPr>
          <w:b/>
          <w:sz w:val="21"/>
        </w:rPr>
        <w:t>10、本项目涉及跨年采购，其中2023年度拟安排采购预算金额预估为人民币80万元，2024年度拟安排采购预算金额预估为人民币80万元。</w:t>
      </w:r>
    </w:p>
    <w:p>
      <w:pPr>
        <w:ind w:firstLine="422"/>
        <w:jc w:val="both"/>
      </w:pPr>
      <w:r>
        <w:rPr>
          <w:b/>
          <w:sz w:val="21"/>
        </w:rPr>
        <w:t>11、本项目属于广东省《政府向社会力量购买服务指导目录》内“B0202社会调查服务”，符合《政府采购竞争性磋商采购方式管理暂行办法》的第三条第一款的规定。</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、存储有非加密响应文件的</w:t>
      </w:r>
      <w:r>
        <w:rPr>
          <w:sz w:val="21"/>
        </w:rPr>
        <w:t>U</w:t>
      </w:r>
      <w:r>
        <w:rPr>
          <w:sz w:val="21"/>
        </w:rPr>
        <w:t>盘前往开标现场进行签到、解密。</w:t>
      </w:r>
    </w:p>
    <w:p>
      <w:pPr>
        <w:jc w:val="both"/>
      </w:pPr>
      <w:r>
        <w:rPr>
          <w:sz w:val="21"/>
        </w:rPr>
        <w:t>2、</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3、</w:t>
      </w:r>
      <w:r>
        <w:rPr>
          <w:sz w:val="21"/>
        </w:rPr>
        <w:t>上述流程中供应商电脑需提前安装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pPr>
        <w:jc w:val="both"/>
      </w:pPr>
      <w:r>
        <w:rPr>
          <w:b/>
          <w:sz w:val="21"/>
        </w:rPr>
        <w:t>（五）</w:t>
      </w:r>
      <w:r>
        <w:rPr>
          <w:b/>
          <w:sz w:val="21"/>
        </w:rPr>
        <w:t>响应</w:t>
      </w:r>
      <w:r>
        <w:rPr>
          <w:b/>
          <w:sz w:val="21"/>
        </w:rPr>
        <w:t>报价说明：</w:t>
      </w:r>
    </w:p>
    <w:p>
      <w:pPr>
        <w:ind w:firstLine="420"/>
        <w:jc w:val="both"/>
      </w:pPr>
      <w:r>
        <w:rPr>
          <w:sz w:val="21"/>
        </w:rPr>
        <w:t>响应报价包括：项目组织实施服务费、材料费、税费、交通费、检索费、验收专家费等在项目实施过程中的全部费用，响应供应商报价中漏报、少报的费用，视为此项费用已隐含在磋商报价中，成交后不得再向采购人收取任何费用。</w:t>
      </w:r>
    </w:p>
    <w:p>
      <w:pPr>
        <w:jc w:val="both"/>
      </w:pPr>
      <w:r>
        <w:rPr>
          <w:b/>
          <w:sz w:val="21"/>
        </w:rPr>
        <w:t>（六）</w:t>
      </w:r>
      <w:r>
        <w:rPr>
          <w:b/>
          <w:sz w:val="21"/>
        </w:rPr>
        <w:t>实现的目标</w:t>
      </w:r>
    </w:p>
    <w:p>
      <w:pPr>
        <w:ind w:firstLine="420"/>
        <w:jc w:val="both"/>
      </w:pPr>
      <w:r>
        <w:rPr>
          <w:sz w:val="21"/>
        </w:rPr>
        <w:t>聚焦船舶与海洋工程装备产业，研究提出广州市发展船舶与海洋工程装备的产业规划实施建议和专项产业政策实施建议，明确发展目标、主要任务、产业布局及重点工程等，编制形成广州市船舶与海洋工程装备产业发展规划研究成果，加快推动产业高质量发展。</w:t>
      </w:r>
    </w:p>
    <w:p>
      <w:pPr>
        <w:jc w:val="both"/>
      </w:pPr>
      <w:r>
        <w:rPr>
          <w:b/>
          <w:sz w:val="21"/>
        </w:rPr>
        <w:t>（七）</w:t>
      </w:r>
      <w:r>
        <w:rPr>
          <w:b/>
          <w:sz w:val="21"/>
        </w:rPr>
        <w:t>需执行国家相关标准、行业标准、地方标准或者其他标准、规范。</w:t>
      </w:r>
    </w:p>
    <w:p/>
    <w:p>
      <w:pPr>
        <w:ind w:firstLine="480"/>
      </w:pPr>
    </w:p>
    <w:p/>
    <w:p>
      <w:r>
        <w:rPr/>
        <w:t>采购包1（广州市船舶与海洋工程装备产业发展规划研究项目）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合同签订之日起至2024年10月31日前完成成果文件。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1期：支付比例100%,1、合同生效后5个工作日内,采购人向成交供应商支付合同总价的50%； 2、完成验收后5个工作日内,采购人向成交供应商支付合同总价的50%； 3、每笔款项支付前，成交供应商须提交与每笔款项金额相等的正式发票。 4、支付方式：采用支票、银行汇付（含电汇）等形式。</w:t>
            </w:r>
          </w:p>
        </w:tc>
      </w:tr>
      <w:tr>
        <w:tc>
          <w:tcPr>
            <w:tcW w:type="dxa" w:w="4153"/>
          </w:tcPr>
          <w:p>
            <w:r>
              <w:rPr/>
              <w:t>验收要求</w:t>
            </w:r>
          </w:p>
        </w:tc>
        <w:tc>
          <w:tcPr>
            <w:tcW w:type="dxa" w:w="4153"/>
          </w:tcPr>
          <w:p/>
          <w:p/>
          <w:p/>
          <w:p>
            <w:r>
              <w:rPr/>
              <w:t>1期：成交供应商在项目服务期限内完成本项目要求的所有工作内容后7日内，采购人、成交供应商及专家按照合同的约定对履约情况进行验收，成交供应商组织专家验收并承担专家费用，专家人数为不少于3人的单数。项目验收交付物包含但不限于服务期限内所有调研活动相关记录、研究成果报告等；对验收不合格的部分，成交供应商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社会与管理咨询服务</w:t>
            </w:r>
          </w:p>
        </w:tc>
        <w:tc>
          <w:tcPr>
            <w:tcW w:type="dxa" w:w="933"/>
          </w:tcPr>
          <w:p>
            <w:pPr>
              <w:jc w:val="left"/>
            </w:pPr>
            <w:r>
              <w:rPr/>
              <w:t>广州市船舶与海洋工程装备产业发展规划研究项目</w:t>
            </w:r>
          </w:p>
        </w:tc>
        <w:tc>
          <w:tcPr>
            <w:tcW w:type="dxa" w:w="933"/>
          </w:tcPr>
          <w:p>
            <w:pPr>
              <w:jc w:val="left"/>
            </w:pPr>
            <w:r>
              <w:rPr/>
              <w:t>项</w:t>
            </w:r>
          </w:p>
        </w:tc>
        <w:tc>
          <w:tcPr>
            <w:tcW w:type="dxa" w:w="933"/>
          </w:tcPr>
          <w:p>
            <w:pPr>
              <w:jc w:val="right"/>
            </w:pPr>
            <w:r>
              <w:rPr/>
              <w:t>1.00</w:t>
            </w:r>
          </w:p>
        </w:tc>
        <w:tc>
          <w:tcPr>
            <w:tcW w:type="dxa" w:w="933"/>
          </w:tcPr>
          <w:p>
            <w:pPr>
              <w:jc w:val="right"/>
            </w:pPr>
            <w:r>
              <w:rPr/>
              <w:t>1,600,000.00</w:t>
            </w:r>
          </w:p>
        </w:tc>
        <w:tc>
          <w:tcPr>
            <w:tcW w:type="dxa" w:w="933"/>
          </w:tcPr>
          <w:p>
            <w:pPr>
              <w:jc w:val="right"/>
            </w:pPr>
            <w:r>
              <w:rPr/>
              <w:t>1,600,000.00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广州市船舶与海洋工程装备产业发展规划研究项目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left"/>
            </w:pPr>
            <w:r>
              <w:rPr>
                <w:b/>
                <w:sz w:val="21"/>
              </w:rPr>
              <w:t>一、项目概况</w:t>
            </w:r>
          </w:p>
          <w:p>
            <w:pPr>
              <w:ind w:firstLine="420"/>
              <w:jc w:val="left"/>
            </w:pPr>
            <w:r>
              <w:rPr>
                <w:sz w:val="21"/>
              </w:rPr>
              <w:t>结合海洋战略和广州的发展基础，聚焦船舶与海洋工程装备产业，研判国内外发展趋势和方向，分析广州市船舶与海洋工程装备产业发展的特点、优势、主要问题以及制约因素等，学习国内外其他省市推动产业创新发展举措，对接国家、省产业布局规划，研究提出广州市发展船舶与海洋工程装备的产业规划实施建议和专项产业政策实施建议，编制形成广州市船舶与海洋工程装备产业发展规划研究成果，引领建设主要面向高附加值船舶、深远海高端装备的支柱性先进制造业集群，打造广州高质量发展的</w:t>
            </w:r>
            <w:r>
              <w:rPr>
                <w:sz w:val="21"/>
              </w:rPr>
              <w:t>“蓝色引擎”。</w:t>
            </w:r>
          </w:p>
          <w:p>
            <w:pPr>
              <w:ind w:firstLine="422"/>
              <w:jc w:val="left"/>
            </w:pPr>
            <w:r>
              <w:rPr>
                <w:b/>
                <w:sz w:val="21"/>
              </w:rPr>
              <w:t>二、服务内容</w:t>
            </w:r>
          </w:p>
          <w:p>
            <w:pPr>
              <w:ind w:firstLine="420"/>
              <w:jc w:val="left"/>
            </w:pPr>
            <w:r>
              <w:rPr>
                <w:sz w:val="21"/>
              </w:rPr>
              <w:t>1、</w:t>
            </w:r>
            <w:r>
              <w:rPr>
                <w:sz w:val="21"/>
              </w:rPr>
              <w:t>贯彻广东省委</w:t>
            </w:r>
            <w:r>
              <w:rPr>
                <w:sz w:val="21"/>
              </w:rPr>
              <w:t>“1310”工作部署、广州市委“1312”工作部署，落实《广州市工业和信息化发展“十四</w:t>
            </w:r>
            <w:r>
              <w:rPr>
                <w:sz w:val="21"/>
              </w:rPr>
              <w:t>五</w:t>
            </w:r>
            <w:r>
              <w:rPr>
                <w:sz w:val="21"/>
              </w:rPr>
              <w:t>”规划》，分析广州市船舶与海洋工程装备产业发展的现状情况等，学习国内外先进经验，研究完善广州市船舶与海洋工程装备产业顶层设计</w:t>
            </w:r>
            <w:r>
              <w:rPr>
                <w:sz w:val="21"/>
              </w:rPr>
              <w:t>。</w:t>
            </w:r>
          </w:p>
          <w:p>
            <w:pPr>
              <w:ind w:firstLine="420"/>
              <w:jc w:val="left"/>
            </w:pPr>
            <w:r>
              <w:rPr>
                <w:sz w:val="21"/>
              </w:rPr>
              <w:t>2、</w:t>
            </w:r>
            <w:r>
              <w:rPr>
                <w:sz w:val="21"/>
              </w:rPr>
              <w:t>广东</w:t>
            </w:r>
            <w:r>
              <w:rPr>
                <w:sz w:val="21"/>
              </w:rPr>
              <w:t>省委</w:t>
            </w:r>
            <w:r>
              <w:rPr>
                <w:sz w:val="21"/>
              </w:rPr>
              <w:t>“1310”工作部署明确提出要全面推进海洋强省建设，广州市委“1312”工作部署提出要全力建设海洋创新发展之都，全面提升海洋科技自主创新能力和海洋产业竞争力。广州市聚集了广船国际、黄埔文冲等船舶制造企业，海洋工程装备领域生产能力位居全国前列。结合海洋战略和广州市的发展基础，研究推动船舶与海洋工程装备产业发展，符合国家、</w:t>
            </w:r>
            <w:r>
              <w:rPr>
                <w:sz w:val="21"/>
              </w:rPr>
              <w:t>广东</w:t>
            </w:r>
            <w:r>
              <w:rPr>
                <w:sz w:val="21"/>
              </w:rPr>
              <w:t>省的发展方向、政策方向。</w:t>
            </w:r>
          </w:p>
          <w:p>
            <w:pPr>
              <w:ind w:firstLine="420"/>
              <w:jc w:val="left"/>
            </w:pPr>
            <w:r>
              <w:rPr>
                <w:sz w:val="21"/>
              </w:rPr>
              <w:t>3、</w:t>
            </w:r>
            <w:r>
              <w:rPr>
                <w:sz w:val="21"/>
              </w:rPr>
              <w:t>成交供应商需分析广州市船舶与海洋工程装备产业发展的特点、优势、主要问题以及制约因素等，学习国内外推动产业创新发展举措，研究提出广州市发展船舶与海洋工程装备的产业规划实施建议和专项产业政策实施建议，编制形成</w:t>
            </w:r>
            <w:r>
              <w:rPr>
                <w:sz w:val="21"/>
              </w:rPr>
              <w:t>广州市船舶与海洋工程装备产业发展规划研究成果，</w:t>
            </w:r>
            <w:r>
              <w:rPr>
                <w:sz w:val="21"/>
              </w:rPr>
              <w:t>助力广州制造业高质量发展。</w:t>
            </w:r>
          </w:p>
          <w:p>
            <w:pPr>
              <w:ind w:firstLine="420"/>
              <w:jc w:val="left"/>
            </w:pPr>
            <w:r>
              <w:rPr>
                <w:sz w:val="21"/>
              </w:rPr>
              <w:t>4、</w:t>
            </w:r>
            <w:r>
              <w:rPr>
                <w:sz w:val="21"/>
              </w:rPr>
              <w:t>成交供应商</w:t>
            </w:r>
            <w:r>
              <w:rPr>
                <w:sz w:val="21"/>
              </w:rPr>
              <w:t>需开展工作，收集整理资料，开展调查、调查企业（机构）不少于</w:t>
            </w:r>
            <w:r>
              <w:rPr>
                <w:sz w:val="21"/>
              </w:rPr>
              <w:t>10家</w:t>
            </w:r>
            <w:r>
              <w:rPr>
                <w:sz w:val="21"/>
              </w:rPr>
              <w:t>，编制形成</w:t>
            </w:r>
            <w:r>
              <w:rPr>
                <w:sz w:val="21"/>
              </w:rPr>
              <w:t>广州市船舶与海洋工程装备产业发展规划</w:t>
            </w:r>
            <w:r>
              <w:rPr>
                <w:sz w:val="21"/>
              </w:rPr>
              <w:t>研究成果，强化产业规划引领，推动相关政策研究。</w:t>
            </w:r>
          </w:p>
          <w:p>
            <w:pPr>
              <w:ind w:firstLine="420"/>
              <w:jc w:val="left"/>
            </w:pPr>
            <w:r>
              <w:rPr>
                <w:sz w:val="21"/>
              </w:rPr>
              <w:t>5、政策文件</w:t>
            </w:r>
          </w:p>
          <w:p>
            <w:pPr>
              <w:ind w:firstLine="420"/>
              <w:jc w:val="left"/>
            </w:pPr>
            <w:r>
              <w:rPr>
                <w:sz w:val="21"/>
              </w:rPr>
              <w:t>（</w:t>
            </w:r>
            <w:r>
              <w:rPr>
                <w:sz w:val="21"/>
              </w:rPr>
              <w:t>1）</w:t>
            </w:r>
            <w:r>
              <w:rPr>
                <w:sz w:val="21"/>
              </w:rPr>
              <w:t>广东</w:t>
            </w:r>
            <w:r>
              <w:rPr>
                <w:sz w:val="21"/>
              </w:rPr>
              <w:t>省委</w:t>
            </w:r>
            <w:r>
              <w:rPr>
                <w:sz w:val="21"/>
              </w:rPr>
              <w:t>“1310”工作部署明确：要全面推进海洋强省建设，在打造海上新广东上取得新突破，构建科学高效的海洋经济发展格局，做大做强做优海洋牧场、海上能源、临港工业、海洋旅游等现代海洋产业，强化涉海基础设施、海洋科技、海洋生态等支撑保障，为广东改革发展注入源源不断的“蓝色动力”。</w:t>
            </w:r>
          </w:p>
          <w:p>
            <w:pPr>
              <w:ind w:firstLine="420"/>
              <w:jc w:val="left"/>
            </w:pPr>
            <w:r>
              <w:rPr>
                <w:sz w:val="21"/>
              </w:rPr>
              <w:t>（</w:t>
            </w:r>
            <w:r>
              <w:rPr>
                <w:sz w:val="21"/>
              </w:rPr>
              <w:t>2）广州市委“1312”工作部署明确：要全力建设海洋创新发展之都，围绕成为全国全球标杆，全面提升海洋科技自主创新能力和海洋产业竞争力，擦亮国际海洋文化新名片，强化海洋治理，积极拓展海洋开放空间，打造广州高质量发展的“蓝色引擎”。</w:t>
            </w:r>
          </w:p>
          <w:p>
            <w:pPr>
              <w:ind w:firstLine="420"/>
              <w:jc w:val="left"/>
            </w:pPr>
            <w:r>
              <w:rPr>
                <w:sz w:val="21"/>
              </w:rPr>
              <w:t>（</w:t>
            </w:r>
            <w:r>
              <w:rPr>
                <w:sz w:val="21"/>
              </w:rPr>
              <w:t>3）《广州市工业和信息化发展“十四五”规划》提出：面向船舶制造、工业级无人船、新型环保类电动船等高价值船用设备和配套产品，重点发展包括但不限于可燃冰在内的能源开采储运装备、资源开发利用装备、深海探测设备、海上作业保障装备等海洋工程装备及关键系统；突破船舶设计建造技术、船体结构轻量化技术、船型优化节能技术等关键共性技术，推动设备集成化、智能化、模块化设计制造。</w:t>
            </w:r>
          </w:p>
          <w:p>
            <w:pPr>
              <w:ind w:firstLine="422"/>
              <w:jc w:val="left"/>
            </w:pPr>
            <w:r>
              <w:rPr>
                <w:b/>
                <w:sz w:val="21"/>
              </w:rPr>
              <w:t>三、项目实施条件</w:t>
            </w:r>
          </w:p>
          <w:p>
            <w:pPr>
              <w:ind w:firstLine="420"/>
              <w:jc w:val="left"/>
            </w:pPr>
            <w:r>
              <w:rPr>
                <w:sz w:val="21"/>
              </w:rPr>
              <w:t>1、成交供应商在产业研究中有丰富经验，熟悉相关政策及流程情况，能够为采购人提供便利、优质服务。</w:t>
            </w:r>
          </w:p>
          <w:p>
            <w:pPr>
              <w:ind w:firstLine="420"/>
              <w:jc w:val="left"/>
            </w:pPr>
            <w:r>
              <w:rPr>
                <w:sz w:val="21"/>
              </w:rPr>
              <w:t>2、成交供应商承担课题研究工作，局综合与政策法规处、装备工业处做好统筹协调工作。</w:t>
            </w:r>
          </w:p>
          <w:p>
            <w:pPr>
              <w:ind w:firstLine="420"/>
              <w:jc w:val="left"/>
            </w:pPr>
            <w:r>
              <w:rPr>
                <w:sz w:val="21"/>
              </w:rPr>
              <w:t>3、成交供应商在产</w:t>
            </w:r>
            <w:r>
              <w:rPr>
                <w:sz w:val="21"/>
              </w:rPr>
              <w:t>业研究中具有能对接国家、广东省相关规划资源。</w:t>
            </w:r>
          </w:p>
          <w:p>
            <w:pPr>
              <w:ind w:firstLine="420"/>
              <w:jc w:val="left"/>
            </w:pPr>
            <w:r>
              <w:rPr>
                <w:sz w:val="21"/>
              </w:rPr>
              <w:t>4、成交供应商须为本项目提供稳定的服务团队，服务团队需≥8人</w:t>
            </w:r>
            <w:r>
              <w:rPr>
                <w:sz w:val="21"/>
              </w:rPr>
              <w:t>。</w:t>
            </w:r>
          </w:p>
          <w:p>
            <w:pPr>
              <w:ind w:firstLine="420"/>
              <w:jc w:val="left"/>
            </w:pPr>
            <w:r>
              <w:rPr>
                <w:sz w:val="21"/>
              </w:rPr>
              <w:t>★5、</w:t>
            </w:r>
            <w:r>
              <w:rPr>
                <w:sz w:val="21"/>
              </w:rPr>
              <w:t>供应商需承诺具备有效的《武器装备科研生产单位保密资格》（需提供承诺函）</w:t>
            </w:r>
          </w:p>
          <w:p>
            <w:pPr>
              <w:ind w:firstLine="422"/>
              <w:jc w:val="left"/>
            </w:pPr>
            <w:r>
              <w:rPr>
                <w:b/>
                <w:sz w:val="21"/>
              </w:rPr>
              <w:t>四、项目实施进度与计划安排</w:t>
            </w:r>
          </w:p>
          <w:p>
            <w:pPr>
              <w:ind w:firstLine="420"/>
              <w:jc w:val="left"/>
            </w:pPr>
            <w:r>
              <w:rPr>
                <w:sz w:val="21"/>
              </w:rPr>
              <w:t>1、2024年6月形成研究成果初稿；</w:t>
            </w:r>
          </w:p>
          <w:p>
            <w:pPr>
              <w:ind w:firstLine="420"/>
              <w:jc w:val="left"/>
            </w:pPr>
            <w:r>
              <w:rPr>
                <w:sz w:val="21"/>
              </w:rPr>
              <w:t>2、2024年8月形成研究成果最终稿；</w:t>
            </w:r>
          </w:p>
          <w:p>
            <w:pPr>
              <w:ind w:firstLine="420"/>
              <w:jc w:val="left"/>
            </w:pPr>
            <w:r>
              <w:rPr>
                <w:sz w:val="21"/>
              </w:rPr>
              <w:t>3、2024年10月31日前完成课题成果验收结题。</w:t>
            </w:r>
          </w:p>
          <w:p>
            <w:pPr>
              <w:ind w:firstLine="422"/>
              <w:jc w:val="left"/>
            </w:pPr>
            <w:r>
              <w:rPr>
                <w:b/>
                <w:sz w:val="21"/>
              </w:rPr>
              <w:t>五、知识产权</w:t>
            </w:r>
          </w:p>
          <w:p>
            <w:pPr>
              <w:ind w:firstLine="420"/>
              <w:jc w:val="left"/>
            </w:pPr>
            <w:r>
              <w:rPr>
                <w:sz w:val="21"/>
              </w:rPr>
              <w:t>1. 知识产权是指根据相关法律法规、行政法规以及国际条约、协定或合同的规定，相关方对智力成果享有的任何权利，其种类不限于著作权、专利权和商标权等。</w:t>
            </w:r>
          </w:p>
          <w:p>
            <w:pPr>
              <w:ind w:firstLine="420"/>
              <w:jc w:val="left"/>
            </w:pPr>
            <w:r>
              <w:rPr>
                <w:sz w:val="21"/>
              </w:rPr>
              <w:t>2. 就执行本项目形成的文件、数据材料、研究成果，采购人享有全部的知识产权，成交供应商就项目文件仅具有在本项目范围内的使用权。项目结束之后，成交供应商如需使用前述文件，包括但不限于引用项目文件或采购人提供的与项目相关的文件，在项目文件的基础上进行衍生创作等，均须取得采购人事先书面同意。</w:t>
            </w:r>
          </w:p>
          <w:p>
            <w:pPr>
              <w:ind w:firstLine="420"/>
              <w:jc w:val="left"/>
            </w:pPr>
            <w:r>
              <w:rPr>
                <w:sz w:val="21"/>
              </w:rPr>
              <w:t>3. 未经采购人事先书面允许，成交供应商不得向任何第三方提供或公布数据指标与分析报告，并遵守有关保密条款，如出现泄密，由成交供应商负全部责任并赔偿对采购人造成的所有损失。</w:t>
            </w:r>
          </w:p>
          <w:p>
            <w:pPr>
              <w:ind w:firstLine="422"/>
              <w:jc w:val="left"/>
            </w:pPr>
            <w:r>
              <w:rPr>
                <w:b/>
                <w:sz w:val="21"/>
              </w:rPr>
              <w:t>六、其他要求</w:t>
            </w:r>
          </w:p>
          <w:p>
            <w:pPr>
              <w:ind w:firstLine="420"/>
              <w:jc w:val="both"/>
            </w:pPr>
            <w:r>
              <w:rPr>
                <w:sz w:val="21"/>
              </w:rPr>
              <w:t>1</w:t>
            </w:r>
            <w:r>
              <w:rPr>
                <w:sz w:val="21"/>
              </w:rPr>
              <w:t>.</w:t>
            </w:r>
            <w:r>
              <w:rPr>
                <w:sz w:val="21"/>
              </w:rPr>
              <w:t xml:space="preserve"> </w:t>
            </w:r>
            <w:r>
              <w:rPr>
                <w:sz w:val="21"/>
              </w:rPr>
              <w:t>服务方案</w:t>
            </w:r>
          </w:p>
          <w:p>
            <w:pPr>
              <w:ind w:firstLine="420"/>
              <w:jc w:val="both"/>
            </w:pPr>
            <w:r>
              <w:rPr>
                <w:sz w:val="21"/>
              </w:rPr>
              <w:t>响应供应商根据项目的实际情况，科学合理地拟定项目的服务方案，对如下内容作出详细说明：（</w:t>
            </w:r>
            <w:r>
              <w:rPr>
                <w:sz w:val="21"/>
              </w:rPr>
              <w:t>1）工作标准；（2）工作流程；（3）对本项目的理解与解读</w:t>
            </w:r>
            <w:r>
              <w:rPr>
                <w:sz w:val="21"/>
              </w:rPr>
              <w:t>；（</w:t>
            </w:r>
            <w:r>
              <w:rPr>
                <w:sz w:val="21"/>
              </w:rPr>
              <w:t>4）研究方法及技术路线；（5）服务实力和服务承诺；（6）应急措施。</w:t>
            </w:r>
          </w:p>
          <w:p>
            <w:pPr>
              <w:ind w:firstLine="420"/>
              <w:jc w:val="left"/>
            </w:pPr>
            <w:r>
              <w:rPr>
                <w:sz w:val="21"/>
              </w:rPr>
              <w:t>2.</w:t>
            </w:r>
            <w:r>
              <w:rPr>
                <w:sz w:val="21"/>
              </w:rPr>
              <w:t xml:space="preserve"> </w:t>
            </w:r>
            <w:r>
              <w:rPr>
                <w:sz w:val="21"/>
              </w:rPr>
              <w:t>对本项目重点难点分析、应对措施及相关的合理化建议</w:t>
            </w:r>
          </w:p>
          <w:p>
            <w:pPr>
              <w:ind w:firstLine="420"/>
              <w:jc w:val="left"/>
            </w:pPr>
            <w:r>
              <w:rPr>
                <w:sz w:val="21"/>
              </w:rPr>
              <w:t>响应供应商根据项目的实际情况，科学合理地拟定项目的对本项目重点难点分析、应对措施及相关的合理化建议，对如下内容作出详细说明：（</w:t>
            </w:r>
            <w:r>
              <w:rPr>
                <w:sz w:val="21"/>
              </w:rPr>
              <w:t>1）项目重点难点分析；（2）应对措施；（3）合理化建议。</w:t>
            </w:r>
          </w:p>
          <w:p>
            <w:pPr>
              <w:ind w:firstLine="420"/>
              <w:jc w:val="left"/>
            </w:pPr>
            <w:r>
              <w:rPr>
                <w:sz w:val="21"/>
              </w:rPr>
              <w:t>3.</w:t>
            </w:r>
            <w:r>
              <w:rPr>
                <w:sz w:val="21"/>
              </w:rPr>
              <w:t xml:space="preserve"> </w:t>
            </w:r>
            <w:r>
              <w:rPr>
                <w:sz w:val="21"/>
              </w:rPr>
              <w:t>质量保障措施及方案</w:t>
            </w:r>
          </w:p>
          <w:p>
            <w:pPr>
              <w:jc w:val="both"/>
            </w:pPr>
            <w:r>
              <w:rPr>
                <w:sz w:val="21"/>
              </w:rPr>
              <w:t>响应供应商根据项目的实际情况，科学合理地拟定项目的质量保障措施及方案，对如下内容作出详细说明：（</w:t>
            </w:r>
            <w:r>
              <w:rPr>
                <w:sz w:val="21"/>
              </w:rPr>
              <w:t>1）质量保障措施； （2）保证服务团队稳定性的方案；（3）工作时间进度计划。</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广州市工业和信息化局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代理服务费收费标准以采购预算金额为计算基数参照国家计委颁布的（计价格【2002】1980号）及国家发改委颁布的（发改办价格【2003】857号）收费标准进行计算收取。代理服务费由成交供应商在领取《成交通知书》前一次性向采购代理机构交纳以下金额： ￥19,800.00元（大写：人民币壹万玖仟捌佰元整）。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李国晨、郑璧伦</w:t>
      </w:r>
    </w:p>
    <w:p>
      <w:pPr>
        <w:ind w:firstLine="480"/>
      </w:pPr>
      <w:r>
        <w:rPr/>
        <w:t>电话：</w:t>
      </w:r>
      <w:r>
        <w:rPr/>
        <w:t>020-31603842、020-37635007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市船舶与海洋工程装备产业发展规划研究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采购包1（广州市船舶与海洋工程装备产业发展规划研究项目）：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响应价×（1-P1）。 5、参加本项目响应的小型和微型企业应当提供《中小企业声明函》，否则不得享受相关中小企业扶持政策。新成立企业无上一年度相关数据的，根据其出具的《中小企业声明函》认可其为中小企业。采购代理机构、评标委员会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P2（货物、服务项目P2的取值为4%，工程项目P2的取值为2%）的扣除，用扣除后的价格参加评审。适用招标投标法的政府采购工程建设项目，采用综合评估法但未采用低价优先法计算价格分的，评标时应当在采用原报价进行评分的基础上，原则上按2%增加其价格得分。组成联合体或者接受分包的小微企业与联合体内其他企业、分包企业之间存在直接控股、管理关系的，不享受价格扣除优惠政策。 3、《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4、在政府采购活动中，供应商提供的货物、工程或者服务符合下列情形的，享受中小企业扶持政策：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（6）以联合体形式参加政府采购活动，联合体各方均为中小企业的，联合体视同中小企业。其中，联合体各方均为小微企业的，联合体视同小微企业。 5、在本项目政府采购活动中，对符合《政府采购促进中小企业发展管理办法》规定的小微企业报价给予一定比例的扣除，用扣除后的价格参加评审。具体扣除办法如下： 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P2的价格扣除，即：评标价＝响应价×（1-P2）。组成联合体或者接受分包的小微企业与联合体内其他企业、分包企业之间存在直接控股、管理关系的，不享受价格扣除优惠政策。 6、参加本项目响应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成交供应商享受中小企业扶持政策的，随成交结果公开成交供应商的《中小企业声明函》。供应商提供《中小企业声明函》内容不实的，属于提供虚假材料谋取成交，依照《中华人民共和国政府采购法》等国家有关规定追究相应责任。 7、监狱企业参加政府采购活动时，应当提供由省级以上监狱管理局、戒毒管理局(含新疆生产建设兵团)出具的属于监狱企业的证明文件。 8、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采购包1（广州市船舶与海洋工程装备产业发展规划研究项目）：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本采购包接受联合体投标</w:t>
            </w:r>
          </w:p>
        </w:tc>
        <w:tc>
          <w:tcPr>
            <w:tcW w:type="dxa" w:w="4238"/>
          </w:tcPr>
          <w:p>
            <w:r>
              <w:rPr/>
              <w:t>本项目接受联合体响应；  1）联合体响应的响应文件应出示有效的联合体协议书，联合体各成员之间签订的联合体协议书随响应文件一起递交；  2）组成联合体的单位数量不超过三家，联合体牵头人全权代表所有联合体成员参与本次磋商、与采购人洽谈并签订合同，并负责整个合同实施阶段的协调工作；联合体必须签订联合体协议书，明确联合体成员各方的分工； 3）响应供应商的响应文件及成交后签署由联合体各方的联合体合同，对联合体每一成员均具有法律约束；  4）所有联合体成员按合同规定，为合同履行承担连带责任。联合体牵头人的授权书、响应文件及成交后签署的合同中应对此作相应的声明；  5）联合体的各成员不得再以自己名义单独响应，也不得同时参加两个及以上的联合体响应。如有违反将取消该联合体及联合体各成员的参与资格。联合体响应的，须提供《联合体共同响应协议书》； 6）联合体成员应在报名时确定，在智慧云平台中明确牵头方和成员方。</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采购包1（广州市船舶与海洋工程装备产业发展规划研究项目）：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采购包1(广州市船舶与海洋工程装备产业发展规划研究项目):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服务方案（一） (6.0分)</w:t>
            </w:r>
          </w:p>
        </w:tc>
        <w:tc>
          <w:tcPr>
            <w:tcW w:type="dxa" w:w="5076"/>
          </w:tcPr>
          <w:p>
            <w:pPr>
              <w:jc w:val="left"/>
            </w:pPr>
            <w:r>
              <w:rPr/>
              <w:t>磋商小组根据响应供应商提供的服务方案进行综合评价，方案应包括（响应文件中方案标题应以下列方案名称命名）： （1）工作标准； （2）工作流程； （3）对本项目的理解与解读； （4）研究方法及技术路线； （5）服务实力和服务承诺； （6）应急措施。 注：提供全部内容得6分，每缺1项扣1分。</w:t>
            </w:r>
          </w:p>
        </w:tc>
      </w:tr>
      <w:tr>
        <w:tc>
          <w:tcPr>
            <w:tcW w:type="dxa" w:w="922"/>
            <w:gridSpan w:val="2"/>
            <w:vMerge/>
          </w:tcPr>
          <w:p/>
        </w:tc>
        <w:tc>
          <w:tcPr>
            <w:tcW w:type="dxa" w:w="2307"/>
          </w:tcPr>
          <w:p>
            <w:pPr>
              <w:jc w:val="left"/>
            </w:pPr>
            <w:r>
              <w:rPr/>
              <w:t>服务方案（二） (16.0分)</w:t>
            </w:r>
          </w:p>
        </w:tc>
        <w:tc>
          <w:tcPr>
            <w:tcW w:type="dxa" w:w="5076"/>
          </w:tcPr>
          <w:p>
            <w:pPr>
              <w:jc w:val="left"/>
            </w:pPr>
            <w:r>
              <w:rPr/>
              <w:t>磋商小组根据响应供应商提供服务方案的详细内容进行综合评价： （1）服务方案合理、可行、保障性高的，方案的详尽性、实用性、专业性强的，综合评价得16分； （2）服务方案较合理、较可行、保障性较好的，方案的详尽性、实用性、专业性较强的，综合评价得13分； （3）服务方案合理性一般、可行性一般、保障性一般的，方案的详尽性、实用性、专业性为一般，综合评价得10分； （4）服务方案不合理、可行性、保障性差的，方案的详尽性、实用性、专业性差，综合评价得5分； （5）无提供的得0分。</w:t>
            </w:r>
          </w:p>
        </w:tc>
      </w:tr>
      <w:tr>
        <w:tc>
          <w:tcPr>
            <w:tcW w:type="dxa" w:w="922"/>
            <w:gridSpan w:val="2"/>
            <w:vMerge/>
          </w:tcPr>
          <w:p/>
        </w:tc>
        <w:tc>
          <w:tcPr>
            <w:tcW w:type="dxa" w:w="2307"/>
          </w:tcPr>
          <w:p>
            <w:pPr>
              <w:jc w:val="left"/>
            </w:pPr>
            <w:r>
              <w:rPr/>
              <w:t>对本项目重点难点分析、应对措施及相关的合理化建议（一） (3.0分)</w:t>
            </w:r>
          </w:p>
        </w:tc>
        <w:tc>
          <w:tcPr>
            <w:tcW w:type="dxa" w:w="5076"/>
          </w:tcPr>
          <w:p>
            <w:pPr>
              <w:jc w:val="left"/>
            </w:pPr>
            <w:r>
              <w:rPr/>
              <w:t>响应供应商须充分分析本项目的重点难点，针对问题提出应对措施及相关的合理化建议，以保证完成工作的质量及进度，至少包括下述内容（响应文件中各项标题应以下列名称命名）： （1）项目重点难点分析； （2）应对措施； （3）合理化建议。 注：提供全部内容得3分，每缺1项扣1分。</w:t>
            </w:r>
          </w:p>
        </w:tc>
      </w:tr>
      <w:tr>
        <w:tc>
          <w:tcPr>
            <w:tcW w:type="dxa" w:w="922"/>
            <w:gridSpan w:val="2"/>
            <w:vMerge/>
          </w:tcPr>
          <w:p/>
        </w:tc>
        <w:tc>
          <w:tcPr>
            <w:tcW w:type="dxa" w:w="2307"/>
          </w:tcPr>
          <w:p>
            <w:pPr>
              <w:jc w:val="left"/>
            </w:pPr>
            <w:r>
              <w:rPr/>
              <w:t>对本项目重点难点分析、应对措施及相关的合理化建议（二） (16.0分)</w:t>
            </w:r>
          </w:p>
        </w:tc>
        <w:tc>
          <w:tcPr>
            <w:tcW w:type="dxa" w:w="5076"/>
          </w:tcPr>
          <w:p>
            <w:pPr>
              <w:jc w:val="left"/>
            </w:pPr>
            <w:r>
              <w:rPr/>
              <w:t>磋商小组根据响应供应商提供重点难点分析、应对措施及合理化建议的详细内容进行综合评价： （1）分析和建议详细、科学合理、可行性高的，得16分； （2）分析和建议较详细、较科学合理、可行性较高的，得13分； （3）分析和建议基本完整、科学合理性一般、可行性一般的，得10分； （4）分析和建议不详细、科学合理性差、可行性差的，得5分； （5）无提供的得0分。</w:t>
            </w:r>
          </w:p>
        </w:tc>
      </w:tr>
      <w:tr>
        <w:tc>
          <w:tcPr>
            <w:tcW w:type="dxa" w:w="922"/>
            <w:gridSpan w:val="2"/>
            <w:vMerge/>
          </w:tcPr>
          <w:p/>
        </w:tc>
        <w:tc>
          <w:tcPr>
            <w:tcW w:type="dxa" w:w="2307"/>
          </w:tcPr>
          <w:p>
            <w:pPr>
              <w:jc w:val="left"/>
            </w:pPr>
            <w:r>
              <w:rPr/>
              <w:t>质量保障措施及方案（一） (3.0分)</w:t>
            </w:r>
          </w:p>
        </w:tc>
        <w:tc>
          <w:tcPr>
            <w:tcW w:type="dxa" w:w="5076"/>
          </w:tcPr>
          <w:p>
            <w:pPr>
              <w:jc w:val="left"/>
            </w:pPr>
            <w:r>
              <w:rPr/>
              <w:t>磋商小组根据响应供应商提供的质量保障措施及方案进行综合评价，方案应包括（响应文件中方案标题应以下列方案名称命名）： （1）质量保障措施；  （2）保证服务团队稳定性的方案； （3）工作时间进度计划。 注：提供全部内容得3分，每缺1项扣1分。</w:t>
            </w:r>
          </w:p>
        </w:tc>
      </w:tr>
      <w:tr>
        <w:tc>
          <w:tcPr>
            <w:tcW w:type="dxa" w:w="922"/>
            <w:gridSpan w:val="2"/>
            <w:vMerge/>
          </w:tcPr>
          <w:p/>
        </w:tc>
        <w:tc>
          <w:tcPr>
            <w:tcW w:type="dxa" w:w="2307"/>
          </w:tcPr>
          <w:p>
            <w:pPr>
              <w:jc w:val="left"/>
            </w:pPr>
            <w:r>
              <w:rPr/>
              <w:t>质量保障措施及方案（二） (16.0分)</w:t>
            </w:r>
          </w:p>
        </w:tc>
        <w:tc>
          <w:tcPr>
            <w:tcW w:type="dxa" w:w="5076"/>
          </w:tcPr>
          <w:p>
            <w:pPr>
              <w:jc w:val="left"/>
            </w:pPr>
            <w:r>
              <w:rPr/>
              <w:t>磋商小组根据响应供应商提供质量保障措施及方案的详细内容进行综合评价： （1）方案合理完整细致，针对性强，描述清晰度高的，得16分； （2）方案较合理完整，针对性较强，描述较清晰的，得13分； （3）方案合理性一般，针对性一般，描述基本清晰的，得10分； （4）方案合理性差，针对性差，描述不够清晰的，得5分； （5）无提供的得0分。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响应供应商2020年1月1日至今同类项目（与本项目产业相关的课题研究或与产业技术和装备相关的课题研究）服务经验，每个项目得1分，本项最高得4分。 注：须提供合同或协议的关键页（合同关键页必须有用户单位名称、合同项目名称、合同标的主要内容、签订合同双方的落款盖章、合同签订日期）复印件，时间以合同签订日期为准，未提交证明材料或者专家无法认定的不得分。如联合体参与，指联合体任意一方业绩。</w:t>
            </w:r>
          </w:p>
        </w:tc>
      </w:tr>
      <w:tr>
        <w:tc>
          <w:tcPr>
            <w:tcW w:type="dxa" w:w="922"/>
            <w:gridSpan w:val="2"/>
            <w:vMerge/>
          </w:tcPr>
          <w:p/>
        </w:tc>
        <w:tc>
          <w:tcPr>
            <w:tcW w:type="dxa" w:w="2307"/>
          </w:tcPr>
          <w:p>
            <w:pPr>
              <w:jc w:val="left"/>
            </w:pPr>
            <w:r>
              <w:rPr/>
              <w:t>用户评价 (4.0分)</w:t>
            </w:r>
          </w:p>
        </w:tc>
        <w:tc>
          <w:tcPr>
            <w:tcW w:type="dxa" w:w="5076"/>
          </w:tcPr>
          <w:p>
            <w:pPr>
              <w:jc w:val="left"/>
            </w:pPr>
            <w:r>
              <w:rPr/>
              <w:t>（1）响应供应商具有对应以上同类项目业绩获得满意（或同等意义的评价、表扬信、锦旗、服务满意度等，如80分或以上、满意或以上等）的服务质量评价，每提供一份得1分，最高得4分。  注：提供用户单位或其管理部门盖章出具的服务评价书或证明，不提供或专家无法认定的不得分。</w:t>
            </w:r>
          </w:p>
        </w:tc>
      </w:tr>
      <w:tr>
        <w:tc>
          <w:tcPr>
            <w:tcW w:type="dxa" w:w="922"/>
            <w:gridSpan w:val="2"/>
            <w:vMerge/>
          </w:tcPr>
          <w:p/>
        </w:tc>
        <w:tc>
          <w:tcPr>
            <w:tcW w:type="dxa" w:w="2307"/>
          </w:tcPr>
          <w:p>
            <w:pPr>
              <w:jc w:val="left"/>
            </w:pPr>
            <w:r>
              <w:rPr/>
              <w:t>产业研究相关资源 (10.0分)</w:t>
            </w:r>
          </w:p>
        </w:tc>
        <w:tc>
          <w:tcPr>
            <w:tcW w:type="dxa" w:w="5076"/>
          </w:tcPr>
          <w:p>
            <w:pPr>
              <w:jc w:val="left"/>
            </w:pPr>
            <w:r>
              <w:rPr/>
              <w:t>供应商在产业研究中具有能对接国家、广东省、广州市相关规划资源。熟悉国内外船舶海洋工程领域企业、研究机构和大学，且与上述机构具有良好的合作关系。每提供1份合作资源得1分，最高得10分。 注：需提供相关证明材料（包括但不限于合作协议、合同等），不提供或者专家无法认定的不得分。</w:t>
            </w:r>
          </w:p>
        </w:tc>
      </w:tr>
      <w:tr>
        <w:tc>
          <w:tcPr>
            <w:tcW w:type="dxa" w:w="922"/>
            <w:gridSpan w:val="2"/>
            <w:vMerge/>
          </w:tcPr>
          <w:p/>
        </w:tc>
        <w:tc>
          <w:tcPr>
            <w:tcW w:type="dxa" w:w="2307"/>
          </w:tcPr>
          <w:p>
            <w:pPr>
              <w:jc w:val="left"/>
            </w:pPr>
            <w:r>
              <w:rPr/>
              <w:t>拟投入本项目的服务团队的资质情况 (10.0分)</w:t>
            </w:r>
          </w:p>
        </w:tc>
        <w:tc>
          <w:tcPr>
            <w:tcW w:type="dxa" w:w="5076"/>
          </w:tcPr>
          <w:p>
            <w:pPr>
              <w:jc w:val="left"/>
            </w:pPr>
            <w:r>
              <w:rPr/>
              <w:t>响应供应商拟投入本项目服务团队人员的职称和职业资格情况：（每提供一个即得该条目对应分数，总分不超过10分） （1）具有高级及以上职称的，每提供一个，得2分； （2）具有注册咨询工程师（投资）或项目管理师（高级）的，每提供一个，得2分； （3）具有从事产业发展、技术体系研究咨询的相关战略科学家、战略专家级别人才（“两院”院士、部委及以上相关机构委员）支撑的，得4分。 注：同一人同时满足几项的，取最高分，不累计得分。响应供应商须提供上述人员的相关证书复印件、在本单位任职的外部证明材料（如加盖所在地区政府有关部门印章的打印日期在本项目响应截止日之前6个月任意1个月的《投保单》或《社会保险参保人员证明》，或单位代缴个人所得税税单等，退休人员提供退休证复印件可视为人员社保免交证明）。未提供不得分。如联合体参与，指联合体任意一方人员。</w:t>
            </w:r>
          </w:p>
        </w:tc>
      </w:tr>
      <w:tr>
        <w:tc>
          <w:tcPr>
            <w:tcW w:type="dxa" w:w="922"/>
            <w:gridSpan w:val="2"/>
            <w:vMerge/>
          </w:tcPr>
          <w:p/>
        </w:tc>
        <w:tc>
          <w:tcPr>
            <w:tcW w:type="dxa" w:w="2307"/>
          </w:tcPr>
          <w:p>
            <w:pPr>
              <w:jc w:val="left"/>
            </w:pPr>
            <w:r>
              <w:rPr/>
              <w:t>管理体系认证 (2.0分)</w:t>
            </w:r>
          </w:p>
        </w:tc>
        <w:tc>
          <w:tcPr>
            <w:tcW w:type="dxa" w:w="5076"/>
          </w:tcPr>
          <w:p>
            <w:pPr>
              <w:jc w:val="left"/>
            </w:pPr>
            <w:r>
              <w:rPr/>
              <w:t>响应供应商具有有效的质量管理体系认证证书的，得2分。  注：须提供证书复印件，不提供不得分。如联合体参与，指联合体任意一方证书。</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满足竞争性磋商文件要求且响应报价价格最低的响应报价为评标基准价。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bl>
    <w:p/>
    <w:p>
      <w:r>
        <w:rPr>
          <w:b/>
          <w:sz w:val="24"/>
        </w:rPr>
        <w:t>6.汇总、排序</w:t>
      </w:r>
    </w:p>
    <w:p>
      <w:pPr>
        <w:ind w:firstLine="480"/>
      </w:pPr>
    </w:p>
    <w:p/>
    <w:p>
      <w:r>
        <w:rPr/>
        <w:t>采购包1：</w:t>
      </w:r>
    </w:p>
    <w:p/>
    <w:p>
      <w:r>
        <w:rPr/>
        <w:t>评标结果按评审后总得分由高到低顺序排列。总得分相同的，按商务部分得分由高到低顺序排列。前述排序相同的，再按响应报价由低到高排序。得分且响应报价相同的，由评委会采取随机抽取的方式确定。总排名第一的响应供应商为第一成交候选供应商，总排名第二的响应供应商为第二成交候选供应商，总排名第三的响应供应商为第三成交候选供应商。</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合同具体事项须根据采购文件的约定及乙方响应文件的承诺执行。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乙方（成交供应商）：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广州市船舶与海洋工程装备产业发展规划研究项目</w:t>
      </w:r>
      <w:r>
        <w:rPr>
          <w:sz w:val="21"/>
        </w:rPr>
        <w:t>磋商文件（项目编号：</w:t>
      </w:r>
      <w:r>
        <w:rPr>
          <w:sz w:val="21"/>
        </w:rPr>
        <w:t>GZGK23D229C0684C）的要求，经双方协商，本着平等互利和诚实信用的原则，一致同意签订本合同。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具体要求以磋商文件以及乙方的</w:t>
      </w:r>
      <w:r>
        <w:rPr>
          <w:sz w:val="21"/>
        </w:rPr>
        <w:t>响应</w:t>
      </w:r>
      <w:r>
        <w:rPr>
          <w:sz w:val="21"/>
        </w:rPr>
        <w:t>文件承诺为准，如磋商文件与</w:t>
      </w:r>
      <w:r>
        <w:rPr>
          <w:sz w:val="21"/>
        </w:rPr>
        <w:t>响应</w:t>
      </w:r>
      <w:r>
        <w:rPr>
          <w:sz w:val="21"/>
        </w:rPr>
        <w:t>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1. 知识产权是指根据相关法律法规、行政法规以及国际条约、协定或合同的规定，相关方对智力成果享有的任何权利，其种类不限于著作权、专利权和商标权等。</w:t>
      </w:r>
    </w:p>
    <w:p>
      <w:pPr>
        <w:ind w:firstLine="420"/>
        <w:jc w:val="both"/>
      </w:pPr>
      <w:r>
        <w:rPr>
          <w:sz w:val="21"/>
        </w:rPr>
        <w:t>2. 就执行本项目形成的文件、数据材料、研究成果，甲方享有全部的知识产权，乙方就项目文件仅具有在本项目范围内的使用权。项目结束之后，乙方如需使用前述文件，包括但不限于引用项目文件或甲方提供的与项目相关的文件，在项目文件的基础上进行衍生创作等，均须取得甲方事先书面同意。</w:t>
      </w:r>
    </w:p>
    <w:p>
      <w:pPr>
        <w:ind w:firstLine="420"/>
        <w:jc w:val="both"/>
      </w:pPr>
      <w:r>
        <w:rPr>
          <w:sz w:val="21"/>
        </w:rPr>
        <w:t>3. 未经甲方事先书面允许，乙方不得向任何第三方提供或公布数据指标与分析报告，并遵守有关保密条款，如出现泄密，由乙方商负全部责任并赔偿对甲方造成的所有损失。</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乙方提供的服务不符合磋商文件、响应文件或本合同规定的，甲方有权拒收，并且乙方须向甲方支付本合同总价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本合同所有附件、磋商文件、响应文件、成交通知书均为合同的有效组成部分，与本合同具有同等法律效力。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p>
            <w:pPr>
              <w:jc w:val="both"/>
            </w:pPr>
            <w:r>
              <w:rPr/>
              <w:t xml:space="preserve"> </w:t>
            </w:r>
          </w:p>
          <w:p>
            <w:pPr>
              <w:jc w:val="both"/>
            </w:pPr>
            <w:r>
              <w:rPr/>
              <w:t xml:space="preserve"> </w:t>
            </w:r>
          </w:p>
          <w:p>
            <w:pPr>
              <w:jc w:val="both"/>
            </w:pPr>
            <w:r>
              <w:rPr/>
              <w:t xml:space="preserve"> </w:t>
            </w:r>
          </w:p>
        </w:tc>
      </w:tr>
    </w:tbl>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440101-2023-21881</w:t>
      </w:r>
    </w:p>
    <w:p>
      <w:pPr>
        <w:jc w:val="center"/>
      </w:pPr>
      <w:r>
        <w:rPr>
          <w:b/>
          <w:sz w:val="24"/>
        </w:rPr>
        <w:t>采购项目编号：</w:t>
      </w:r>
      <w:r>
        <w:rPr>
          <w:b/>
          <w:sz w:val="24"/>
        </w:rPr>
        <w:t>GZGK23D229C0684C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广州市船舶与海洋工程装备产业发展规划研究项目</w:t>
      </w:r>
      <w:r>
        <w:rPr>
          <w:u w:val="single"/>
        </w:rPr>
        <w:t>”</w:t>
      </w:r>
      <w:r>
        <w:rPr/>
        <w:t>项目的竞争性磋商[采购项目编号为：</w:t>
      </w:r>
      <w:r>
        <w:rPr>
          <w:u w:val="single"/>
        </w:rPr>
        <w:t>GZGK23D229C0684C</w:t>
      </w:r>
      <w:r>
        <w:rPr/>
        <w:t>]，我方愿参与响应。</w:t>
      </w:r>
    </w:p>
    <w:p>
      <w:pPr>
        <w:ind w:firstLine="480"/>
      </w:pPr>
      <w:r>
        <w:rPr/>
        <w:t>我方确认收到贵方提供的</w:t>
      </w:r>
      <w:r>
        <w:rPr>
          <w:u w:val="single"/>
        </w:rPr>
        <w:t>“</w:t>
      </w:r>
      <w:r>
        <w:rPr>
          <w:u w:val="single"/>
        </w:rPr>
        <w:t>广州市船舶与海洋工程装备产业发展规划研究项目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广州市船舶与海洋工程装备产业发展规划研究项目</w:t>
      </w:r>
      <w:r>
        <w:rPr/>
        <w:t>”项目采购[采购项目编号为</w:t>
      </w:r>
      <w:r>
        <w:rPr/>
        <w:t>GZGK23D229C0684C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广州市工业和信息化局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广州市船舶与海洋工程装备产业发展规划研究项目</w:t>
      </w:r>
      <w:r>
        <w:rPr/>
        <w:t>（采购项目编号：</w:t>
      </w:r>
      <w:r>
        <w:rPr/>
        <w:t>GZGK23D229C0684C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