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440001-2023-00782</w:t>
      </w:r>
    </w:p>
    <w:p>
      <w:pPr>
        <w:jc w:val="center"/>
      </w:pPr>
      <w:r>
        <w:rPr>
          <w:b/>
          <w:sz w:val="24"/>
        </w:rPr>
        <w:t>采购项目编号：</w:t>
      </w:r>
      <w:r>
        <w:rPr>
          <w:b/>
          <w:sz w:val="24"/>
        </w:rPr>
        <w:t>GZGK22P318A0882Z</w:t>
      </w:r>
    </w:p>
    <w:p>
      <w:pPr>
        <w:jc w:val="center"/>
      </w:pPr>
      <w:r>
        <w:rPr>
          <w:b/>
          <w:sz w:val="24"/>
        </w:rPr>
        <w:t>项目名称：</w:t>
      </w:r>
      <w:r>
        <w:rPr>
          <w:b/>
          <w:sz w:val="24"/>
        </w:rPr>
        <w:t>体育教学实验室设备采购(二次)</w:t>
      </w:r>
    </w:p>
    <w:p>
      <w:pPr>
        <w:jc w:val="center"/>
      </w:pPr>
      <w:r>
        <w:rPr>
          <w:b/>
          <w:sz w:val="24"/>
        </w:rPr>
        <w:t>采购人：</w:t>
      </w:r>
      <w:r>
        <w:rPr>
          <w:b/>
          <w:sz w:val="24"/>
        </w:rPr>
        <w:t>广州中医药大学</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广州中医药大学</w:t>
      </w:r>
      <w:r>
        <w:rPr/>
        <w:t>的委托，采用</w:t>
      </w:r>
      <w:r>
        <w:rPr/>
        <w:t>公开招标</w:t>
      </w:r>
      <w:r>
        <w:rPr/>
        <w:t>方式组织采购</w:t>
      </w:r>
      <w:r>
        <w:rPr/>
        <w:t>体育教学实验室设备采购(二次)</w:t>
      </w:r>
      <w:r>
        <w:rPr/>
        <w:t>。欢迎符合资格条件的国内供应商参加投标。</w:t>
      </w:r>
    </w:p>
    <w:p>
      <w:r>
        <w:rPr>
          <w:b/>
          <w:sz w:val="28"/>
        </w:rPr>
        <w:t>一.项目概述</w:t>
      </w:r>
    </w:p>
    <w:p>
      <w:r>
        <w:rPr>
          <w:b/>
          <w:sz w:val="24"/>
        </w:rPr>
        <w:t>1.名称与编号</w:t>
      </w:r>
    </w:p>
    <w:p>
      <w:pPr>
        <w:ind w:firstLine="480"/>
      </w:pPr>
      <w:r>
        <w:rPr/>
        <w:t>项目名称：</w:t>
      </w:r>
      <w:r>
        <w:rPr/>
        <w:t>体育教学实验室设备采购(二次)</w:t>
      </w:r>
    </w:p>
    <w:p>
      <w:pPr>
        <w:ind w:firstLine="480"/>
      </w:pPr>
      <w:r>
        <w:rPr/>
        <w:t>采购计划编号：</w:t>
      </w:r>
      <w:r>
        <w:rPr/>
        <w:t>440001-2023-00782</w:t>
      </w:r>
    </w:p>
    <w:p>
      <w:pPr>
        <w:ind w:firstLine="480"/>
      </w:pPr>
      <w:r>
        <w:rPr/>
        <w:t>采购项目编号：</w:t>
      </w:r>
      <w:r>
        <w:rPr/>
        <w:t>GZGK22P318A0882Z</w:t>
      </w:r>
    </w:p>
    <w:p>
      <w:pPr>
        <w:ind w:firstLine="480"/>
      </w:pPr>
      <w:r>
        <w:rPr/>
        <w:t>采购方式：</w:t>
      </w:r>
      <w:r>
        <w:rPr/>
        <w:t>公开招标</w:t>
      </w:r>
    </w:p>
    <w:p>
      <w:pPr>
        <w:ind w:firstLine="480"/>
      </w:pPr>
      <w:r>
        <w:rPr/>
        <w:t>预算金额：</w:t>
      </w:r>
      <w:r>
        <w:rPr/>
        <w:t>2,060,550.00</w:t>
      </w:r>
      <w:r>
        <w:rPr/>
        <w:t>元</w:t>
      </w:r>
    </w:p>
    <w:p>
      <w:r>
        <w:rPr>
          <w:b/>
          <w:sz w:val="24"/>
        </w:rPr>
        <w:t>2.项目内容及需求情况（采购项目技术规格、参数及要求）</w:t>
      </w:r>
    </w:p>
    <w:p>
      <w:pPr>
        <w:ind w:firstLine="480"/>
      </w:pPr>
    </w:p>
    <w:p/>
    <w:p>
      <w:r>
        <w:rPr/>
        <w:t>采购包1(体测设备):</w:t>
      </w:r>
    </w:p>
    <w:p>
      <w:r>
        <w:rPr/>
        <w:t>采购包预算金额：966,150.00元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其他体育设备设施</w:t>
            </w:r>
          </w:p>
        </w:tc>
        <w:tc>
          <w:tcPr>
            <w:tcW w:type="dxa" w:w="2136"/>
          </w:tcPr>
          <w:p>
            <w:r>
              <w:rPr/>
              <w:t>身高体重测试仪</w:t>
            </w:r>
          </w:p>
        </w:tc>
        <w:tc>
          <w:tcPr>
            <w:tcW w:type="dxa" w:w="1187"/>
          </w:tcPr>
          <w:p>
            <w:r>
              <w:rPr/>
              <w:t>8.0000(套)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其他体育设备设施</w:t>
            </w:r>
          </w:p>
        </w:tc>
        <w:tc>
          <w:tcPr>
            <w:tcW w:type="dxa" w:w="2136"/>
          </w:tcPr>
          <w:p>
            <w:r>
              <w:rPr/>
              <w:t>肺活量测试仪</w:t>
            </w:r>
          </w:p>
        </w:tc>
        <w:tc>
          <w:tcPr>
            <w:tcW w:type="dxa" w:w="1187"/>
          </w:tcPr>
          <w:p>
            <w:r>
              <w:rPr/>
              <w:t>8.0000(套)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其他体育设备设施</w:t>
            </w:r>
          </w:p>
        </w:tc>
        <w:tc>
          <w:tcPr>
            <w:tcW w:type="dxa" w:w="2136"/>
          </w:tcPr>
          <w:p>
            <w:r>
              <w:rPr/>
              <w:t>坐位体前屈测试仪</w:t>
            </w:r>
          </w:p>
        </w:tc>
        <w:tc>
          <w:tcPr>
            <w:tcW w:type="dxa" w:w="1187"/>
          </w:tcPr>
          <w:p>
            <w:r>
              <w:rPr/>
              <w:t>8.0000(套)</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其他体育设备设施</w:t>
            </w:r>
          </w:p>
        </w:tc>
        <w:tc>
          <w:tcPr>
            <w:tcW w:type="dxa" w:w="2136"/>
          </w:tcPr>
          <w:p>
            <w:r>
              <w:rPr/>
              <w:t>立定跳远测试仪</w:t>
            </w:r>
          </w:p>
        </w:tc>
        <w:tc>
          <w:tcPr>
            <w:tcW w:type="dxa" w:w="1187"/>
          </w:tcPr>
          <w:p>
            <w:r>
              <w:rPr/>
              <w:t>8.0000(套)</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其他体育设备设施</w:t>
            </w:r>
          </w:p>
        </w:tc>
        <w:tc>
          <w:tcPr>
            <w:tcW w:type="dxa" w:w="2136"/>
          </w:tcPr>
          <w:p>
            <w:r>
              <w:rPr/>
              <w:t>50/100米跑步测试仪</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1-6</w:t>
            </w:r>
          </w:p>
        </w:tc>
        <w:tc>
          <w:tcPr>
            <w:tcW w:type="dxa" w:w="1424"/>
          </w:tcPr>
          <w:p>
            <w:r>
              <w:rPr/>
              <w:t>其他体育设备设施</w:t>
            </w:r>
          </w:p>
        </w:tc>
        <w:tc>
          <w:tcPr>
            <w:tcW w:type="dxa" w:w="2136"/>
          </w:tcPr>
          <w:p>
            <w:r>
              <w:rPr/>
              <w:t>仰卧起坐测试仪</w:t>
            </w:r>
          </w:p>
        </w:tc>
        <w:tc>
          <w:tcPr>
            <w:tcW w:type="dxa" w:w="1187"/>
          </w:tcPr>
          <w:p>
            <w:r>
              <w:rPr/>
              <w:t>8.0000(套)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采购包2(体育教研室大型设备):</w:t>
      </w:r>
    </w:p>
    <w:p>
      <w:r>
        <w:rPr/>
        <w:t>采购包预算金额：1,094,400.00元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其他体育设备设施</w:t>
            </w:r>
          </w:p>
        </w:tc>
        <w:tc>
          <w:tcPr>
            <w:tcW w:type="dxa" w:w="2136"/>
          </w:tcPr>
          <w:p>
            <w:r>
              <w:rPr/>
              <w:t>中长跑跑步测试仪</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2-2</w:t>
            </w:r>
          </w:p>
        </w:tc>
        <w:tc>
          <w:tcPr>
            <w:tcW w:type="dxa" w:w="1424"/>
          </w:tcPr>
          <w:p>
            <w:r>
              <w:rPr/>
              <w:t>其他体育设备设施</w:t>
            </w:r>
          </w:p>
        </w:tc>
        <w:tc>
          <w:tcPr>
            <w:tcW w:type="dxa" w:w="2136"/>
          </w:tcPr>
          <w:p>
            <w:r>
              <w:rPr/>
              <w:t>健脊塑身仪</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2-3</w:t>
            </w:r>
          </w:p>
        </w:tc>
        <w:tc>
          <w:tcPr>
            <w:tcW w:type="dxa" w:w="1424"/>
          </w:tcPr>
          <w:p>
            <w:r>
              <w:rPr/>
              <w:t>其他体育设备设施</w:t>
            </w:r>
          </w:p>
        </w:tc>
        <w:tc>
          <w:tcPr>
            <w:tcW w:type="dxa" w:w="2136"/>
          </w:tcPr>
          <w:p>
            <w:r>
              <w:rPr/>
              <w:t>三维步态分析系统</w:t>
            </w:r>
          </w:p>
        </w:tc>
        <w:tc>
          <w:tcPr>
            <w:tcW w:type="dxa" w:w="1187"/>
          </w:tcPr>
          <w:p>
            <w:r>
              <w:rPr/>
              <w:t>1.0000(套)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3）具有良好的商业信誉和健全的财务会计制度：供应商必须具有良好的商业信誉和健全的财务会计制度（提供2021年度财务状况报告或基本开户行出具的资信证明）。</w:t>
      </w:r>
    </w:p>
    <w:p/>
    <w:p>
      <w:r>
        <w:rPr/>
        <w:t>4）履行合同所必需的设备和专业技术能力：按投标文件格式填报设备及专业技术能力情况。</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采购包1（体测设备）：</w:t>
      </w:r>
      <w:r>
        <w:rPr/>
        <w:t>本采购包不属于专门面向中小企业采购的项目。</w:t>
      </w:r>
    </w:p>
    <w:p>
      <w:pPr>
        <w:jc w:val="left"/>
      </w:pPr>
    </w:p>
    <w:p>
      <w:r>
        <w:rPr/>
        <w:t>采购包2（体育教研室大型设备）：</w:t>
      </w:r>
      <w:r>
        <w:rPr/>
        <w:t>本采购包不属于专门面向中小企业采购的项目。</w:t>
      </w:r>
    </w:p>
    <w:p/>
    <w:p>
      <w:r>
        <w:rPr>
          <w:b/>
          <w:sz w:val="24"/>
        </w:rPr>
        <w:t>3.本项目特定的资格要求：</w:t>
      </w:r>
    </w:p>
    <w:p>
      <w:pPr>
        <w:ind w:firstLine="480"/>
      </w:pPr>
    </w:p>
    <w:p/>
    <w:p>
      <w:r>
        <w:rPr/>
        <w:t>采购包1（体测设备）：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t>采购包2（体育教研室大型设备）：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www.gzgkbidding.com</w:t>
      </w:r>
    </w:p>
    <w:p>
      <w:r>
        <w:rPr>
          <w:b/>
          <w:sz w:val="28"/>
        </w:rPr>
        <w:t>六.本项目联系方式：</w:t>
      </w:r>
    </w:p>
    <w:p>
      <w:r>
        <w:rPr>
          <w:b/>
          <w:sz w:val="24"/>
        </w:rPr>
        <w:t>1.采购人信息</w:t>
      </w:r>
    </w:p>
    <w:p>
      <w:pPr>
        <w:ind w:firstLine="480"/>
      </w:pPr>
      <w:r>
        <w:rPr/>
        <w:t>名称：</w:t>
      </w:r>
      <w:r>
        <w:rPr/>
        <w:t>广州中医药大学</w:t>
      </w:r>
    </w:p>
    <w:p>
      <w:pPr>
        <w:ind w:firstLine="480"/>
      </w:pPr>
      <w:r>
        <w:rPr/>
        <w:t>地址：</w:t>
      </w:r>
      <w:r>
        <w:rPr/>
        <w:t>广州市番禺区广州大学城外环东路232号广州中医药大学办公楼911室</w:t>
      </w:r>
    </w:p>
    <w:p>
      <w:pPr>
        <w:ind w:firstLine="480"/>
      </w:pPr>
      <w:r>
        <w:rPr/>
        <w:t>联系方式：</w:t>
      </w:r>
      <w:r>
        <w:rPr/>
        <w:t>020-39356970、020-39356298</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020-87687822、020-87684402</w:t>
      </w:r>
    </w:p>
    <w:p>
      <w:r>
        <w:rPr>
          <w:b/>
          <w:sz w:val="24"/>
        </w:rPr>
        <w:t>3.项目联系方式</w:t>
      </w:r>
    </w:p>
    <w:p>
      <w:pPr>
        <w:ind w:firstLine="480"/>
      </w:pPr>
      <w:r>
        <w:rPr/>
        <w:t>项目联系人：</w:t>
      </w:r>
      <w:r>
        <w:rPr/>
        <w:t>赖工、吴工</w:t>
      </w:r>
    </w:p>
    <w:p>
      <w:pPr>
        <w:ind w:firstLine="480"/>
      </w:pPr>
      <w:r>
        <w:rPr/>
        <w:t>电话：</w:t>
      </w:r>
      <w:r>
        <w:rPr/>
        <w:t>020-87687822、020-87684402</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rPr>
        <w:t>（一）项目编号：</w:t>
      </w:r>
      <w:r>
        <w:rPr/>
        <w:t>GZGK22P318A0882Z</w:t>
      </w:r>
      <w:r>
        <w:br/>
      </w:r>
      <w:r>
        <w:rPr>
          <w:b/>
        </w:rPr>
        <w:t>（二）项目名称：</w:t>
      </w:r>
      <w:r>
        <w:rPr/>
        <w:t>体育教学实验室（二次）</w:t>
      </w:r>
      <w:r>
        <w:br/>
      </w:r>
      <w:r>
        <w:rPr>
          <w:b/>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12、不允许中标供应商转包、分包中标采购包的内容。</w:t>
      </w:r>
      <w:r>
        <w:br/>
      </w:r>
      <w:r>
        <w:rPr/>
        <w:t>13、小型和微型企业、监狱企业和残疾人福利性单位必须按照投标须知的内容提供相应的资料。</w:t>
      </w:r>
      <w:r>
        <w:br/>
      </w:r>
      <w:r>
        <w:rPr/>
        <w:t>14、需落实政府采购政策为：促进中小企业发展政策、支持监狱企业发展政策、支持残疾人福利性单位发展政策、优先采购节能产品、环境标志产品相关政策等。</w:t>
      </w:r>
      <w:r>
        <w:br/>
      </w:r>
      <w:r>
        <w:rPr/>
        <w:t>15、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★16、投标人知悉本项目资金来源为银行贷款，签订合同后，如因非采购人原因导致未获得资金，采购人有权解除该合同并且无需支付任何费用或赔偿任何损失，投标人同意自行承担因此遭受的全部损失。</w:t>
      </w:r>
      <w:r>
        <w:br/>
      </w:r>
      <w:r>
        <w:rPr>
          <w:b/>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b/>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b/>
        </w:rPr>
        <w:t>（五）投标报价说明（适用于所有采购包）：</w:t>
      </w:r>
      <w:r>
        <w:br/>
      </w:r>
      <w:r>
        <w:rPr/>
        <w:t>投标报价为包干总价，该包干总价为中标人按照合同约定完成合同全部义务后所适用的总价格。包括但不限于设备物资的费用、运输费、保险费、装卸费、配套资料费、安装调试费用、验收时的试剂耗材、强制性第三方监督检验机构的验收检验费、培训费用以及售后服务费用等。除合同明确约定的费用外，采购人无需支付任何额外费用和承担任何额外义务。合同价款等各项内容在合同履行过程中保持不变。在实际合同履行过程中，如果中标人未完全履行合同义务或履行的合同义务不符合约定的，则未履行或履行不符合合同约定的内容所对应的价款由采购人直接从上述约定的包干价中扣除。</w:t>
      </w:r>
      <w:r>
        <w:br/>
      </w:r>
      <w:r>
        <w:rPr>
          <w:b/>
        </w:rPr>
        <w:t>（六）实现的功能</w:t>
      </w:r>
      <w:r>
        <w:br/>
      </w:r>
      <w:r>
        <w:rPr/>
        <w:t>拟采购体适能教学实验室设备、体测设备、体育教研室大型设备各一批，以满足教学需要。</w:t>
      </w:r>
      <w:r>
        <w:br/>
      </w:r>
      <w:r>
        <w:rPr>
          <w:b/>
        </w:rPr>
        <w:t>（七）需执行国家相关标准、行业标准、地方标准或者其他标准、规范</w:t>
      </w:r>
    </w:p>
    <w:p/>
    <w:p>
      <w:pPr>
        <w:ind w:firstLine="480"/>
      </w:pPr>
    </w:p>
    <w:p/>
    <w:p>
      <w:r>
        <w:rPr/>
        <w:t>采购包1（体测设备）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 45日（日历日）内。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1期：支付比例100%,1、中标人为中小企业： （1）（如中标人为中小企业）合同签订且收到履约保证金后5个工作日内采购人向中标人支付合同金额的30%（支付方式含银行转账、支票、银行承兑汇票、商业承兑汇票等形式）。 （2）（如中标人为中小企业）所有货物验收合格且收到发票后15日内采购人向中标人支付至合同总价的100%（支付方式含银行转账、支票、银行承兑汇票、商业承兑汇票等形式）。 2、中标人为非中小企业： （如中标人为非中小企业）所有货物验收合格且收到发票后15日内采购人向中标人支付合同总价的100%（支付方式含银行转账、支票、银行承兑汇票、商业承兑汇票等形式） 注：1.每笔款项支付前，中标人须提交与每笔款项金额相等的正式发票； 2.采购人在上述期限内，按广东省财政厅规定的支付手续将付款的申请文件递出, 即完成付款义务。但可以协助中标人查询政府审核和支付的进度。</w:t>
            </w:r>
          </w:p>
        </w:tc>
      </w:tr>
      <w:tr>
        <w:tc>
          <w:tcPr>
            <w:tcW w:type="dxa" w:w="4153"/>
          </w:tcPr>
          <w:p>
            <w:r>
              <w:rPr/>
              <w:t>验收要求</w:t>
            </w:r>
          </w:p>
        </w:tc>
        <w:tc>
          <w:tcPr>
            <w:tcW w:type="dxa" w:w="4153"/>
          </w:tcPr>
          <w:p/>
          <w:p/>
          <w:p/>
          <w:p>
            <w:r>
              <w:rPr/>
              <w:t>1期：1.验收标准：根据采购合同约定进行履约验收。  2.中标人应保证设备物资的包装符合运输的要求，足以保护设备物资在运输过程中不受锈蚀、损坏或灭失。如果设备物资在运输和安装过程中因事故造成设备物资短缺、损坏，中标人应及时安排换装，换货的相关费用由中标人承担。 3.中标人应当保证设备的各部件、备品备件、合格证、操作使用说明、保修单、发票和产品软件等必要物品随设备一并交付采购人,并负责设备物资的安装调试及相关免费技术培训。 4.设备物资送达指定地点时，由双方代表共同开箱验货,经确认后签署国产设备物资开箱验货情况表。在开箱验货中如发现包装破损、设备数量不符、技术资料不全等不符合合同约定的情况，采购人有权拒收，中标人应于5日内重新提供符合合同约定的设备物资，否则，视为中标人逾期交货。如果重新交付的设备仍与合同约定不符，采购人有权解除合同。 5. 需要安装调试的设备物资，中标人应于开箱验货合格后5日内进行设备安装调试、技术指标和性能测试及整机运行测试。安装调试完成后双方填写安装调试登记表。 6.设备安装调试完成后，中标人认为已经达到验收条件并准备齐验收所需文件后，向采购人提出验收申请，采购人认为中标人满足验收条件后组织验收。 7.设备物资验收由采购人聘请专家组和中标人联合进行，验收时间由采购人确定。中标人未派员参加的，视为认可验收结果。 8.设备物资的验收标准按照合同及招投标文件中列明的技术参数、规格、性能指标等执行。 9.验收不合格，采购人有权要求中标人重新提供设备或有权解除合同。中标人应在采购人指定的期限内重新提供设备，并承担因此而发生的全部费用，赔偿由此给采购人造成的损失。 10.如中标人对验收结果有异议，可提请采购人所在地商检部门进行复检。商检部门的检验结果表明设备物资不符合合同约定的，因复检发生的费用由中标人承担；检验结果表明设备物资符合合同约定的，因复检发生的费用由采购人承担。</w:t>
            </w:r>
          </w:p>
        </w:tc>
      </w:tr>
      <w:tr>
        <w:tc>
          <w:tcPr>
            <w:tcW w:type="dxa" w:w="4153"/>
          </w:tcPr>
          <w:p>
            <w:r>
              <w:rPr/>
              <w:t>履约保证金</w:t>
            </w:r>
          </w:p>
        </w:tc>
        <w:tc>
          <w:tcPr>
            <w:tcW w:type="dxa" w:w="4153"/>
          </w:tcPr>
          <w:p/>
          <w:p/>
          <w:p/>
          <w:p/>
          <w:p>
            <w:r>
              <w:rPr/>
              <w:t>收取比例：10%,说明：1、履约保证金提交：履约金额为合同金额的履约金额为合同金额的10%（如中标供应商为中小微企业，履约保证金为合同金额的5%），中标供应商应在合同签订后5日内递交履约保证金。可根据自身实际自主选择以转账、支票、汇票、本票、保函、现金等形式向采购人缴纳履约保证金，但采用保函形式递交履约保证金的，须是无条件保函。  2、履约保证金退还：验收合格后5个工作日内，中标人向采购人申请退还履约保证金，采购人于接到申请后15个工作日内将履约保证金无息退回中标人。 履约保证金不予退还的情形： （1）拒绝履行合同义务的； （2）履约验收不合格的。   3、采购人逾期退还履约保证金的，从逾期之日起每日按履约保证金3‰的数额向中标人支付违约金。但因中标人自身原因导致无法及时退还的除外。</w:t>
            </w:r>
          </w:p>
        </w:tc>
      </w:tr>
      <w:tr>
        <w:tc>
          <w:tcPr>
            <w:tcW w:type="dxa" w:w="4153"/>
          </w:tcPr>
          <w:p>
            <w:r>
              <w:rPr/>
              <w:t>其他</w:t>
            </w:r>
          </w:p>
        </w:tc>
        <w:tc>
          <w:tcPr>
            <w:tcW w:type="dxa" w:w="4153"/>
          </w:tcPr>
          <w:p/>
          <w:p/>
          <w:p>
            <w:r>
              <w:rPr/>
              <w:t>包装与运输，1、中标人应保证设备物资的包装符合运输的要求，足以保护设备物资在运输过程中不受锈蚀、损坏或灭失。如果设备物资在运输和安装过程中因事故造成设备物资短缺、损坏，中标人应及时安排换装，换货的相关费用由中标人承担。 2、中标人应当保证设备的各部件、备品备件、合格证 、操作使用说明、保修单、发票和产品软件等必要物品随设备一并交付采购人 ，并负责设备物资的安装调试及相关技术培训（含在报价内）。</w:t>
            </w:r>
          </w:p>
          <w:p/>
          <w:p>
            <w:r>
              <w:rPr/>
              <w:t>安装与调试，1、需要安装调试的设备物资，中标人应于开箱验货合格后5日内进行设备安装调试、技术指标和性能测试及整机运行测试。安装调试完成后双方填写安装调试登记表。</w:t>
            </w:r>
          </w:p>
          <w:p/>
          <w:p>
            <w:r>
              <w:rPr/>
              <w:t>质量要求，1.中标人按照本合同、项目招标文件的要求及投标文件的承诺向采购人交付合格设备，并保证采购人对交付的设备拥有完全、合法的所有权与处置权。 2.中标人交付的设备物资应符合现行适用的相关法律、法规以及相应的国家标准或行业标准等，如各标准不一致，以对采购人最有利的标准为准。 3.中标人交付的设备物资必须是全新产品、表面无划损、破损、无任何缺陷及隐患，必须具备出厂合格证，且进货渠道合法，在中国境内可依常规安全合法使用。</w:t>
            </w:r>
          </w:p>
          <w:p/>
          <w:p>
            <w:r>
              <w:rPr/>
              <w:t>售后服务，1、保修期限：中标人承诺合同项下设备物资的保修期为3年（含在报价内），保修承担方出具的承诺函为本项目的合同附件，中标人同意与实际保修方共同承担连带责任。保修期限自货物通过采购人组织的验收之日起算。在保修期内，如货物非因采购人原因而出现的质量问题由中标人负责保修、包换或包退，并承担修理、调换或退货的实际费用。中标人不能修复、调换或不能退货的，应退回相应货款，并承担相应的违约责任。                                                                                                                                                     2、对采购人的服务通知，中标人在接报后12小时内到达现场处理。若在48小时内仍未能有效解决，中标人应提供主要参数不低于原设备的替代设备并保证其正常运行（含在报价内）。  3、保修期满后，如有零部件出现故障，且属于寿命异常问题（明显短于该零部件正常寿命）的，由中标人负责更换及维修（含在报价内）。  4、保修期满后，设备物资维修服务及配件费用享受市场价的八折优惠。</w:t>
            </w:r>
          </w:p>
        </w:tc>
      </w:tr>
    </w:tbl>
    <w:p>
      <w:r>
        <w:rPr>
          <w:b/>
        </w:rPr>
        <w:t>2.技术标准与要求</w:t>
      </w:r>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其他体育设备设施</w:t>
            </w:r>
          </w:p>
        </w:tc>
        <w:tc>
          <w:tcPr>
            <w:tcW w:type="dxa" w:w="831"/>
          </w:tcPr>
          <w:p>
            <w:pPr>
              <w:jc w:val="left"/>
            </w:pPr>
            <w:r>
              <w:rPr/>
              <w:t>身高体重测试仪</w:t>
            </w:r>
          </w:p>
        </w:tc>
        <w:tc>
          <w:tcPr>
            <w:tcW w:type="dxa" w:w="831"/>
          </w:tcPr>
          <w:p>
            <w:pPr>
              <w:jc w:val="left"/>
            </w:pPr>
            <w:r>
              <w:rPr/>
              <w:t>套</w:t>
            </w:r>
          </w:p>
        </w:tc>
        <w:tc>
          <w:tcPr>
            <w:tcW w:type="dxa" w:w="831"/>
          </w:tcPr>
          <w:p>
            <w:pPr>
              <w:jc w:val="right"/>
            </w:pPr>
            <w:r>
              <w:rPr/>
              <w:t>8.00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其他体育设备设施</w:t>
            </w:r>
          </w:p>
        </w:tc>
        <w:tc>
          <w:tcPr>
            <w:tcW w:type="dxa" w:w="831"/>
          </w:tcPr>
          <w:p>
            <w:pPr>
              <w:jc w:val="left"/>
            </w:pPr>
            <w:r>
              <w:rPr/>
              <w:t>肺活量测试仪</w:t>
            </w:r>
          </w:p>
        </w:tc>
        <w:tc>
          <w:tcPr>
            <w:tcW w:type="dxa" w:w="831"/>
          </w:tcPr>
          <w:p>
            <w:pPr>
              <w:jc w:val="left"/>
            </w:pPr>
            <w:r>
              <w:rPr/>
              <w:t>套</w:t>
            </w:r>
          </w:p>
        </w:tc>
        <w:tc>
          <w:tcPr>
            <w:tcW w:type="dxa" w:w="831"/>
          </w:tcPr>
          <w:p>
            <w:pPr>
              <w:jc w:val="right"/>
            </w:pPr>
            <w:r>
              <w:rPr/>
              <w:t>8.00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其他体育设备设施</w:t>
            </w:r>
          </w:p>
        </w:tc>
        <w:tc>
          <w:tcPr>
            <w:tcW w:type="dxa" w:w="831"/>
          </w:tcPr>
          <w:p>
            <w:pPr>
              <w:jc w:val="left"/>
            </w:pPr>
            <w:r>
              <w:rPr/>
              <w:t>坐位体前屈测试仪</w:t>
            </w:r>
          </w:p>
        </w:tc>
        <w:tc>
          <w:tcPr>
            <w:tcW w:type="dxa" w:w="831"/>
          </w:tcPr>
          <w:p>
            <w:pPr>
              <w:jc w:val="left"/>
            </w:pPr>
            <w:r>
              <w:rPr/>
              <w:t>套</w:t>
            </w:r>
          </w:p>
        </w:tc>
        <w:tc>
          <w:tcPr>
            <w:tcW w:type="dxa" w:w="831"/>
          </w:tcPr>
          <w:p>
            <w:pPr>
              <w:jc w:val="right"/>
            </w:pPr>
            <w:r>
              <w:rPr/>
              <w:t>8.00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其他体育设备设施</w:t>
            </w:r>
          </w:p>
        </w:tc>
        <w:tc>
          <w:tcPr>
            <w:tcW w:type="dxa" w:w="831"/>
          </w:tcPr>
          <w:p>
            <w:pPr>
              <w:jc w:val="left"/>
            </w:pPr>
            <w:r>
              <w:rPr/>
              <w:t>立定跳远测试仪</w:t>
            </w:r>
          </w:p>
        </w:tc>
        <w:tc>
          <w:tcPr>
            <w:tcW w:type="dxa" w:w="831"/>
          </w:tcPr>
          <w:p>
            <w:pPr>
              <w:jc w:val="left"/>
            </w:pPr>
            <w:r>
              <w:rPr/>
              <w:t>套</w:t>
            </w:r>
          </w:p>
        </w:tc>
        <w:tc>
          <w:tcPr>
            <w:tcW w:type="dxa" w:w="831"/>
          </w:tcPr>
          <w:p>
            <w:pPr>
              <w:jc w:val="right"/>
            </w:pPr>
            <w:r>
              <w:rPr/>
              <w:t>8.00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其他体育设备设施</w:t>
            </w:r>
          </w:p>
        </w:tc>
        <w:tc>
          <w:tcPr>
            <w:tcW w:type="dxa" w:w="831"/>
          </w:tcPr>
          <w:p>
            <w:pPr>
              <w:jc w:val="left"/>
            </w:pPr>
            <w:r>
              <w:rPr/>
              <w:t>50/100米跑步测试仪</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其他体育设备设施</w:t>
            </w:r>
          </w:p>
        </w:tc>
        <w:tc>
          <w:tcPr>
            <w:tcW w:type="dxa" w:w="831"/>
          </w:tcPr>
          <w:p>
            <w:pPr>
              <w:jc w:val="left"/>
            </w:pPr>
            <w:r>
              <w:rPr/>
              <w:t>仰卧起坐测试仪</w:t>
            </w:r>
          </w:p>
        </w:tc>
        <w:tc>
          <w:tcPr>
            <w:tcW w:type="dxa" w:w="831"/>
          </w:tcPr>
          <w:p>
            <w:pPr>
              <w:jc w:val="left"/>
            </w:pPr>
            <w:r>
              <w:rPr/>
              <w:t>套</w:t>
            </w:r>
          </w:p>
        </w:tc>
        <w:tc>
          <w:tcPr>
            <w:tcW w:type="dxa" w:w="831"/>
          </w:tcPr>
          <w:p>
            <w:pPr>
              <w:jc w:val="right"/>
            </w:pPr>
            <w:r>
              <w:rPr/>
              <w:t>8.00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详见附表六</w:t>
            </w:r>
          </w:p>
        </w:tc>
      </w:tr>
    </w:tbl>
    <w:p/>
    <w:p>
      <w:r>
        <w:rPr>
          <w:b/>
        </w:rPr>
        <w:t>附表</w:t>
      </w:r>
      <w:r>
        <w:rPr>
          <w:b/>
        </w:rPr>
        <w:t>一</w:t>
      </w:r>
      <w:r>
        <w:rPr>
          <w:b/>
        </w:rPr>
        <w:t>：</w:t>
      </w:r>
      <w:r>
        <w:rPr>
          <w:b/>
        </w:rPr>
        <w:t>身高体重测试仪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1"/>
              </w:rPr>
              <w:t>全自动测量身高、体重、全程语音播报，测量终端自带显示屏，可实时显示测量结果，测试范围：身高：</w:t>
            </w:r>
            <w:r>
              <w:rPr>
                <w:color w:val="000000"/>
                <w:sz w:val="21"/>
              </w:rPr>
              <w:t>80-200cm，体重：10-200kg，分度值：身高0.5cm，误差：身高：±1cm，体重：±0.5kg。</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肺活量测试仪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1"/>
              </w:rPr>
              <w:t>终端自带显示屏显示成绩，全自动测量成绩，全程语音播报，具有防补气防作弊功能，吹管可清洗，测量范围：</w:t>
            </w:r>
            <w:r>
              <w:rPr>
                <w:color w:val="000000"/>
                <w:sz w:val="21"/>
              </w:rPr>
              <w:t>0-9999ml，分度值：1ml，误差：±1%。</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坐位体前屈测试仪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1"/>
              </w:rPr>
              <w:t>自动测量成绩，测量推杆具备自动复位功能，测试次数可设置（</w:t>
            </w:r>
            <w:r>
              <w:rPr>
                <w:color w:val="000000"/>
                <w:sz w:val="21"/>
              </w:rPr>
              <w:t>1-3次），自动选取最高值作为最终成绩和评分依据，测量范围-20-40cm，误差±2cm，具备储存功能，支持批量成绩传送。</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立定跳远测试仪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1"/>
              </w:rPr>
              <w:t>全自动测量成绩，误差</w:t>
            </w:r>
            <w:r>
              <w:rPr>
                <w:color w:val="000000"/>
                <w:sz w:val="21"/>
              </w:rPr>
              <w:t>±1cm，起跳前踩线提醒，起跳后犯规自动判罚，测量垫具备防滑、减震功能，连线采用隐蔽式设计。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50/100米跑步测试仪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1"/>
              </w:rPr>
              <w:t>无线连接功能，有效距离</w:t>
            </w:r>
            <w:r>
              <w:rPr>
                <w:color w:val="000000"/>
                <w:sz w:val="21"/>
              </w:rPr>
              <w:t>100米，支持红外拦截启动或发令传感器启动，内置电池，计时精度：0.01秒，误差：±0.1秒。</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仰卧起坐测试仪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1"/>
              </w:rPr>
              <w:t>全自动计时计数，重力感应技术测量考生动作标准程度，脚部固定支架，可调整高度，测试时长可设置，测量范围</w:t>
            </w:r>
            <w:r>
              <w:rPr>
                <w:color w:val="000000"/>
                <w:sz w:val="21"/>
              </w:rPr>
              <w:t>0-999个，误差±1个，分度值1次。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采购包2（体育教研室大型设备）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 45日（日历日）内。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1期：支付比例100%,1、中标人为中小企业： （1）（如中标人为中小企业）合同签订且收到履约保证金后5个工作日内采购人向中标人支付合同金额的30%（支付方式含银行转账、支票、银行承兑汇票、商业承兑汇票等形式）。 （2）（如中标人为中小企业）所有货物验收合格且收到发票后15日内采购人向中标人支付至合同总价的100%（支付方式含银行转账、支票、银行承兑汇票、商业承兑汇票等形式）。 2、中标人为非中小企业： （如中标人为非中小企业）所有货物验收合格且收到发票后15日内采购人向中标人支付合同总价的100%（支付方式含银行转账、支票、银行承兑汇票、商业承兑汇票等形式） 注：1.每笔款项支付前，中标人须提交与每笔款项金额相等的正式发票； 2.采购人在上述期限内，按广东省财政厅规定的支付手续将付款的申请文件递出, 即完成付款义务。但可以协助中标人查询政府审核和支付的进度。</w:t>
            </w:r>
          </w:p>
        </w:tc>
      </w:tr>
      <w:tr>
        <w:tc>
          <w:tcPr>
            <w:tcW w:type="dxa" w:w="4153"/>
          </w:tcPr>
          <w:p>
            <w:r>
              <w:rPr/>
              <w:t>验收要求</w:t>
            </w:r>
          </w:p>
        </w:tc>
        <w:tc>
          <w:tcPr>
            <w:tcW w:type="dxa" w:w="4153"/>
          </w:tcPr>
          <w:p/>
          <w:p/>
          <w:p/>
          <w:p>
            <w:r>
              <w:rPr/>
              <w:t>1期：1.验收标准：根据采购合同约定进行履约验收。  2.中标人应保证设备物资的包装符合运输的要求，足以保护设备物资在运输过程中不受锈蚀、损坏或灭失。如果设备物资在运输和安装过程中因事故造成设备物资短缺、损坏，中标人应及时安排换装，换货的相关费用由中标人承担。 3.中标人应当保证设备的各部件、备品备件、合格证、操作使用说明、保修单、发票和产品软件等必要物品随设备一并交付采购人,并负责设备物资的安装调试及相关免费技术培训。 4.设备物资送达指定地点时，由双方代表共同开箱验货,经确认后签署国产设备物资开箱验货情况表。在开箱验货中如发现包装破损、设备数量不符、技术资料不全等不符合合同约定的情况，采购人有权拒收，中标人应于5日内重新提供符合合同约定的设备物资，否则，视为中标人逾期交货。如果重新交付的设备仍与合同约定不符，采购人有权解除合同。 5. 需要安装调试的设备物资，中标人应于开箱验货合格后5日内进行设备安装调试、技术指标和性能测试及整机运行测试。安装调试完成后双方填写安装调试登记表。 6.设备安装调试完成后，中标人认为已经达到验收条件并准备齐验收所需文件后，向采购人提出验收申请，采购人认为中标人满足验收条件后组织验收。 7.设备物资验收由采购人聘请专家组和中标人联合进行，验收时间由采购人确定。中标人未派员参加的，视为认可验收结果。 8.设备物资的验收标准按照本合同及招投标文件中列明的技术参数、规格、性能指标等执行。 9.验收不合格，采购人有权要求中标人重新提供设备或有权解除合同。中标人应在甲方指定的期限内重新提供设备，并承担因此而发生的全部费用，赔偿由此给采购人造成的损失。 10.如中标人对验收结果有异议，可提请采购人所在地商检部门进行复检。商检部门的检验结果表明设备物资不符合合同约定的，因复检发生的费用由中标人承担；检验结果表明设备物资符合合同约定的，因复检发生的费用由采购人承担。</w:t>
            </w:r>
          </w:p>
        </w:tc>
      </w:tr>
      <w:tr>
        <w:tc>
          <w:tcPr>
            <w:tcW w:type="dxa" w:w="4153"/>
          </w:tcPr>
          <w:p>
            <w:r>
              <w:rPr/>
              <w:t>履约保证金</w:t>
            </w:r>
          </w:p>
        </w:tc>
        <w:tc>
          <w:tcPr>
            <w:tcW w:type="dxa" w:w="4153"/>
          </w:tcPr>
          <w:p/>
          <w:p/>
          <w:p/>
          <w:p/>
          <w:p>
            <w:r>
              <w:rPr/>
              <w:t>收取比例：10%,说明：1、履约保证金提交：履约金额为合同金额的履约金额为合同金额的10%（如中标供应商为中小微企业，履约保证金为合同金额的5%），中标供应商应在合同签订后5日内递交履约保证金。可根据自身实际自主选择以转账、支票、汇票、本票、保函、现金等形式向采购人缴纳履约保证金，但采用保函形式递交履约保证金的，须是无条件保函。  2、履约保证金退还：验收合格后5个工作日内，中标人向采购人申请退还履约保证金，采购人于接到申请后15个工作日内将履约保证金无息退回中标人。 履约保证金不予退还的情形： （1）拒绝履行合同义务的； （2）履约验收不合格的。   3、采购人逾期退还履约保证金的，从逾期之日起每日按履约保证金3‰的数额向中标人支付违约金。但因中标人自身原因导致无法及时退还的除外。</w:t>
            </w:r>
          </w:p>
        </w:tc>
      </w:tr>
      <w:tr>
        <w:tc>
          <w:tcPr>
            <w:tcW w:type="dxa" w:w="4153"/>
          </w:tcPr>
          <w:p>
            <w:r>
              <w:rPr/>
              <w:t>其他</w:t>
            </w:r>
          </w:p>
        </w:tc>
        <w:tc>
          <w:tcPr>
            <w:tcW w:type="dxa" w:w="4153"/>
          </w:tcPr>
          <w:p/>
          <w:p/>
          <w:p>
            <w:r>
              <w:rPr/>
              <w:t>包装与运输，1、中标人应保证设备物资的包装符合运输的要求，足以保护设备物资在运输过程中不受锈蚀、损坏或灭失。如果设备物资在运输和安装过程中因事故造成设备物资短缺、损坏，中标人应及时安排换装，换货的相关费用由中标人承担。 2、中标人应当保证设备的各部件、备品备件、合格证 、操作使用说明、保修单、发票和产品软件等必要物品随设备一并交付采购人 ，并负责设备物资的安装调试及相关技术培训（含在报价内）。</w:t>
            </w:r>
          </w:p>
          <w:p/>
          <w:p>
            <w:r>
              <w:rPr/>
              <w:t>安装与调试，1、需要安装调试的设备物资，中标人应于开箱验货合格后5日内进行设备安装调试、技术指标和性能测试及整机运行测试。安装调试完成后双方填写安装调试登记表。</w:t>
            </w:r>
          </w:p>
          <w:p/>
          <w:p>
            <w:r>
              <w:rPr/>
              <w:t>质量要求，1.中标人按照本合同、项目招标文件的要求及投标文件的承诺向采购人交付合格设备，并保证采购人对交付的设备拥有完全、合法的所有权与处置权。 2.中标人交付的设备物资应符合现行适用的相关法律、法规以及相应的国家标准或行业标准等，如各标准不一致，以对采购人最有利的标准为准。 3.中标人交付的设备物资必须是全新产品、表面无划损、破损、无任何缺陷及隐患，必须具备出厂合格证，且进货渠道合法，在中国境内可依常规安全合法使用。</w:t>
            </w:r>
          </w:p>
          <w:p/>
          <w:p>
            <w:r>
              <w:rPr/>
              <w:t>售后服务，1、保修期限：中标人承诺合同项下设备物资的保修期为3年（含在报价内），保修承担方出具的承诺函为本项目的合同附件，中标人同意与实际保修方共同承担连带责任。保修期限自货物通过采购人组织的验收之日起算。在保修期内，如货物非因采购人原因而出现的质量问题由中标人负责保修、包换或包退，并承担修理、调换或退货的实际费用。中标人不能修复、调换或不能退货的，应退回相应货款，并承担相应的违约责任。                                                                                                                                                     2、对采购人的服务通知，中标人在接报后12小时内到达现场处理。若在48小时内仍未能有效解决，中标人应提供主要参数不低于原设备的替代设备并保证其正常运行（含在报价内）。  3、保修期满后，如有零部件出现故障，且属于寿命异常问题（明显短于该零部件正常寿命）的，由中标人负责更换及维修（含在报价内）。  4、保修期满后，设备物资维修服务及配件费用享受市场价的八折优惠。</w:t>
            </w:r>
          </w:p>
          <w:p/>
          <w:p>
            <w:r>
              <w:rPr/>
              <w:t>演示，1、本项目采购包2“健脊塑身仪”“三维步态分析系统”需提供演示，具体演示内容详见评标办法。2、演示时间在10分钟内。</w:t>
            </w:r>
          </w:p>
        </w:tc>
      </w:tr>
    </w:tbl>
    <w:p>
      <w:r>
        <w:rPr>
          <w:b/>
        </w:rPr>
        <w:t>2.技术标准与要求</w:t>
      </w:r>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其他体育设备设施</w:t>
            </w:r>
          </w:p>
        </w:tc>
        <w:tc>
          <w:tcPr>
            <w:tcW w:type="dxa" w:w="831"/>
          </w:tcPr>
          <w:p>
            <w:pPr>
              <w:jc w:val="left"/>
            </w:pPr>
            <w:r>
              <w:rPr/>
              <w:t>中长跑跑步测试仪</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其他体育设备设施</w:t>
            </w:r>
          </w:p>
        </w:tc>
        <w:tc>
          <w:tcPr>
            <w:tcW w:type="dxa" w:w="831"/>
          </w:tcPr>
          <w:p>
            <w:pPr>
              <w:jc w:val="left"/>
            </w:pPr>
            <w:r>
              <w:rPr/>
              <w:t>健脊塑身仪</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r>
              <w:rPr/>
              <w:t>△</w:t>
            </w:r>
          </w:p>
        </w:tc>
        <w:tc>
          <w:tcPr>
            <w:tcW w:type="dxa" w:w="831"/>
          </w:tcPr>
          <w:p>
            <w:pPr>
              <w:jc w:val="left"/>
            </w:pPr>
            <w:r>
              <w:rPr/>
              <w:t>其他体育设备设施</w:t>
            </w:r>
          </w:p>
        </w:tc>
        <w:tc>
          <w:tcPr>
            <w:tcW w:type="dxa" w:w="831"/>
          </w:tcPr>
          <w:p>
            <w:pPr>
              <w:jc w:val="left"/>
            </w:pPr>
            <w:r>
              <w:rPr/>
              <w:t>三维步态分析系统</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w:t>
            </w:r>
          </w:p>
        </w:tc>
      </w:tr>
    </w:tbl>
    <w:p/>
    <w:p>
      <w:r>
        <w:rPr>
          <w:b/>
        </w:rPr>
        <w:t>附表</w:t>
      </w:r>
      <w:r>
        <w:rPr>
          <w:b/>
        </w:rPr>
        <w:t>一</w:t>
      </w:r>
      <w:r>
        <w:rPr>
          <w:b/>
        </w:rPr>
        <w:t>：</w:t>
      </w:r>
      <w:r>
        <w:rPr>
          <w:b/>
        </w:rPr>
        <w:t>中长跑跑步测试仪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1.测量范围：0 ～ 36000秒；计时精度:不小于 0.01秒；计时误差：不大于±1.5%；主机续航时间：不小于8小时；</w:t>
            </w:r>
          </w:p>
        </w:tc>
      </w:tr>
      <w:tr>
        <w:tc>
          <w:tcPr>
            <w:tcW w:type="dxa" w:w="2076"/>
          </w:tcPr>
          <w:p/>
        </w:tc>
        <w:tc>
          <w:tcPr>
            <w:tcW w:type="dxa" w:w="415"/>
          </w:tcPr>
          <w:p>
            <w:r>
              <w:rPr/>
              <w:t>2</w:t>
            </w:r>
          </w:p>
        </w:tc>
        <w:tc>
          <w:tcPr>
            <w:tcW w:type="dxa" w:w="5814"/>
          </w:tcPr>
          <w:p>
            <w:r>
              <w:rPr/>
              <w:t>2.主机采用大于等于9英寸的全彩显示屏，每台主机对应1台测试终端，具备无线网络及有线网络等多种传输模式。</w:t>
            </w:r>
          </w:p>
        </w:tc>
      </w:tr>
      <w:tr>
        <w:tc>
          <w:tcPr>
            <w:tcW w:type="dxa" w:w="2076"/>
          </w:tcPr>
          <w:p/>
        </w:tc>
        <w:tc>
          <w:tcPr>
            <w:tcW w:type="dxa" w:w="415"/>
          </w:tcPr>
          <w:p>
            <w:r>
              <w:rPr/>
              <w:t>3</w:t>
            </w:r>
          </w:p>
        </w:tc>
        <w:tc>
          <w:tcPr>
            <w:tcW w:type="dxa" w:w="5814"/>
          </w:tcPr>
          <w:p>
            <w:r>
              <w:rPr/>
              <w:t>3.主机可通过配套应用实现身份证检录、扫码检录、人脸识别检录等多种检录方式进行项目检录。</w:t>
            </w:r>
          </w:p>
        </w:tc>
      </w:tr>
      <w:tr>
        <w:tc>
          <w:tcPr>
            <w:tcW w:type="dxa" w:w="2076"/>
          </w:tcPr>
          <w:p/>
        </w:tc>
        <w:tc>
          <w:tcPr>
            <w:tcW w:type="dxa" w:w="415"/>
          </w:tcPr>
          <w:p>
            <w:r>
              <w:rPr/>
              <w:t>4</w:t>
            </w:r>
          </w:p>
        </w:tc>
        <w:tc>
          <w:tcPr>
            <w:tcW w:type="dxa" w:w="5814"/>
          </w:tcPr>
          <w:p>
            <w:r>
              <w:rPr/>
              <w:t>4.主机与发令系统采用安全可靠无线信号连接。</w:t>
            </w:r>
          </w:p>
        </w:tc>
      </w:tr>
      <w:tr>
        <w:tc>
          <w:tcPr>
            <w:tcW w:type="dxa" w:w="2076"/>
          </w:tcPr>
          <w:p/>
        </w:tc>
        <w:tc>
          <w:tcPr>
            <w:tcW w:type="dxa" w:w="415"/>
          </w:tcPr>
          <w:p>
            <w:r>
              <w:rPr/>
              <w:t>5</w:t>
            </w:r>
          </w:p>
        </w:tc>
        <w:tc>
          <w:tcPr>
            <w:tcW w:type="dxa" w:w="5814"/>
          </w:tcPr>
          <w:p>
            <w:r>
              <w:rPr/>
              <w:t>5.可实现多台主机可同时集中上传数据，数据库与成绩数据均加密，确保测试数据安全。</w:t>
            </w:r>
          </w:p>
        </w:tc>
      </w:tr>
      <w:tr>
        <w:tc>
          <w:tcPr>
            <w:tcW w:type="dxa" w:w="2076"/>
          </w:tcPr>
          <w:p/>
        </w:tc>
        <w:tc>
          <w:tcPr>
            <w:tcW w:type="dxa" w:w="415"/>
          </w:tcPr>
          <w:p>
            <w:r>
              <w:rPr/>
              <w:t>6</w:t>
            </w:r>
          </w:p>
        </w:tc>
        <w:tc>
          <w:tcPr>
            <w:tcW w:type="dxa" w:w="5814"/>
          </w:tcPr>
          <w:p>
            <w:r>
              <w:rPr/>
              <w:t>6.主机应具备数据备份及防作弊功能，防止数据丢失，单机存储量在≥100000条。</w:t>
            </w:r>
          </w:p>
        </w:tc>
      </w:tr>
      <w:tr>
        <w:tc>
          <w:tcPr>
            <w:tcW w:type="dxa" w:w="2076"/>
          </w:tcPr>
          <w:p/>
        </w:tc>
        <w:tc>
          <w:tcPr>
            <w:tcW w:type="dxa" w:w="415"/>
          </w:tcPr>
          <w:p>
            <w:r>
              <w:rPr/>
              <w:t>7</w:t>
            </w:r>
          </w:p>
        </w:tc>
        <w:tc>
          <w:tcPr>
            <w:tcW w:type="dxa" w:w="5814"/>
          </w:tcPr>
          <w:p>
            <w:r>
              <w:rPr/>
              <w:t>7.主机可根据需要选择800米、1000米等中长跑测试项目，系统触发后各组芯片自动显示，实时走时。</w:t>
            </w:r>
          </w:p>
        </w:tc>
      </w:tr>
      <w:tr>
        <w:tc>
          <w:tcPr>
            <w:tcW w:type="dxa" w:w="2076"/>
          </w:tcPr>
          <w:p/>
        </w:tc>
        <w:tc>
          <w:tcPr>
            <w:tcW w:type="dxa" w:w="415"/>
          </w:tcPr>
          <w:p>
            <w:r>
              <w:rPr/>
              <w:t>8</w:t>
            </w:r>
          </w:p>
        </w:tc>
        <w:tc>
          <w:tcPr>
            <w:tcW w:type="dxa" w:w="5814"/>
          </w:tcPr>
          <w:p>
            <w:r>
              <w:rPr/>
              <w:t>8.可按分组或单人当场打印测试成绩。</w:t>
            </w:r>
          </w:p>
        </w:tc>
      </w:tr>
      <w:tr>
        <w:tc>
          <w:tcPr>
            <w:tcW w:type="dxa" w:w="2076"/>
          </w:tcPr>
          <w:p/>
        </w:tc>
        <w:tc>
          <w:tcPr>
            <w:tcW w:type="dxa" w:w="415"/>
          </w:tcPr>
          <w:p>
            <w:r>
              <w:rPr/>
              <w:t>9</w:t>
            </w:r>
          </w:p>
        </w:tc>
        <w:tc>
          <w:tcPr>
            <w:tcW w:type="dxa" w:w="5814"/>
          </w:tcPr>
          <w:p>
            <w:r>
              <w:rPr/>
              <w:t>9.芯片计时可对考生每次通过终点的时间进行记录，具备计时计圈的功能。</w:t>
            </w:r>
          </w:p>
        </w:tc>
      </w:tr>
      <w:tr>
        <w:tc>
          <w:tcPr>
            <w:tcW w:type="dxa" w:w="2076"/>
          </w:tcPr>
          <w:p>
            <w:r>
              <w:rPr/>
              <w:t>▲</w:t>
            </w:r>
          </w:p>
        </w:tc>
        <w:tc>
          <w:tcPr>
            <w:tcW w:type="dxa" w:w="415"/>
          </w:tcPr>
          <w:p>
            <w:r>
              <w:rPr/>
              <w:t>10</w:t>
            </w:r>
          </w:p>
        </w:tc>
        <w:tc>
          <w:tcPr>
            <w:tcW w:type="dxa" w:w="5814"/>
          </w:tcPr>
          <w:p>
            <w:r>
              <w:rPr/>
              <w:t>10.芯片子机外形做成背心形状或臂带形状，采购人可自由选择，方便穿戴。</w:t>
            </w:r>
          </w:p>
        </w:tc>
      </w:tr>
      <w:tr>
        <w:tc>
          <w:tcPr>
            <w:tcW w:type="dxa" w:w="2076"/>
          </w:tcPr>
          <w:p>
            <w:r>
              <w:rPr/>
              <w:t>▲</w:t>
            </w:r>
          </w:p>
        </w:tc>
        <w:tc>
          <w:tcPr>
            <w:tcW w:type="dxa" w:w="415"/>
          </w:tcPr>
          <w:p>
            <w:r>
              <w:rPr/>
              <w:t>11</w:t>
            </w:r>
          </w:p>
        </w:tc>
        <w:tc>
          <w:tcPr>
            <w:tcW w:type="dxa" w:w="5814"/>
          </w:tcPr>
          <w:p>
            <w:r>
              <w:rPr/>
              <w:t>11.采用终点线无障碍式感应测试方式（跑道不能铺设障碍）。</w:t>
            </w:r>
          </w:p>
        </w:tc>
      </w:tr>
      <w:tr>
        <w:tc>
          <w:tcPr>
            <w:tcW w:type="dxa" w:w="2076"/>
          </w:tcPr>
          <w:p/>
        </w:tc>
        <w:tc>
          <w:tcPr>
            <w:tcW w:type="dxa" w:w="415"/>
          </w:tcPr>
          <w:p>
            <w:r>
              <w:rPr/>
              <w:t>12</w:t>
            </w:r>
          </w:p>
        </w:tc>
        <w:tc>
          <w:tcPr>
            <w:tcW w:type="dxa" w:w="5814"/>
          </w:tcPr>
          <w:p>
            <w:r>
              <w:rPr/>
              <w:t>12.接受天线作用范围0-4米，可增强信号覆盖1-4条跑道范围。</w:t>
            </w:r>
          </w:p>
        </w:tc>
      </w:tr>
      <w:tr>
        <w:tc>
          <w:tcPr>
            <w:tcW w:type="dxa" w:w="2076"/>
          </w:tcPr>
          <w:p/>
        </w:tc>
        <w:tc>
          <w:tcPr>
            <w:tcW w:type="dxa" w:w="415"/>
          </w:tcPr>
          <w:p>
            <w:r>
              <w:rPr/>
              <w:t>13</w:t>
            </w:r>
          </w:p>
        </w:tc>
        <w:tc>
          <w:tcPr>
            <w:tcW w:type="dxa" w:w="5814"/>
          </w:tcPr>
          <w:p>
            <w:r>
              <w:rPr/>
              <w:t>13.设备能实现每组1至20人同时测试，可实现3组以上同时测试。</w:t>
            </w:r>
          </w:p>
        </w:tc>
      </w:tr>
      <w:tr>
        <w:tc>
          <w:tcPr>
            <w:tcW w:type="dxa" w:w="2076"/>
          </w:tcPr>
          <w:p>
            <w:r>
              <w:rPr/>
              <w:t>▲</w:t>
            </w:r>
          </w:p>
        </w:tc>
        <w:tc>
          <w:tcPr>
            <w:tcW w:type="dxa" w:w="415"/>
          </w:tcPr>
          <w:p>
            <w:r>
              <w:rPr/>
              <w:t>14</w:t>
            </w:r>
          </w:p>
        </w:tc>
        <w:tc>
          <w:tcPr>
            <w:tcW w:type="dxa" w:w="5814"/>
          </w:tcPr>
          <w:p>
            <w:r>
              <w:rPr/>
              <w:t>14.不允许直接输入或更改测试成绩，至少具有自动备份、手动备份、成绩导出、保存操作日志功能。</w:t>
            </w:r>
          </w:p>
        </w:tc>
      </w:tr>
      <w:tr>
        <w:tc>
          <w:tcPr>
            <w:tcW w:type="dxa" w:w="2076"/>
          </w:tcPr>
          <w:p/>
        </w:tc>
        <w:tc>
          <w:tcPr>
            <w:tcW w:type="dxa" w:w="415"/>
          </w:tcPr>
          <w:p>
            <w:r>
              <w:rPr/>
              <w:t>15</w:t>
            </w:r>
          </w:p>
        </w:tc>
        <w:tc>
          <w:tcPr>
            <w:tcW w:type="dxa" w:w="5814"/>
          </w:tcPr>
          <w:p>
            <w:r>
              <w:rPr/>
              <w:t>15.配套电子发令，无线发送距离无遮挡不低于250米，续航时间不小于8小时。</w:t>
            </w:r>
          </w:p>
        </w:tc>
      </w:tr>
      <w:tr>
        <w:tc>
          <w:tcPr>
            <w:tcW w:type="dxa" w:w="2076"/>
          </w:tcPr>
          <w:p/>
        </w:tc>
        <w:tc>
          <w:tcPr>
            <w:tcW w:type="dxa" w:w="415"/>
          </w:tcPr>
          <w:p>
            <w:r>
              <w:rPr/>
              <w:t>16</w:t>
            </w:r>
          </w:p>
        </w:tc>
        <w:tc>
          <w:tcPr>
            <w:tcW w:type="dxa" w:w="5814"/>
          </w:tcPr>
          <w:p>
            <w:r>
              <w:rPr/>
              <w:t>16.支持无线扩展2套发令音箱，音箱与主机之间可以无线连接。</w:t>
            </w:r>
          </w:p>
        </w:tc>
      </w:tr>
      <w:tr>
        <w:tc>
          <w:tcPr>
            <w:tcW w:type="dxa" w:w="2076"/>
          </w:tcPr>
          <w:p/>
        </w:tc>
        <w:tc>
          <w:tcPr>
            <w:tcW w:type="dxa" w:w="415"/>
          </w:tcPr>
          <w:p>
            <w:r>
              <w:rPr/>
              <w:t>17</w:t>
            </w:r>
          </w:p>
        </w:tc>
        <w:tc>
          <w:tcPr>
            <w:tcW w:type="dxa" w:w="5814"/>
          </w:tcPr>
          <w:p>
            <w:r>
              <w:rPr/>
              <w:t>17.具备发令提示音、信号灯、电子触发信号同步，支持外接发令手柄或发令枪，与中长跑测试系统无缝对接，同步启动终点计时，保证发令信号的实时传输，确保测试的准确性。</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健脊塑身仪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1.操作平台面积：长100cm</w:t>
              <w:tab/>
              <w:t>×宽100cm（±1cm），平台高度：15cm。</w:t>
            </w:r>
          </w:p>
        </w:tc>
      </w:tr>
      <w:tr>
        <w:tc>
          <w:tcPr>
            <w:tcW w:type="dxa" w:w="2076"/>
          </w:tcPr>
          <w:p/>
        </w:tc>
        <w:tc>
          <w:tcPr>
            <w:tcW w:type="dxa" w:w="415"/>
          </w:tcPr>
          <w:p>
            <w:r>
              <w:rPr/>
              <w:t>2</w:t>
            </w:r>
          </w:p>
        </w:tc>
        <w:tc>
          <w:tcPr>
            <w:tcW w:type="dxa" w:w="5814"/>
          </w:tcPr>
          <w:p>
            <w:r>
              <w:rPr/>
              <w:t>2.平台负重范围：0-300Kg；精度:0.2kg；关节可活动角度：全生理范围。</w:t>
            </w:r>
          </w:p>
        </w:tc>
      </w:tr>
      <w:tr>
        <w:tc>
          <w:tcPr>
            <w:tcW w:type="dxa" w:w="2076"/>
          </w:tcPr>
          <w:p/>
        </w:tc>
        <w:tc>
          <w:tcPr>
            <w:tcW w:type="dxa" w:w="415"/>
          </w:tcPr>
          <w:p>
            <w:r>
              <w:rPr/>
              <w:t>3</w:t>
            </w:r>
          </w:p>
        </w:tc>
        <w:tc>
          <w:tcPr>
            <w:tcW w:type="dxa" w:w="5814"/>
          </w:tcPr>
          <w:p>
            <w:r>
              <w:rPr/>
              <w:t>3.关节运动监控范围：额状面 -180度—180度  矢状面 -180度—180度 水平面 -180度—180度。</w:t>
            </w:r>
          </w:p>
        </w:tc>
      </w:tr>
      <w:tr>
        <w:tc>
          <w:tcPr>
            <w:tcW w:type="dxa" w:w="2076"/>
          </w:tcPr>
          <w:p/>
        </w:tc>
        <w:tc>
          <w:tcPr>
            <w:tcW w:type="dxa" w:w="415"/>
          </w:tcPr>
          <w:p>
            <w:r>
              <w:rPr/>
              <w:t>4</w:t>
            </w:r>
          </w:p>
        </w:tc>
        <w:tc>
          <w:tcPr>
            <w:tcW w:type="dxa" w:w="5814"/>
          </w:tcPr>
          <w:p>
            <w:r>
              <w:rPr/>
              <w:t>4.平台负重范围：0-300kg</w:t>
              <w:tab/>
              <w:t>；压力感应精度：0.2kg。</w:t>
            </w:r>
          </w:p>
        </w:tc>
      </w:tr>
      <w:tr>
        <w:tc>
          <w:tcPr>
            <w:tcW w:type="dxa" w:w="2076"/>
          </w:tcPr>
          <w:p/>
        </w:tc>
        <w:tc>
          <w:tcPr>
            <w:tcW w:type="dxa" w:w="415"/>
          </w:tcPr>
          <w:p>
            <w:r>
              <w:rPr/>
              <w:t>5</w:t>
            </w:r>
          </w:p>
        </w:tc>
        <w:tc>
          <w:tcPr>
            <w:tcW w:type="dxa" w:w="5814"/>
          </w:tcPr>
          <w:p>
            <w:r>
              <w:rPr/>
              <w:t>5.电压：230V，50Hz ；最大电流：2.5A ；功率：≤600W。</w:t>
            </w:r>
          </w:p>
        </w:tc>
      </w:tr>
      <w:tr>
        <w:tc>
          <w:tcPr>
            <w:tcW w:type="dxa" w:w="2076"/>
          </w:tcPr>
          <w:p>
            <w:r>
              <w:rPr/>
              <w:t>★</w:t>
            </w:r>
          </w:p>
        </w:tc>
        <w:tc>
          <w:tcPr>
            <w:tcW w:type="dxa" w:w="415"/>
          </w:tcPr>
          <w:p>
            <w:r>
              <w:rPr/>
              <w:t>6</w:t>
            </w:r>
          </w:p>
        </w:tc>
        <w:tc>
          <w:tcPr>
            <w:tcW w:type="dxa" w:w="5814"/>
          </w:tcPr>
          <w:p>
            <w:r>
              <w:rPr/>
              <w:t>6.全身大关节运动实时监测，通过抗干扰红外摄像系统捕捉头、肩、躯干、上肢、骨盆、下肢，将其活动度变化采集分析并实时反馈，方便关节运动评估及姿势纠正训练。</w:t>
            </w:r>
          </w:p>
        </w:tc>
      </w:tr>
      <w:tr>
        <w:tc>
          <w:tcPr>
            <w:tcW w:type="dxa" w:w="2076"/>
          </w:tcPr>
          <w:p>
            <w:r>
              <w:rPr/>
              <w:t>★</w:t>
            </w:r>
          </w:p>
        </w:tc>
        <w:tc>
          <w:tcPr>
            <w:tcW w:type="dxa" w:w="415"/>
          </w:tcPr>
          <w:p>
            <w:r>
              <w:rPr/>
              <w:t>7</w:t>
            </w:r>
          </w:p>
        </w:tc>
        <w:tc>
          <w:tcPr>
            <w:tcW w:type="dxa" w:w="5814"/>
          </w:tcPr>
          <w:p>
            <w:r>
              <w:rPr/>
              <w:t>7.收集并反馈身体重心的实时移动情况，对训练中患者的姿势动作进行监控，促进核心的稳定性提升，改善平衡。</w:t>
            </w:r>
          </w:p>
        </w:tc>
      </w:tr>
      <w:tr>
        <w:tc>
          <w:tcPr>
            <w:tcW w:type="dxa" w:w="2076"/>
          </w:tcPr>
          <w:p/>
        </w:tc>
        <w:tc>
          <w:tcPr>
            <w:tcW w:type="dxa" w:w="415"/>
          </w:tcPr>
          <w:p>
            <w:r>
              <w:rPr/>
              <w:t>8</w:t>
            </w:r>
          </w:p>
        </w:tc>
        <w:tc>
          <w:tcPr>
            <w:tcW w:type="dxa" w:w="5814"/>
          </w:tcPr>
          <w:p>
            <w:r>
              <w:rPr/>
              <w:t>8.具备软件整合分析系统，将动作分析及重心移动数据整合分析，通过前方屏幕实时反馈，指导临床运动控制及力量训练。</w:t>
            </w:r>
          </w:p>
        </w:tc>
      </w:tr>
      <w:tr>
        <w:tc>
          <w:tcPr>
            <w:tcW w:type="dxa" w:w="2076"/>
          </w:tcPr>
          <w:p/>
        </w:tc>
        <w:tc>
          <w:tcPr>
            <w:tcW w:type="dxa" w:w="415"/>
          </w:tcPr>
          <w:p>
            <w:r>
              <w:rPr/>
              <w:t>9</w:t>
            </w:r>
          </w:p>
        </w:tc>
        <w:tc>
          <w:tcPr>
            <w:tcW w:type="dxa" w:w="5814"/>
          </w:tcPr>
          <w:p>
            <w:r>
              <w:rPr/>
              <w:t>9.在实时监控环境中可实现运动轨迹及目标的设置，自定义运动控制训练动作，软件识别完成情况并反馈，为治疗师提高工作效率。</w:t>
            </w:r>
          </w:p>
        </w:tc>
      </w:tr>
      <w:tr>
        <w:tc>
          <w:tcPr>
            <w:tcW w:type="dxa" w:w="2076"/>
          </w:tcPr>
          <w:p/>
        </w:tc>
        <w:tc>
          <w:tcPr>
            <w:tcW w:type="dxa" w:w="415"/>
          </w:tcPr>
          <w:p>
            <w:r>
              <w:rPr/>
              <w:t>10</w:t>
            </w:r>
          </w:p>
        </w:tc>
        <w:tc>
          <w:tcPr>
            <w:tcW w:type="dxa" w:w="5814"/>
          </w:tcPr>
          <w:p>
            <w:r>
              <w:rPr/>
              <w:t>10.带有≥两百种全身肌肉的靶向训练程序，帮助制定康复运动处方，同时系统软件全程监控完成情况，自动识别错误动作提示改进。</w:t>
            </w:r>
          </w:p>
        </w:tc>
      </w:tr>
      <w:tr>
        <w:tc>
          <w:tcPr>
            <w:tcW w:type="dxa" w:w="2076"/>
          </w:tcPr>
          <w:p/>
        </w:tc>
        <w:tc>
          <w:tcPr>
            <w:tcW w:type="dxa" w:w="415"/>
          </w:tcPr>
          <w:p>
            <w:r>
              <w:rPr/>
              <w:t>11</w:t>
            </w:r>
          </w:p>
        </w:tc>
        <w:tc>
          <w:tcPr>
            <w:tcW w:type="dxa" w:w="5814"/>
          </w:tcPr>
          <w:p>
            <w:r>
              <w:rPr/>
              <w:t>11拥有运动功能评估程序，包括下蹲及纵跳等程序。</w:t>
            </w:r>
          </w:p>
        </w:tc>
      </w:tr>
      <w:tr>
        <w:tc>
          <w:tcPr>
            <w:tcW w:type="dxa" w:w="2076"/>
          </w:tcPr>
          <w:p/>
        </w:tc>
        <w:tc>
          <w:tcPr>
            <w:tcW w:type="dxa" w:w="415"/>
          </w:tcPr>
          <w:p>
            <w:r>
              <w:rPr/>
              <w:t>12</w:t>
            </w:r>
          </w:p>
        </w:tc>
        <w:tc>
          <w:tcPr>
            <w:tcW w:type="dxa" w:w="5814"/>
          </w:tcPr>
          <w:p>
            <w:r>
              <w:rPr/>
              <w:t>12.开放自由的平台，可放置bobath球、轮椅等，同时可配合哑铃、杠铃、沙袋等负重块进行力量训练。</w:t>
            </w:r>
          </w:p>
        </w:tc>
      </w:tr>
      <w:tr>
        <w:tc>
          <w:tcPr>
            <w:tcW w:type="dxa" w:w="2076"/>
          </w:tcPr>
          <w:p/>
        </w:tc>
        <w:tc>
          <w:tcPr>
            <w:tcW w:type="dxa" w:w="415"/>
          </w:tcPr>
          <w:p>
            <w:r>
              <w:rPr/>
              <w:t>13</w:t>
            </w:r>
          </w:p>
        </w:tc>
        <w:tc>
          <w:tcPr>
            <w:tcW w:type="dxa" w:w="5814"/>
          </w:tcPr>
          <w:p>
            <w:r>
              <w:rPr/>
              <w:t>13.≥23英寸实时生物反馈触控平板电脑，自定义训练运动轨迹、目标等参数处方，实现本体感觉运动控制能力的训练。</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三维步态分析系统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评估功能：可评估普通步态和佩里步态各步态周期的时间、各步持续时间，步数、距离、步幅、单步长、速度、节奏等参数，每组测量的数据均可与同等身材的健康数据进行对比，得出与正常数据的偏差情况，数据通过步态概况、步态周期概况、每步步态周期、角度、位移等页面呈现给采购人。</w:t>
            </w:r>
          </w:p>
        </w:tc>
      </w:tr>
      <w:tr>
        <w:tc>
          <w:tcPr>
            <w:tcW w:type="dxa" w:w="2076"/>
          </w:tcPr>
          <w:p/>
        </w:tc>
        <w:tc>
          <w:tcPr>
            <w:tcW w:type="dxa" w:w="415"/>
          </w:tcPr>
          <w:p>
            <w:r>
              <w:rPr/>
              <w:t>2</w:t>
            </w:r>
          </w:p>
        </w:tc>
        <w:tc>
          <w:tcPr>
            <w:tcW w:type="dxa" w:w="5814"/>
          </w:tcPr>
          <w:p>
            <w:r>
              <w:rPr>
                <w:sz w:val="21"/>
              </w:rPr>
              <w:t>2.打印功能：评估分析数据可以打印成纸质报表或导出电子报表。</w:t>
            </w:r>
          </w:p>
        </w:tc>
      </w:tr>
      <w:tr>
        <w:tc>
          <w:tcPr>
            <w:tcW w:type="dxa" w:w="2076"/>
          </w:tcPr>
          <w:p>
            <w:r>
              <w:rPr/>
              <w:t>★</w:t>
            </w:r>
          </w:p>
        </w:tc>
        <w:tc>
          <w:tcPr>
            <w:tcW w:type="dxa" w:w="415"/>
          </w:tcPr>
          <w:p>
            <w:r>
              <w:rPr/>
              <w:t>3</w:t>
            </w:r>
          </w:p>
        </w:tc>
        <w:tc>
          <w:tcPr>
            <w:tcW w:type="dxa" w:w="5814"/>
          </w:tcPr>
          <w:p>
            <w:r>
              <w:rPr>
                <w:sz w:val="21"/>
              </w:rPr>
              <w:t>3.3D还原：可以回看治疗过程的步态曲线、下肢实时模型，可更好地观察行走情况。</w:t>
            </w:r>
          </w:p>
        </w:tc>
      </w:tr>
      <w:tr>
        <w:tc>
          <w:tcPr>
            <w:tcW w:type="dxa" w:w="2076"/>
          </w:tcPr>
          <w:p/>
        </w:tc>
        <w:tc>
          <w:tcPr>
            <w:tcW w:type="dxa" w:w="415"/>
          </w:tcPr>
          <w:p>
            <w:r>
              <w:rPr/>
              <w:t>4</w:t>
            </w:r>
          </w:p>
        </w:tc>
        <w:tc>
          <w:tcPr>
            <w:tcW w:type="dxa" w:w="5814"/>
          </w:tcPr>
          <w:p>
            <w:r>
              <w:rPr>
                <w:sz w:val="21"/>
              </w:rPr>
              <w:t>4.设备尺寸及占地：（1）传感器 542*347*185mm（±3mm）（2）接收器 430*332*235mm</w:t>
            </w:r>
            <w:r>
              <w:rPr>
                <w:sz w:val="21"/>
              </w:rPr>
              <w:t>（</w:t>
            </w:r>
            <w:r>
              <w:rPr>
                <w:sz w:val="21"/>
              </w:rPr>
              <w:t>±5mm</w:t>
            </w:r>
            <w:r>
              <w:rPr>
                <w:sz w:val="21"/>
              </w:rPr>
              <w:t>）</w:t>
            </w:r>
            <w:r>
              <w:rPr>
                <w:sz w:val="21"/>
              </w:rPr>
              <w:t>（</w:t>
            </w:r>
            <w:r>
              <w:rPr>
                <w:sz w:val="21"/>
              </w:rPr>
              <w:t>3）充电底座 2396*2396*301mm（±5mm）（4）设备占地</w:t>
            </w:r>
            <w:r>
              <w:rPr>
                <w:sz w:val="21"/>
              </w:rPr>
              <w:t>≥</w:t>
            </w:r>
            <w:r>
              <w:rPr>
                <w:sz w:val="21"/>
              </w:rPr>
              <w:t>1*1m。</w:t>
            </w:r>
          </w:p>
        </w:tc>
      </w:tr>
      <w:tr>
        <w:tc>
          <w:tcPr>
            <w:tcW w:type="dxa" w:w="2076"/>
          </w:tcPr>
          <w:p/>
        </w:tc>
        <w:tc>
          <w:tcPr>
            <w:tcW w:type="dxa" w:w="415"/>
          </w:tcPr>
          <w:p>
            <w:r>
              <w:rPr/>
              <w:t>5</w:t>
            </w:r>
          </w:p>
        </w:tc>
        <w:tc>
          <w:tcPr>
            <w:tcW w:type="dxa" w:w="5814"/>
          </w:tcPr>
          <w:p>
            <w:r>
              <w:rPr/>
              <w:t>5.分析模式空间需求：≤10*1m。</w:t>
            </w:r>
          </w:p>
        </w:tc>
      </w:tr>
      <w:tr>
        <w:tc>
          <w:tcPr>
            <w:tcW w:type="dxa" w:w="2076"/>
          </w:tcPr>
          <w:p/>
        </w:tc>
        <w:tc>
          <w:tcPr>
            <w:tcW w:type="dxa" w:w="415"/>
          </w:tcPr>
          <w:p>
            <w:r>
              <w:rPr/>
              <w:t>6</w:t>
            </w:r>
          </w:p>
        </w:tc>
        <w:tc>
          <w:tcPr>
            <w:tcW w:type="dxa" w:w="5814"/>
          </w:tcPr>
          <w:p>
            <w:r>
              <w:rPr/>
              <w:t>6.训练模式空间需求：≤2*2m。</w:t>
            </w:r>
          </w:p>
        </w:tc>
      </w:tr>
      <w:tr>
        <w:tc>
          <w:tcPr>
            <w:tcW w:type="dxa" w:w="2076"/>
          </w:tcPr>
          <w:p/>
        </w:tc>
        <w:tc>
          <w:tcPr>
            <w:tcW w:type="dxa" w:w="415"/>
          </w:tcPr>
          <w:p>
            <w:r>
              <w:rPr/>
              <w:t>7</w:t>
            </w:r>
          </w:p>
        </w:tc>
        <w:tc>
          <w:tcPr>
            <w:tcW w:type="dxa" w:w="5814"/>
          </w:tcPr>
          <w:p>
            <w:r>
              <w:rPr/>
              <w:t>7.传感器无线收发范围：半径5~10m。</w:t>
            </w:r>
          </w:p>
        </w:tc>
      </w:tr>
      <w:tr>
        <w:tc>
          <w:tcPr>
            <w:tcW w:type="dxa" w:w="2076"/>
          </w:tcPr>
          <w:p>
            <w:r>
              <w:rPr/>
              <w:t>★</w:t>
            </w:r>
          </w:p>
        </w:tc>
        <w:tc>
          <w:tcPr>
            <w:tcW w:type="dxa" w:w="415"/>
          </w:tcPr>
          <w:p>
            <w:r>
              <w:rPr/>
              <w:t>8</w:t>
            </w:r>
          </w:p>
        </w:tc>
        <w:tc>
          <w:tcPr>
            <w:tcW w:type="dxa" w:w="5814"/>
          </w:tcPr>
          <w:p>
            <w:r>
              <w:rPr>
                <w:sz w:val="21"/>
              </w:rPr>
              <w:t>8.传感器角度误差静态：</w:t>
            </w:r>
            <w:r>
              <w:rPr>
                <w:sz w:val="21"/>
              </w:rPr>
              <w:t>≤</w:t>
            </w:r>
            <w:r>
              <w:rPr>
                <w:sz w:val="21"/>
              </w:rPr>
              <w:t>0.1°。</w:t>
            </w:r>
          </w:p>
        </w:tc>
      </w:tr>
      <w:tr>
        <w:tc>
          <w:tcPr>
            <w:tcW w:type="dxa" w:w="2076"/>
          </w:tcPr>
          <w:p>
            <w:r>
              <w:rPr/>
              <w:t>★</w:t>
            </w:r>
          </w:p>
        </w:tc>
        <w:tc>
          <w:tcPr>
            <w:tcW w:type="dxa" w:w="415"/>
          </w:tcPr>
          <w:p>
            <w:r>
              <w:rPr/>
              <w:t>9</w:t>
            </w:r>
          </w:p>
        </w:tc>
        <w:tc>
          <w:tcPr>
            <w:tcW w:type="dxa" w:w="5814"/>
          </w:tcPr>
          <w:p>
            <w:r>
              <w:rPr>
                <w:sz w:val="21"/>
              </w:rPr>
              <w:t>9.传感器角度动态误差：</w:t>
            </w:r>
            <w:r>
              <w:rPr>
                <w:sz w:val="21"/>
              </w:rPr>
              <w:t>≤</w:t>
            </w:r>
            <w:r>
              <w:rPr>
                <w:sz w:val="21"/>
              </w:rPr>
              <w:t>1°。</w:t>
            </w:r>
          </w:p>
        </w:tc>
      </w:tr>
      <w:tr>
        <w:tc>
          <w:tcPr>
            <w:tcW w:type="dxa" w:w="2076"/>
          </w:tcPr>
          <w:p/>
        </w:tc>
        <w:tc>
          <w:tcPr>
            <w:tcW w:type="dxa" w:w="415"/>
          </w:tcPr>
          <w:p>
            <w:r>
              <w:rPr/>
              <w:t>10</w:t>
            </w:r>
          </w:p>
        </w:tc>
        <w:tc>
          <w:tcPr>
            <w:tcW w:type="dxa" w:w="5814"/>
          </w:tcPr>
          <w:p>
            <w:r>
              <w:rPr/>
              <w:t>10.无线频段≥433MHz。</w:t>
            </w:r>
          </w:p>
        </w:tc>
      </w:tr>
      <w:tr>
        <w:tc>
          <w:tcPr>
            <w:tcW w:type="dxa" w:w="2076"/>
          </w:tcPr>
          <w:p/>
        </w:tc>
        <w:tc>
          <w:tcPr>
            <w:tcW w:type="dxa" w:w="415"/>
          </w:tcPr>
          <w:p>
            <w:r>
              <w:rPr/>
              <w:t>11</w:t>
            </w:r>
          </w:p>
        </w:tc>
        <w:tc>
          <w:tcPr>
            <w:tcW w:type="dxa" w:w="5814"/>
          </w:tcPr>
          <w:p>
            <w:r>
              <w:rPr/>
              <w:t>11.天线功率≥10dbm。</w:t>
            </w:r>
          </w:p>
        </w:tc>
      </w:tr>
      <w:tr>
        <w:tc>
          <w:tcPr>
            <w:tcW w:type="dxa" w:w="2076"/>
          </w:tcPr>
          <w:p/>
        </w:tc>
        <w:tc>
          <w:tcPr>
            <w:tcW w:type="dxa" w:w="415"/>
          </w:tcPr>
          <w:p>
            <w:r>
              <w:rPr/>
              <w:t>12</w:t>
            </w:r>
          </w:p>
        </w:tc>
        <w:tc>
          <w:tcPr>
            <w:tcW w:type="dxa" w:w="5814"/>
          </w:tcPr>
          <w:p>
            <w:r>
              <w:rPr/>
              <w:t>12.电池容量≥150mAh。</w:t>
            </w:r>
          </w:p>
        </w:tc>
      </w:tr>
      <w:tr>
        <w:tc>
          <w:tcPr>
            <w:tcW w:type="dxa" w:w="2076"/>
          </w:tcPr>
          <w:p/>
        </w:tc>
        <w:tc>
          <w:tcPr>
            <w:tcW w:type="dxa" w:w="415"/>
          </w:tcPr>
          <w:p>
            <w:r>
              <w:rPr/>
              <w:t>13</w:t>
            </w:r>
          </w:p>
        </w:tc>
        <w:tc>
          <w:tcPr>
            <w:tcW w:type="dxa" w:w="5814"/>
          </w:tcPr>
          <w:p>
            <w:r>
              <w:rPr/>
              <w:t>13.充电耗时≤30min。</w:t>
            </w:r>
          </w:p>
        </w:tc>
      </w:tr>
      <w:tr>
        <w:tc>
          <w:tcPr>
            <w:tcW w:type="dxa" w:w="2076"/>
          </w:tcPr>
          <w:p/>
        </w:tc>
        <w:tc>
          <w:tcPr>
            <w:tcW w:type="dxa" w:w="415"/>
          </w:tcPr>
          <w:p>
            <w:r>
              <w:rPr/>
              <w:t>14</w:t>
            </w:r>
          </w:p>
        </w:tc>
        <w:tc>
          <w:tcPr>
            <w:tcW w:type="dxa" w:w="5814"/>
          </w:tcPr>
          <w:p>
            <w:r>
              <w:rPr/>
              <w:t>14.包含有≥27种关节训练类型，5款以上配套训练游戏。</w:t>
            </w:r>
          </w:p>
        </w:tc>
      </w:tr>
      <w:tr>
        <w:tc>
          <w:tcPr>
            <w:tcW w:type="dxa" w:w="2076"/>
          </w:tcPr>
          <w:p/>
        </w:tc>
        <w:tc>
          <w:tcPr>
            <w:tcW w:type="dxa" w:w="415"/>
          </w:tcPr>
          <w:p>
            <w:r>
              <w:rPr/>
              <w:t>15</w:t>
            </w:r>
          </w:p>
        </w:tc>
        <w:tc>
          <w:tcPr>
            <w:tcW w:type="dxa" w:w="5814"/>
          </w:tcPr>
          <w:p>
            <w:r>
              <w:rPr>
                <w:sz w:val="21"/>
              </w:rPr>
              <w:t>15.报表生成：</w:t>
            </w:r>
            <w:r>
              <w:rPr>
                <w:sz w:val="21"/>
              </w:rPr>
              <w:t>包括但不限于</w:t>
            </w:r>
            <w:r>
              <w:rPr>
                <w:sz w:val="21"/>
              </w:rPr>
              <w:t>Excel报表、纸质报表。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广州中医药大学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br/>
            </w:r>
            <w:r>
              <w:rPr/>
              <w:t xml:space="preserve">      （3）纸质投标文件正本1份，纸质投标文件副本3份。纸质投标文件应与电子投标文件一致（递交的纸质文件需密封完好，注明“正本”和“副本”字样，正本和副本分别封装。如果正本与副本不符，应以正本为准。）。</w:t>
            </w:r>
            <w:r>
              <w:br/>
            </w:r>
            <w:r>
              <w:rPr>
                <w:b/>
              </w:rPr>
              <w:t xml:space="preserve">    纸质投标文件使用情形：</w:t>
            </w:r>
            <w:r>
              <w:rPr/>
              <w:t>当项目采购系统出现故障，无法使用电子投标文件评标时，代理机构可根据云平台发布的通知指引，根据实际情况使用纸质投标文件评标。</w:t>
            </w:r>
            <w:r>
              <w:br/>
            </w:r>
            <w:r>
              <w:rPr/>
              <w:t xml:space="preserve">    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可兼投但不可兼中。本项目评审按照采购包顺序（采购包1→采购包2）依次进行评审。投标人可兼投多个采购包但只能成为一个采购包的中标供应商。如投标人已经成为前面采购包的第一中标候选人，其投标文件不参与后续采购包的详细评审。</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各采购包采购预算金额为计算基数参照国家计委颁布的（计价格【2002】1980号）及国家发改委颁布的（发改办价格【2003】857号）收取。招标代理服务费由各采购包中标供应商在领取《中标通知书》前一次性向采购代理机构交纳以下金额：采购包1：￥14,492.00元（大写：人民币壹万肆仟肆佰玖拾贰元整）；采购包2：￥16,038.00元（大写：人民币壹万陆仟零叁拾捌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赖工、吴工</w:t>
      </w:r>
    </w:p>
    <w:p>
      <w:pPr>
        <w:ind w:firstLine="480"/>
      </w:pPr>
      <w:r>
        <w:rPr/>
        <w:t>电话：</w:t>
      </w:r>
      <w:r>
        <w:rPr/>
        <w:t>020-87687822、020-87684402</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采购包1(体测设备)：综合评分法,是指投标文件满足招标文件全部实质性要求，且按照评审因素的量化指标评审得分最高的投标人为中标候选人的评标方法。（最低报价不是中标的唯一依据。）</w:t>
      </w:r>
    </w:p>
    <w:p/>
    <w:p>
      <w:r>
        <w:rPr/>
        <w:t>采购包2(体育教研室大型设备)：综合评分法,是指投标文件满足招标文件全部实质性要求，且按照评审因素的量化指标评审得分最高的投标人为中标候选人的评标方法。（最低报价不是中标的唯一依据。）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采购包1（体测设备）：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采购包2（体育教研室大型设备）：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采购包1（体测设备）：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采购包2（体育教研室大型设备）：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采购包1（体测设备）：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投标报价是固定价且未超过本项目各采购包的采购预算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r>
        <w:tc>
          <w:tcPr>
            <w:tcW w:type="dxa" w:w="890"/>
          </w:tcPr>
          <w:p>
            <w:r>
              <w:rPr/>
              <w:t>10</w:t>
            </w:r>
          </w:p>
        </w:tc>
        <w:tc>
          <w:tcPr>
            <w:tcW w:type="dxa" w:w="3178"/>
          </w:tcPr>
          <w:p>
            <w:r>
              <w:rPr/>
              <w:t>保证金情况</w:t>
            </w:r>
          </w:p>
        </w:tc>
        <w:tc>
          <w:tcPr>
            <w:tcW w:type="dxa" w:w="4238"/>
          </w:tcPr>
          <w:p>
            <w:r>
              <w:rPr/>
              <w:t>投标人按项目采购文件要求缴纳投标保证金或投标保证缴纳金额满足项目采购文件要求的</w:t>
            </w:r>
          </w:p>
        </w:tc>
      </w:tr>
    </w:tbl>
    <w:p/>
    <w:p>
      <w:r>
        <w:rPr/>
        <w:t>采购包2（体育教研室大型设备）：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投标报价是固定价且未超过本项目各采购包的采购预算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r>
        <w:tc>
          <w:tcPr>
            <w:tcW w:type="dxa" w:w="890"/>
          </w:tcPr>
          <w:p>
            <w:r>
              <w:rPr/>
              <w:t>10</w:t>
            </w:r>
          </w:p>
        </w:tc>
        <w:tc>
          <w:tcPr>
            <w:tcW w:type="dxa" w:w="3178"/>
          </w:tcPr>
          <w:p>
            <w:r>
              <w:rPr/>
              <w:t>保证金情况</w:t>
            </w:r>
          </w:p>
        </w:tc>
        <w:tc>
          <w:tcPr>
            <w:tcW w:type="dxa" w:w="4238"/>
          </w:tcPr>
          <w:p>
            <w:r>
              <w:rPr/>
              <w:t>投标人按项目采购文件要求缴纳投标保证金或投标保证缴纳金额满足项目采购文件要求的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采购包1体测设备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所投产品设备技术参数符合性 (12.0分)</w:t>
            </w:r>
            <w:r>
              <w:rPr/>
              <w:t>，（等次分值选择：</w:t>
            </w:r>
            <w:r>
              <w:rPr/>
              <w:t>0.0;</w:t>
            </w:r>
            <w:r>
              <w:rPr/>
              <w:t>3.0;</w:t>
            </w:r>
            <w:r>
              <w:rPr/>
              <w:t>6.0;</w:t>
            </w:r>
            <w:r>
              <w:rPr/>
              <w:t>9.0;</w:t>
            </w:r>
            <w:r>
              <w:rPr/>
              <w:t>12.0;</w:t>
            </w:r>
            <w:r>
              <w:rPr/>
              <w:t>）</w:t>
            </w:r>
          </w:p>
        </w:tc>
        <w:tc>
          <w:tcPr>
            <w:tcW w:type="dxa" w:w="5076"/>
          </w:tcPr>
          <w:p>
            <w:pPr>
              <w:jc w:val="left"/>
            </w:pPr>
            <w:r>
              <w:rPr/>
              <w:t>根据投标人对采购需求中不带“★”号、不带“▲”号的一般技术参数指标的响应程度进行评分： 1.完全响应或有正偏离的，得12分； 2.有1-4项未响应或负偏离的，得9分； 3.有5-8项未响应或负偏离的，得6分； 4.有9-12项未响应或负偏离的，得3分； 5.有13项及以上未响应或负偏离的，得0分。 注： 1）如采购需求中有明确要求提供证明资料的，以采购需求中的要求为准；如采购需求中未明确证明材料的，以投标人在《技术和服务要求响应表》中的响应情况填写内容为准，未填写的或参数不满足的都视为负偏离。 2）凡是标有序号的一般条款均以一项单独的条款计算，无论是否隶属于上一级编号。</w:t>
            </w:r>
          </w:p>
        </w:tc>
      </w:tr>
      <w:tr>
        <w:tc>
          <w:tcPr>
            <w:tcW w:type="dxa" w:w="922"/>
            <w:gridSpan w:val="2"/>
            <w:vMerge/>
          </w:tcPr>
          <w:p/>
        </w:tc>
        <w:tc>
          <w:tcPr>
            <w:tcW w:type="dxa" w:w="2307"/>
          </w:tcPr>
          <w:p>
            <w:pPr>
              <w:jc w:val="left"/>
            </w:pPr>
            <w:r>
              <w:rPr/>
              <w:t>产品质量及安全保证措施 (16.0分)</w:t>
            </w:r>
            <w:r>
              <w:rPr/>
              <w:t>，（等次分值选择：</w:t>
            </w:r>
            <w:r>
              <w:rPr/>
              <w:t>0.0;</w:t>
            </w:r>
            <w:r>
              <w:rPr/>
              <w:t>4.0;</w:t>
            </w:r>
            <w:r>
              <w:rPr/>
              <w:t>8.0;</w:t>
            </w:r>
            <w:r>
              <w:rPr/>
              <w:t>12.0;</w:t>
            </w:r>
            <w:r>
              <w:rPr/>
              <w:t>16.0;</w:t>
            </w:r>
            <w:r>
              <w:rPr/>
              <w:t>）</w:t>
            </w:r>
          </w:p>
        </w:tc>
        <w:tc>
          <w:tcPr>
            <w:tcW w:type="dxa" w:w="5076"/>
          </w:tcPr>
          <w:p>
            <w:pPr>
              <w:jc w:val="left"/>
            </w:pPr>
            <w:r>
              <w:rPr/>
              <w:t>根据投标人提供的产品质量及安全保证措施（包括但不限于维护计划、完善的质量保证体系、质量保证及服务承诺）进行评审： 1.投标人质量保证措施、方案具体详实、可行性高，得16分； 2.投标人质量保证措施、方案较具体、可行性较高，得12分； 3.投标人质量保证措施、方案基本完整、可行性一般，得8分； 4.投标人质量保证措施方案内容不全，可行性较差，得4分。 5.无措施的，不得分。</w:t>
            </w:r>
          </w:p>
        </w:tc>
      </w:tr>
      <w:tr>
        <w:tc>
          <w:tcPr>
            <w:tcW w:type="dxa" w:w="922"/>
            <w:gridSpan w:val="2"/>
            <w:vMerge/>
          </w:tcPr>
          <w:p/>
        </w:tc>
        <w:tc>
          <w:tcPr>
            <w:tcW w:type="dxa" w:w="2307"/>
          </w:tcPr>
          <w:p>
            <w:pPr>
              <w:jc w:val="left"/>
            </w:pPr>
            <w:r>
              <w:rPr/>
              <w:t>项目供货、安装、验收方案 (16.0分)</w:t>
            </w:r>
            <w:r>
              <w:rPr/>
              <w:t>，（等次分值选择：</w:t>
            </w:r>
            <w:r>
              <w:rPr/>
              <w:t>0.0;</w:t>
            </w:r>
            <w:r>
              <w:rPr/>
              <w:t>4.0;</w:t>
            </w:r>
            <w:r>
              <w:rPr/>
              <w:t>8.0;</w:t>
            </w:r>
            <w:r>
              <w:rPr/>
              <w:t>12.0;</w:t>
            </w:r>
            <w:r>
              <w:rPr/>
              <w:t>16.0;</w:t>
            </w:r>
            <w:r>
              <w:rPr/>
              <w:t>）</w:t>
            </w:r>
          </w:p>
        </w:tc>
        <w:tc>
          <w:tcPr>
            <w:tcW w:type="dxa" w:w="5076"/>
          </w:tcPr>
          <w:p>
            <w:pPr>
              <w:jc w:val="left"/>
            </w:pPr>
            <w:r>
              <w:rPr/>
              <w:t>根据投标人提供的项目实施方案进行评审，包括：①供货计划，②安装调试，③验收方案。 1.项目实施方案详细具体、针对性、可操作性强：16分； 2.项目实施方案较具体、针对性、操作性较强：12分； 3.项目实施方案一般、针对性、可操作性一般：8分； 4.项目实施方案不具体、针对性、可操作性较差：4分； 5.不提供不得分。</w:t>
            </w:r>
          </w:p>
        </w:tc>
      </w:tr>
      <w:tr>
        <w:tc>
          <w:tcPr>
            <w:tcW w:type="dxa" w:w="922"/>
            <w:gridSpan w:val="2"/>
            <w:vMerge/>
          </w:tcPr>
          <w:p/>
        </w:tc>
        <w:tc>
          <w:tcPr>
            <w:tcW w:type="dxa" w:w="2307"/>
          </w:tcPr>
          <w:p>
            <w:pPr>
              <w:jc w:val="left"/>
            </w:pPr>
            <w:r>
              <w:rPr/>
              <w:t>售后服务方案 (16.0分)</w:t>
            </w:r>
            <w:r>
              <w:rPr/>
              <w:t>，（等次分值选择：</w:t>
            </w:r>
            <w:r>
              <w:rPr/>
              <w:t>0.0;</w:t>
            </w:r>
            <w:r>
              <w:rPr/>
              <w:t>4.0;</w:t>
            </w:r>
            <w:r>
              <w:rPr/>
              <w:t>8.0;</w:t>
            </w:r>
            <w:r>
              <w:rPr/>
              <w:t>12.0;</w:t>
            </w:r>
            <w:r>
              <w:rPr/>
              <w:t>16.0;</w:t>
            </w:r>
            <w:r>
              <w:rPr/>
              <w:t>）</w:t>
            </w:r>
          </w:p>
        </w:tc>
        <w:tc>
          <w:tcPr>
            <w:tcW w:type="dxa" w:w="5076"/>
          </w:tcPr>
          <w:p>
            <w:pPr>
              <w:jc w:val="left"/>
            </w:pPr>
            <w:r>
              <w:rPr/>
              <w:t>根据投标人提供的售后服务方案（包括但不限于各阶段售后服务计划详尽，服务便利，质保、响应时间、拟投入人员、维护保养服务）进行评审： 1.售后服务方案详细具体，完全适用本项目需求，得16分； 2.售后服务方案较详细，较能适用本项目需求，得12分； 3.售后服务方案基本完整，可操作性一般，基本适用本项目需求，得8分； 4.售后服务方案内容不全、可操作性较差，不满足项目需求，得4分； 5.不提供售后服务方案：0分。</w:t>
            </w:r>
          </w:p>
        </w:tc>
      </w:tr>
      <w:tr>
        <w:tc>
          <w:tcPr>
            <w:tcW w:type="dxa" w:w="922"/>
            <w:gridSpan w:val="2"/>
            <w:vMerge w:val="restart"/>
          </w:tcPr>
          <w:p>
            <w:pPr>
              <w:jc w:val="center"/>
            </w:pPr>
            <w:r>
              <w:rPr/>
              <w:t>商务部分</w:t>
            </w:r>
          </w:p>
        </w:tc>
        <w:tc>
          <w:tcPr>
            <w:tcW w:type="dxa" w:w="2307"/>
          </w:tcPr>
          <w:p>
            <w:pPr>
              <w:jc w:val="left"/>
            </w:pPr>
            <w:r>
              <w:rPr/>
              <w:t>商务响应程度 (3.0分)</w:t>
            </w:r>
            <w:r>
              <w:rPr/>
              <w:t>，（等次分值选择：</w:t>
            </w:r>
            <w:r>
              <w:rPr/>
              <w:t>0.0;</w:t>
            </w:r>
            <w:r>
              <w:rPr/>
              <w:t>0.5;</w:t>
            </w:r>
            <w:r>
              <w:rPr/>
              <w:t>1.0;</w:t>
            </w:r>
            <w:r>
              <w:rPr/>
              <w:t>1.5;</w:t>
            </w:r>
            <w:r>
              <w:rPr/>
              <w:t>2.0;</w:t>
            </w:r>
            <w:r>
              <w:rPr/>
              <w:t>2.5;</w:t>
            </w:r>
            <w:r>
              <w:rPr/>
              <w:t>3.0;</w:t>
            </w:r>
            <w:r>
              <w:rPr/>
              <w:t>）</w:t>
            </w:r>
          </w:p>
        </w:tc>
        <w:tc>
          <w:tcPr>
            <w:tcW w:type="dxa" w:w="5076"/>
          </w:tcPr>
          <w:p>
            <w:pPr>
              <w:jc w:val="left"/>
            </w:pPr>
            <w:r>
              <w:rPr/>
              <w:t>根据投标人对采购需求商务要求条款的响应程度进行评分： 每项中所有条款完全满足或优于的得0.5分，最高得3分；每项中有负偏离条款的，该项不得分。 注：1）本项目商务要求条款共6项，包括“标的提供的时间”、“标的提供的地点”、“付款方式”、“验收要求”、“履约保证金”及“其他信息”。</w:t>
            </w:r>
          </w:p>
        </w:tc>
      </w:tr>
      <w:tr>
        <w:tc>
          <w:tcPr>
            <w:tcW w:type="dxa" w:w="922"/>
            <w:gridSpan w:val="2"/>
            <w:vMerge/>
          </w:tcPr>
          <w:p/>
        </w:tc>
        <w:tc>
          <w:tcPr>
            <w:tcW w:type="dxa" w:w="2307"/>
          </w:tcPr>
          <w:p>
            <w:pPr>
              <w:jc w:val="left"/>
            </w:pPr>
            <w:r>
              <w:rPr/>
              <w:t>认证证书 (3.0分)</w:t>
            </w:r>
            <w:r>
              <w:rPr/>
              <w:t>，（等次分值选择：</w:t>
            </w:r>
            <w:r>
              <w:rPr/>
              <w:t>0.0;</w:t>
            </w:r>
            <w:r>
              <w:rPr/>
              <w:t>1.0;</w:t>
            </w:r>
            <w:r>
              <w:rPr/>
              <w:t>2.0;</w:t>
            </w:r>
            <w:r>
              <w:rPr/>
              <w:t>3.0;</w:t>
            </w:r>
            <w:r>
              <w:rPr/>
              <w:t>）</w:t>
            </w:r>
          </w:p>
        </w:tc>
        <w:tc>
          <w:tcPr>
            <w:tcW w:type="dxa" w:w="5076"/>
          </w:tcPr>
          <w:p>
            <w:pPr>
              <w:jc w:val="left"/>
            </w:pPr>
            <w:r>
              <w:rPr/>
              <w:t>投标人获得的管理体系证书：质量管理体系认证、环境管理体系认证、职业健康安全管理体系认证。提供有效期内的证书复印件，每提供一个得1分，最高3分。</w:t>
            </w:r>
          </w:p>
        </w:tc>
      </w:tr>
      <w:tr>
        <w:tc>
          <w:tcPr>
            <w:tcW w:type="dxa" w:w="922"/>
            <w:gridSpan w:val="2"/>
            <w:vMerge/>
          </w:tcPr>
          <w:p/>
        </w:tc>
        <w:tc>
          <w:tcPr>
            <w:tcW w:type="dxa" w:w="2307"/>
          </w:tcPr>
          <w:p>
            <w:pPr>
              <w:jc w:val="left"/>
            </w:pPr>
            <w:r>
              <w:rPr/>
              <w:t>同类项目业绩 (4.0分)</w:t>
            </w:r>
            <w:r>
              <w:rPr/>
              <w:t>，（等次分值选择：</w:t>
            </w:r>
            <w:r>
              <w:rPr/>
              <w:t>0.0;</w:t>
            </w:r>
            <w:r>
              <w:rPr/>
              <w:t>1.0;</w:t>
            </w:r>
            <w:r>
              <w:rPr/>
              <w:t>2.0;</w:t>
            </w:r>
            <w:r>
              <w:rPr/>
              <w:t>3.0;</w:t>
            </w:r>
            <w:r>
              <w:rPr/>
              <w:t>4.0;</w:t>
            </w:r>
            <w:r>
              <w:rPr/>
              <w:t>）</w:t>
            </w:r>
          </w:p>
        </w:tc>
        <w:tc>
          <w:tcPr>
            <w:tcW w:type="dxa" w:w="5076"/>
          </w:tcPr>
          <w:p>
            <w:pPr>
              <w:jc w:val="left"/>
            </w:pPr>
            <w:r>
              <w:rPr/>
              <w:t>投标人每提供一项近三年即2020年1月1日以来（以合同签订生效时间为准）同类项目业绩（包括但不限于运动器械器材、运动测量仪器、运动相关软硬件设备）的，得1分，本项最高得4分。 （提供合同复印件加盖投标人公章，无业绩或不提供相关证明的不得分）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采购包2体育教研室大型设备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所投货物技术参数及性能、配置与技术参数要求、用户需求书的符合性 (15.0分)</w:t>
            </w:r>
            <w:r>
              <w:rPr/>
              <w:t>，（等次分值选择：</w:t>
            </w:r>
            <w:r>
              <w:rPr/>
              <w:t>0.0;</w:t>
            </w:r>
            <w:r>
              <w:rPr/>
              <w:t>5.0;</w:t>
            </w:r>
            <w:r>
              <w:rPr/>
              <w:t>10.0;</w:t>
            </w:r>
            <w:r>
              <w:rPr/>
              <w:t>15.0;</w:t>
            </w:r>
            <w:r>
              <w:rPr/>
              <w:t>）</w:t>
            </w:r>
          </w:p>
        </w:tc>
        <w:tc>
          <w:tcPr>
            <w:tcW w:type="dxa" w:w="5076"/>
          </w:tcPr>
          <w:p>
            <w:pPr>
              <w:jc w:val="left"/>
            </w:pPr>
            <w:r>
              <w:rPr/>
              <w:t>所投产品技术参数全部满足▲号（共3项）重要参数的，得15分；每出现一项带▲号重要参数未响应或负偏离的扣5分，扣完为止。 注：须提供投标产品彩页及相应技术参数的厂家使用说明书作为技术证明文件，提供厂家的参数确认函，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所投产品设备技术参数符合性 (5.0分)</w:t>
            </w:r>
            <w:r>
              <w:rPr/>
              <w:t>，（等次分值选择：</w:t>
            </w:r>
            <w:r>
              <w:rPr/>
              <w:t>0.0;</w:t>
            </w:r>
            <w:r>
              <w:rPr/>
              <w:t>1.0;</w:t>
            </w:r>
            <w:r>
              <w:rPr/>
              <w:t>3.0;</w:t>
            </w:r>
            <w:r>
              <w:rPr/>
              <w:t>5.0;</w:t>
            </w:r>
            <w:r>
              <w:rPr/>
              <w:t>）</w:t>
            </w:r>
          </w:p>
        </w:tc>
        <w:tc>
          <w:tcPr>
            <w:tcW w:type="dxa" w:w="5076"/>
          </w:tcPr>
          <w:p>
            <w:pPr>
              <w:jc w:val="left"/>
            </w:pPr>
            <w:r>
              <w:rPr/>
              <w:t>根据投标人对采购需求中不带“▲”号、不带“★”号的一般技术参数指标的响应程度进行评分： 1、完全响应或有正偏离的，得5分； 2、有1-4项未响应或负偏离的，得3分； 3、有5-8项未响应或负偏离的，得1分； 4、有9项及以上未响应或负偏离的，得0分。 注： 1）如采购需求中有明确要求提供证明资料的，以采购需求中的要求为准；如采购需求中未明确要求提供证明材料的，以投标人在《技术和服务要求响应表》中的响应情况填写内容为准，未填写的或参数不满足的都视为负偏离。 2）凡是标有序号的一般条款均以一项单独的条款计算，无论是否隶属于上一级编号。</w:t>
            </w:r>
          </w:p>
        </w:tc>
      </w:tr>
      <w:tr>
        <w:tc>
          <w:tcPr>
            <w:tcW w:type="dxa" w:w="922"/>
            <w:gridSpan w:val="2"/>
            <w:vMerge/>
          </w:tcPr>
          <w:p/>
        </w:tc>
        <w:tc>
          <w:tcPr>
            <w:tcW w:type="dxa" w:w="2307"/>
          </w:tcPr>
          <w:p>
            <w:pPr>
              <w:jc w:val="left"/>
            </w:pPr>
            <w:r>
              <w:rPr/>
              <w:t>所投产品的先进性、可靠性 (10.0分)</w:t>
            </w:r>
            <w:r>
              <w:rPr/>
              <w:t>，（等次分值选择：</w:t>
            </w:r>
            <w:r>
              <w:rPr/>
              <w:t>0.0;</w:t>
            </w:r>
            <w:r>
              <w:rPr/>
              <w:t>5.0;</w:t>
            </w:r>
            <w:r>
              <w:rPr/>
              <w:t>10.0;</w:t>
            </w:r>
            <w:r>
              <w:rPr/>
              <w:t>）</w:t>
            </w:r>
          </w:p>
        </w:tc>
        <w:tc>
          <w:tcPr>
            <w:tcW w:type="dxa" w:w="5076"/>
          </w:tcPr>
          <w:p>
            <w:pPr>
              <w:jc w:val="left"/>
            </w:pPr>
            <w:r>
              <w:rPr/>
              <w:t>1、所投系统硬件和软件相匹配融合，对接效果好，提供有效证明文件，得5分； 2、提供与三维步态分析系统需求参数相匹配的三维步态分析软件的知识产权证明文件，得5分； 注：以上文件需提供相关证明材料复印件。</w:t>
            </w:r>
          </w:p>
        </w:tc>
      </w:tr>
      <w:tr>
        <w:tc>
          <w:tcPr>
            <w:tcW w:type="dxa" w:w="922"/>
            <w:gridSpan w:val="2"/>
            <w:vMerge/>
          </w:tcPr>
          <w:p/>
        </w:tc>
        <w:tc>
          <w:tcPr>
            <w:tcW w:type="dxa" w:w="2307"/>
          </w:tcPr>
          <w:p>
            <w:pPr>
              <w:jc w:val="left"/>
            </w:pPr>
            <w:r>
              <w:rPr/>
              <w:t>演示得分（视频演示，通用视频格式，视频时长不超过20分钟） (20.0分)</w:t>
            </w:r>
          </w:p>
        </w:tc>
        <w:tc>
          <w:tcPr>
            <w:tcW w:type="dxa" w:w="5076"/>
          </w:tcPr>
          <w:p>
            <w:pPr>
              <w:jc w:val="left"/>
            </w:pPr>
            <w:r>
              <w:rPr/>
              <w:t>1、根据需求参数要求，演示三维步态分析系统数据采集运动捕捉建模软件、数据分析软件。以下4项，每满足一项得2.5分： ①可自由建立使用者所需的模型，可进行刚体模型的创建和人体模型的创建，模型包括但不限于国际通用的全身模型Helen Hayes，Biomech,Rozoli Full body等,同时具有躯干tunk、上肢Upper Body、下肢Lower Body，建立3D空间肢段动画模拟； ②提供儿童、成人常模步态分析数据库，测试数据可以比较患者和正常人的步态特征。软件参数记录功能，行走回放功能，报告生成功能； ③系统可与三维测力台、表面肌电系统同步使用，软件支持同步运动学、动力学数据，在同一个软件界面同时显示运动学、动力学、肌电学数据，可以结合肌电数据、视频影像以及其它数据指标开展综合康复步态评估及训练应用； ④所有的拍摄资源以take格式保存在文件里，适合大数据量的任务。 2、根据需求参数要求，讲解健脊塑身仪以下功能，每满足一项得2分： ①支持全身大关节运动实时监测，通过抗干扰红外摄像系统捕捉头、肩、躯干、上肢、骨盆、下肢，将其活动度变化采集分析并实时反馈，方便关节运动评估及姿势纠正训练；  ②收集并反馈身体重心的实时移动情况，对训练中患者的姿势动作进行监控，促进核心的稳定性提升，改善平衡； ③软件能整合分析系统，将动作分析及重心移动数据整合分析，通过前方屏幕实时反馈，指导临床运动控制及力量训练； ④在实时监控环境中可实现运动轨迹及目标的设置，自定义运动控制训练动作，软件识别完成情况并反馈，为治疗师提高工作效率； ⑤自带两百余种全身肌肉的靶向训练程序，帮助制定康复运动处方，同时系统软件支持全程监控任务完成情况，自动识别错误动作提示改进。</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根据投标人提供的售后服务方案(包括但不限于保修期限、零配件供应、服务响应时间、维护保养服务承诺)进行评审： 1、售后服务方案完善具体详尽清晰，维修技术力量配置及零配件供应等保修服务承诺方案完整，得5分； 2、售后服务方案基本完整，维修技术力量配置及零配件供应等保修服务承诺方案基本完整，得3分； 3、售后服务方案内容不全，维修技术力量配置及零配件供应等保修售后服务方案不够全面，得1分； 3、无提供方案不得分。</w:t>
            </w:r>
          </w:p>
        </w:tc>
      </w:tr>
      <w:tr>
        <w:tc>
          <w:tcPr>
            <w:tcW w:type="dxa" w:w="922"/>
            <w:gridSpan w:val="2"/>
            <w:vMerge/>
          </w:tcPr>
          <w:p/>
        </w:tc>
        <w:tc>
          <w:tcPr>
            <w:tcW w:type="dxa" w:w="2307"/>
          </w:tcPr>
          <w:p>
            <w:pPr>
              <w:jc w:val="left"/>
            </w:pPr>
            <w:r>
              <w:rPr/>
              <w:t>产品来源合法情况 (5.0分)</w:t>
            </w:r>
            <w:r>
              <w:rPr/>
              <w:t>，（等次分值选择：</w:t>
            </w:r>
            <w:r>
              <w:rPr/>
              <w:t>0.0;</w:t>
            </w:r>
            <w:r>
              <w:rPr/>
              <w:t>5.0;</w:t>
            </w:r>
            <w:r>
              <w:rPr/>
              <w:t>）</w:t>
            </w:r>
          </w:p>
        </w:tc>
        <w:tc>
          <w:tcPr>
            <w:tcW w:type="dxa" w:w="5076"/>
          </w:tcPr>
          <w:p>
            <w:pPr>
              <w:jc w:val="left"/>
            </w:pPr>
            <w:r>
              <w:rPr/>
              <w:t>提供所投产品从生产厂家到供应商完整的各级渠道来源合法有效证明文件，得5分。 注：以产品制造商证明文件、产品代理证明文件或产品授权证明文件为准。</w:t>
            </w:r>
          </w:p>
        </w:tc>
      </w:tr>
      <w:tr>
        <w:tc>
          <w:tcPr>
            <w:tcW w:type="dxa" w:w="922"/>
            <w:gridSpan w:val="2"/>
            <w:vMerge w:val="restart"/>
          </w:tcPr>
          <w:p>
            <w:pPr>
              <w:jc w:val="center"/>
            </w:pPr>
            <w:r>
              <w:rPr/>
              <w:t>商务部分</w:t>
            </w:r>
          </w:p>
        </w:tc>
        <w:tc>
          <w:tcPr>
            <w:tcW w:type="dxa" w:w="2307"/>
          </w:tcPr>
          <w:p>
            <w:pPr>
              <w:jc w:val="left"/>
            </w:pPr>
            <w:r>
              <w:rPr/>
              <w:t>商务响应程度 (3.0分)</w:t>
            </w:r>
            <w:r>
              <w:rPr/>
              <w:t>，（等次分值选择：</w:t>
            </w:r>
            <w:r>
              <w:rPr/>
              <w:t>0.0;</w:t>
            </w:r>
            <w:r>
              <w:rPr/>
              <w:t>0.5;</w:t>
            </w:r>
            <w:r>
              <w:rPr/>
              <w:t>1.0;</w:t>
            </w:r>
            <w:r>
              <w:rPr/>
              <w:t>1.5;</w:t>
            </w:r>
            <w:r>
              <w:rPr/>
              <w:t>2.0;</w:t>
            </w:r>
            <w:r>
              <w:rPr/>
              <w:t>2.5;</w:t>
            </w:r>
            <w:r>
              <w:rPr/>
              <w:t>3.0;</w:t>
            </w:r>
            <w:r>
              <w:rPr/>
              <w:t>）</w:t>
            </w:r>
          </w:p>
        </w:tc>
        <w:tc>
          <w:tcPr>
            <w:tcW w:type="dxa" w:w="5076"/>
          </w:tcPr>
          <w:p>
            <w:pPr>
              <w:jc w:val="left"/>
            </w:pPr>
            <w:r>
              <w:rPr/>
              <w:t>根据投标人对采购需求商务要求条款的响应程度进行评分： 每项中所有条款完全满足或优于的得0.5分，最高得3分；每项中有负偏离条款的，该项不得分。 注：1）本项目商务要求条款共6项，包括“标的提供的时间”、“标的提供的地点”、“付款方式”、“验收要求”、“履约保证金”及“其他信息”。</w:t>
            </w:r>
          </w:p>
        </w:tc>
      </w:tr>
      <w:tr>
        <w:tc>
          <w:tcPr>
            <w:tcW w:type="dxa" w:w="922"/>
            <w:gridSpan w:val="2"/>
            <w:vMerge/>
          </w:tcPr>
          <w:p/>
        </w:tc>
        <w:tc>
          <w:tcPr>
            <w:tcW w:type="dxa" w:w="2307"/>
          </w:tcPr>
          <w:p>
            <w:pPr>
              <w:jc w:val="left"/>
            </w:pPr>
            <w:r>
              <w:rPr/>
              <w:t>认证证书 (3.0分)</w:t>
            </w:r>
            <w:r>
              <w:rPr/>
              <w:t>，（等次分值选择：</w:t>
            </w:r>
            <w:r>
              <w:rPr/>
              <w:t>0.0;</w:t>
            </w:r>
            <w:r>
              <w:rPr/>
              <w:t>1.0;</w:t>
            </w:r>
            <w:r>
              <w:rPr/>
              <w:t>2.0;</w:t>
            </w:r>
            <w:r>
              <w:rPr/>
              <w:t>3.0;</w:t>
            </w:r>
            <w:r>
              <w:rPr/>
              <w:t>）</w:t>
            </w:r>
          </w:p>
        </w:tc>
        <w:tc>
          <w:tcPr>
            <w:tcW w:type="dxa" w:w="5076"/>
          </w:tcPr>
          <w:p>
            <w:pPr>
              <w:jc w:val="left"/>
            </w:pPr>
            <w:r>
              <w:rPr/>
              <w:t>投标人获得的管理体系证书：质量管理体系认证、环境管理体系认证、职业健康安全管理体系认证。提供有效期内的证书复印件，每提供一个得1分，最高3分。</w:t>
            </w:r>
          </w:p>
        </w:tc>
      </w:tr>
      <w:tr>
        <w:tc>
          <w:tcPr>
            <w:tcW w:type="dxa" w:w="922"/>
            <w:gridSpan w:val="2"/>
            <w:vMerge/>
          </w:tcPr>
          <w:p/>
        </w:tc>
        <w:tc>
          <w:tcPr>
            <w:tcW w:type="dxa" w:w="2307"/>
          </w:tcPr>
          <w:p>
            <w:pPr>
              <w:jc w:val="left"/>
            </w:pPr>
            <w:r>
              <w:rPr/>
              <w:t>同类项目业绩 (4.0分)</w:t>
            </w:r>
            <w:r>
              <w:rPr/>
              <w:t>，（等次分值选择：</w:t>
            </w:r>
            <w:r>
              <w:rPr/>
              <w:t>0.0;</w:t>
            </w:r>
            <w:r>
              <w:rPr/>
              <w:t>1.0;</w:t>
            </w:r>
            <w:r>
              <w:rPr/>
              <w:t>2.0;</w:t>
            </w:r>
            <w:r>
              <w:rPr/>
              <w:t>3.0;</w:t>
            </w:r>
            <w:r>
              <w:rPr/>
              <w:t>4.0;</w:t>
            </w:r>
            <w:r>
              <w:rPr/>
              <w:t>）</w:t>
            </w:r>
          </w:p>
        </w:tc>
        <w:tc>
          <w:tcPr>
            <w:tcW w:type="dxa" w:w="5076"/>
          </w:tcPr>
          <w:p>
            <w:pPr>
              <w:jc w:val="left"/>
            </w:pPr>
            <w:r>
              <w:rPr/>
              <w:t>投标人每提供一项近三年即2020年1月1日以来（以合同签订生效时间为准）同类项目业绩（包括但不限于运动器械器材、运动测量仪器、运动相关软硬件设备）的，得1分，本项最高得4分。 （提供合同复印件加盖投标人公章，无业绩或不提供相关证明的不得分）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ind w:firstLine="880"/>
        <w:jc w:val="center"/>
      </w:pPr>
      <w:r>
        <w:rPr>
          <w:sz w:val="44"/>
        </w:rPr>
        <w:t>国产设备物资采购合同</w:t>
      </w:r>
    </w:p>
    <w:p>
      <w:pPr>
        <w:jc w:val="both"/>
      </w:pPr>
      <w:r>
        <w:rPr>
          <w:sz w:val="21"/>
        </w:rPr>
        <w:t>甲方（买方）：广州中医药大学</w:t>
      </w:r>
      <w:r>
        <w:rPr>
          <w:sz w:val="21"/>
        </w:rPr>
        <w:t xml:space="preserve">           </w:t>
      </w:r>
      <w:r>
        <w:rPr>
          <w:sz w:val="21"/>
        </w:rPr>
        <w:t>签约地点：广州中医药大学</w:t>
      </w:r>
      <w:r>
        <w:rPr>
          <w:sz w:val="21"/>
        </w:rPr>
        <w:t xml:space="preserve">         </w:t>
      </w:r>
    </w:p>
    <w:p>
      <w:pPr>
        <w:jc w:val="both"/>
      </w:pPr>
      <w:r>
        <w:rPr>
          <w:sz w:val="21"/>
        </w:rPr>
        <w:t>住所：广州市机场路</w:t>
      </w:r>
      <w:r>
        <w:rPr>
          <w:sz w:val="21"/>
        </w:rPr>
        <w:t>12号大院</w:t>
      </w:r>
    </w:p>
    <w:p>
      <w:pPr>
        <w:jc w:val="both"/>
      </w:pPr>
      <w:r>
        <w:rPr>
          <w:sz w:val="21"/>
        </w:rPr>
        <w:t>乙方（卖方）：</w:t>
      </w:r>
      <w:r>
        <w:rPr>
          <w:sz w:val="21"/>
        </w:rPr>
        <w:t xml:space="preserve">                        </w:t>
      </w:r>
    </w:p>
    <w:p>
      <w:pPr>
        <w:jc w:val="both"/>
      </w:pPr>
      <w:r>
        <w:rPr>
          <w:sz w:val="21"/>
        </w:rPr>
        <w:t>住所：</w:t>
      </w:r>
    </w:p>
    <w:p>
      <w:pPr>
        <w:ind w:firstLine="420"/>
        <w:jc w:val="both"/>
      </w:pPr>
      <w:r>
        <w:rPr>
          <w:sz w:val="21"/>
        </w:rPr>
        <w:t>根据《中华人民共和国民法典》及</w:t>
      </w:r>
      <w:r>
        <w:rPr>
          <w:sz w:val="21"/>
          <w:u w:val="single"/>
        </w:rPr>
        <w:t xml:space="preserve">                    </w:t>
      </w:r>
      <w:r>
        <w:rPr>
          <w:sz w:val="21"/>
        </w:rPr>
        <w:t>项目（招标编号：</w:t>
      </w:r>
      <w:r>
        <w:rPr>
          <w:sz w:val="21"/>
          <w:u w:val="single"/>
        </w:rPr>
        <w:t xml:space="preserve">                 </w:t>
      </w:r>
      <w:r>
        <w:rPr>
          <w:sz w:val="21"/>
        </w:rPr>
        <w:t>）的成交结果，甲乙双方在平等自愿的基础上，经协商一致，签订本合同。</w:t>
      </w:r>
    </w:p>
    <w:p>
      <w:pPr>
        <w:ind w:firstLine="422"/>
        <w:jc w:val="both"/>
      </w:pPr>
      <w:r>
        <w:rPr>
          <w:b/>
          <w:sz w:val="21"/>
        </w:rPr>
        <w:t>一、标的</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50"/>
        <w:gridCol w:w="1841"/>
        <w:gridCol w:w="2076"/>
        <w:gridCol w:w="650"/>
        <w:gridCol w:w="664"/>
        <w:gridCol w:w="1232"/>
        <w:gridCol w:w="1135"/>
      </w:tblGrid>
      <w:tr>
        <w:tc>
          <w:tcPr>
            <w:tcW w:type="dxa" w:w="65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841"/>
            <w:tcBorders>
              <w:top w:val="single" w:color="000000" w:sz="4"/>
              <w:left w:val="single" w:color="000000" w:sz="4"/>
              <w:bottom w:val="single" w:color="000000" w:sz="4"/>
              <w:right w:val="single" w:color="000000" w:sz="4"/>
            </w:tcBorders>
            <w:vAlign w:val="top"/>
          </w:tcPr>
          <w:p>
            <w:pPr>
              <w:jc w:val="center"/>
            </w:pPr>
            <w:r>
              <w:rPr>
                <w:sz w:val="21"/>
              </w:rPr>
              <w:t>设备物资名称</w:t>
            </w:r>
          </w:p>
        </w:tc>
        <w:tc>
          <w:tcPr>
            <w:tcW w:type="dxa" w:w="2076"/>
            <w:tcBorders>
              <w:top w:val="single" w:color="000000" w:sz="4"/>
              <w:left w:val="single" w:color="000000" w:sz="4"/>
              <w:bottom w:val="single" w:color="000000" w:sz="4"/>
              <w:right w:val="single" w:color="000000" w:sz="4"/>
            </w:tcBorders>
            <w:vAlign w:val="top"/>
          </w:tcPr>
          <w:p>
            <w:pPr>
              <w:jc w:val="center"/>
            </w:pPr>
            <w:r>
              <w:rPr>
                <w:sz w:val="21"/>
              </w:rPr>
              <w:t>品牌</w:t>
            </w:r>
            <w:r>
              <w:rPr>
                <w:sz w:val="21"/>
              </w:rPr>
              <w:t>/型号/规格</w:t>
            </w:r>
          </w:p>
        </w:tc>
        <w:tc>
          <w:tcPr>
            <w:tcW w:type="dxa" w:w="650"/>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664"/>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1232"/>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1135"/>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65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41"/>
            <w:tcBorders>
              <w:top w:val="none" w:color="000000" w:sz="4"/>
              <w:left w:val="single" w:color="000000" w:sz="4"/>
              <w:bottom w:val="single" w:color="000000" w:sz="4"/>
              <w:right w:val="single" w:color="000000" w:sz="4"/>
            </w:tcBorders>
            <w:vAlign w:val="top"/>
          </w:tcPr>
          <w:p>
            <w:pPr>
              <w:jc w:val="both"/>
            </w:pPr>
          </w:p>
        </w:tc>
        <w:tc>
          <w:tcPr>
            <w:tcW w:type="dxa" w:w="2076"/>
            <w:tcBorders>
              <w:top w:val="none" w:color="000000" w:sz="4"/>
              <w:left w:val="single" w:color="000000" w:sz="4"/>
              <w:bottom w:val="single" w:color="000000" w:sz="4"/>
              <w:right w:val="single" w:color="000000" w:sz="4"/>
            </w:tcBorders>
            <w:vAlign w:val="top"/>
          </w:tcPr>
          <w:p>
            <w:pPr>
              <w:jc w:val="both"/>
            </w:pPr>
          </w:p>
        </w:tc>
        <w:tc>
          <w:tcPr>
            <w:tcW w:type="dxa" w:w="650"/>
            <w:tcBorders>
              <w:top w:val="none" w:color="000000" w:sz="4"/>
              <w:left w:val="single" w:color="000000" w:sz="4"/>
              <w:bottom w:val="single" w:color="000000" w:sz="4"/>
              <w:right w:val="single" w:color="000000" w:sz="4"/>
            </w:tcBorders>
            <w:vAlign w:val="top"/>
          </w:tcPr>
          <w:p>
            <w:pPr>
              <w:jc w:val="both"/>
            </w:pPr>
          </w:p>
        </w:tc>
        <w:tc>
          <w:tcPr>
            <w:tcW w:type="dxa" w:w="664"/>
            <w:tcBorders>
              <w:top w:val="none" w:color="000000" w:sz="4"/>
              <w:left w:val="single" w:color="000000" w:sz="4"/>
              <w:bottom w:val="single" w:color="000000" w:sz="4"/>
              <w:right w:val="single" w:color="000000" w:sz="4"/>
            </w:tcBorders>
            <w:vAlign w:val="top"/>
          </w:tcPr>
          <w:p>
            <w:pPr>
              <w:jc w:val="both"/>
            </w:pPr>
          </w:p>
        </w:tc>
        <w:tc>
          <w:tcPr>
            <w:tcW w:type="dxa" w:w="1232"/>
            <w:tcBorders>
              <w:top w:val="none" w:color="000000" w:sz="4"/>
              <w:left w:val="single" w:color="000000" w:sz="4"/>
              <w:bottom w:val="single" w:color="000000" w:sz="4"/>
              <w:right w:val="single" w:color="000000" w:sz="4"/>
            </w:tcBorders>
            <w:vAlign w:val="top"/>
          </w:tcPr>
          <w:p>
            <w:pPr>
              <w:jc w:val="both"/>
            </w:pPr>
          </w:p>
        </w:tc>
        <w:tc>
          <w:tcPr>
            <w:tcW w:type="dxa" w:w="1135"/>
            <w:tcBorders>
              <w:top w:val="none" w:color="000000" w:sz="4"/>
              <w:left w:val="single" w:color="000000" w:sz="4"/>
              <w:bottom w:val="single" w:color="000000" w:sz="4"/>
              <w:right w:val="single" w:color="000000" w:sz="4"/>
            </w:tcBorders>
            <w:vAlign w:val="top"/>
          </w:tcPr>
          <w:p>
            <w:pPr>
              <w:jc w:val="both"/>
            </w:pPr>
          </w:p>
        </w:tc>
      </w:tr>
      <w:tr>
        <w:tc>
          <w:tcPr>
            <w:tcW w:type="dxa" w:w="650"/>
            <w:tcBorders>
              <w:top w:val="none" w:color="000000" w:sz="4"/>
              <w:left w:val="single" w:color="000000" w:sz="4"/>
              <w:bottom w:val="single" w:color="000000" w:sz="4"/>
              <w:right w:val="single" w:color="000000" w:sz="4"/>
            </w:tcBorders>
            <w:vAlign w:val="top"/>
          </w:tcPr>
          <w:p>
            <w:pPr>
              <w:jc w:val="both"/>
            </w:pPr>
          </w:p>
        </w:tc>
        <w:tc>
          <w:tcPr>
            <w:tcW w:type="dxa" w:w="1841"/>
            <w:tcBorders>
              <w:top w:val="none" w:color="000000" w:sz="4"/>
              <w:left w:val="single" w:color="000000" w:sz="4"/>
              <w:bottom w:val="single" w:color="000000" w:sz="4"/>
              <w:right w:val="single" w:color="000000" w:sz="4"/>
            </w:tcBorders>
            <w:vAlign w:val="top"/>
          </w:tcPr>
          <w:p>
            <w:pPr>
              <w:jc w:val="both"/>
            </w:pPr>
          </w:p>
        </w:tc>
        <w:tc>
          <w:tcPr>
            <w:tcW w:type="dxa" w:w="2076"/>
            <w:tcBorders>
              <w:top w:val="none" w:color="000000" w:sz="4"/>
              <w:left w:val="single" w:color="000000" w:sz="4"/>
              <w:bottom w:val="single" w:color="000000" w:sz="4"/>
              <w:right w:val="single" w:color="000000" w:sz="4"/>
            </w:tcBorders>
            <w:vAlign w:val="top"/>
          </w:tcPr>
          <w:p>
            <w:pPr>
              <w:jc w:val="both"/>
            </w:pPr>
          </w:p>
        </w:tc>
        <w:tc>
          <w:tcPr>
            <w:tcW w:type="dxa" w:w="650"/>
            <w:tcBorders>
              <w:top w:val="none" w:color="000000" w:sz="4"/>
              <w:left w:val="single" w:color="000000" w:sz="4"/>
              <w:bottom w:val="single" w:color="000000" w:sz="4"/>
              <w:right w:val="single" w:color="000000" w:sz="4"/>
            </w:tcBorders>
            <w:vAlign w:val="top"/>
          </w:tcPr>
          <w:p>
            <w:pPr>
              <w:jc w:val="both"/>
            </w:pPr>
          </w:p>
        </w:tc>
        <w:tc>
          <w:tcPr>
            <w:tcW w:type="dxa" w:w="664"/>
            <w:tcBorders>
              <w:top w:val="none" w:color="000000" w:sz="4"/>
              <w:left w:val="single" w:color="000000" w:sz="4"/>
              <w:bottom w:val="single" w:color="000000" w:sz="4"/>
              <w:right w:val="single" w:color="000000" w:sz="4"/>
            </w:tcBorders>
            <w:vAlign w:val="top"/>
          </w:tcPr>
          <w:p>
            <w:pPr>
              <w:jc w:val="both"/>
            </w:pPr>
          </w:p>
        </w:tc>
        <w:tc>
          <w:tcPr>
            <w:tcW w:type="dxa" w:w="1232"/>
            <w:tcBorders>
              <w:top w:val="none" w:color="000000" w:sz="4"/>
              <w:left w:val="single" w:color="000000" w:sz="4"/>
              <w:bottom w:val="single" w:color="000000" w:sz="4"/>
              <w:right w:val="single" w:color="000000" w:sz="4"/>
            </w:tcBorders>
            <w:vAlign w:val="top"/>
          </w:tcPr>
          <w:p>
            <w:pPr>
              <w:jc w:val="both"/>
            </w:pPr>
          </w:p>
        </w:tc>
        <w:tc>
          <w:tcPr>
            <w:tcW w:type="dxa" w:w="1135"/>
            <w:tcBorders>
              <w:top w:val="none" w:color="000000" w:sz="4"/>
              <w:left w:val="single" w:color="000000" w:sz="4"/>
              <w:bottom w:val="single" w:color="000000" w:sz="4"/>
              <w:right w:val="single" w:color="000000" w:sz="4"/>
            </w:tcBorders>
            <w:vAlign w:val="top"/>
          </w:tcPr>
          <w:p>
            <w:pPr>
              <w:jc w:val="both"/>
            </w:pPr>
          </w:p>
        </w:tc>
      </w:tr>
      <w:tr>
        <w:tc>
          <w:tcPr>
            <w:tcW w:type="dxa" w:w="8248"/>
            <w:gridSpan w:val="7"/>
            <w:tcBorders>
              <w:top w:val="none" w:color="000000" w:sz="4"/>
              <w:left w:val="single" w:color="000000" w:sz="4"/>
              <w:bottom w:val="single" w:color="000000" w:sz="4"/>
              <w:right w:val="single" w:color="000000" w:sz="4"/>
            </w:tcBorders>
            <w:vAlign w:val="top"/>
          </w:tcPr>
          <w:p>
            <w:pPr>
              <w:jc w:val="center"/>
            </w:pPr>
            <w:r>
              <w:rPr>
                <w:b/>
                <w:sz w:val="21"/>
              </w:rPr>
              <w:t>总金额（人民币）：</w:t>
            </w:r>
            <w:r>
              <w:rPr>
                <w:b/>
                <w:sz w:val="21"/>
              </w:rPr>
              <w:t xml:space="preserve">   </w:t>
            </w:r>
            <w:r>
              <w:rPr>
                <w:sz w:val="21"/>
              </w:rPr>
              <w:t>万</w:t>
            </w:r>
            <w:r>
              <w:rPr>
                <w:sz w:val="21"/>
              </w:rPr>
              <w:t xml:space="preserve">  </w:t>
            </w:r>
            <w:r>
              <w:rPr>
                <w:sz w:val="21"/>
              </w:rPr>
              <w:t>仟</w:t>
            </w:r>
            <w:r>
              <w:rPr>
                <w:sz w:val="21"/>
              </w:rPr>
              <w:t xml:space="preserve">  </w:t>
            </w:r>
            <w:r>
              <w:rPr>
                <w:sz w:val="21"/>
              </w:rPr>
              <w:t>佰</w:t>
            </w:r>
            <w:r>
              <w:rPr>
                <w:sz w:val="21"/>
              </w:rPr>
              <w:t xml:space="preserve">  </w:t>
            </w:r>
            <w:r>
              <w:rPr>
                <w:sz w:val="21"/>
              </w:rPr>
              <w:t>拾</w:t>
            </w:r>
            <w:r>
              <w:rPr>
                <w:sz w:val="21"/>
              </w:rPr>
              <w:t xml:space="preserve">  </w:t>
            </w:r>
            <w:r>
              <w:rPr>
                <w:sz w:val="21"/>
              </w:rPr>
              <w:t>元</w:t>
            </w:r>
            <w:r>
              <w:rPr>
                <w:sz w:val="21"/>
              </w:rPr>
              <w:t xml:space="preserve">  </w:t>
            </w:r>
            <w:r>
              <w:rPr>
                <w:sz w:val="21"/>
              </w:rPr>
              <w:t>角</w:t>
            </w:r>
            <w:r>
              <w:rPr>
                <w:sz w:val="21"/>
              </w:rPr>
              <w:t xml:space="preserve">  </w:t>
            </w:r>
            <w:r>
              <w:rPr>
                <w:sz w:val="21"/>
              </w:rPr>
              <w:t>分（</w:t>
            </w:r>
            <w:r>
              <w:rPr>
                <w:sz w:val="21"/>
              </w:rPr>
              <w:t>¥          ）</w:t>
            </w:r>
          </w:p>
        </w:tc>
      </w:tr>
    </w:tbl>
    <w:p>
      <w:pPr>
        <w:ind w:firstLine="420"/>
        <w:jc w:val="both"/>
      </w:pPr>
      <w:r>
        <w:rPr>
          <w:sz w:val="21"/>
        </w:rPr>
        <w:t>1.上述合同价款为包干总价，该包干总价为乙方按照合同约定完成合同全部义务后所适用的总价格，包括但不限于购买设备物资的费用、运输费、保险费、装卸费、配套资料费、安装调试费用、</w:t>
      </w:r>
      <w:r>
        <w:rPr>
          <w:sz w:val="21"/>
        </w:rPr>
        <w:t>验收时的试剂耗材、强制性第三方监督检验机构的验收检验费、</w:t>
      </w:r>
      <w:r>
        <w:rPr>
          <w:sz w:val="21"/>
        </w:rPr>
        <w:t>培训费用以及售后服务费用等。</w:t>
      </w:r>
      <w:r>
        <w:rPr>
          <w:sz w:val="21"/>
        </w:rPr>
        <w:t>除本合同明确约定的费用外，甲方无需支付任何额外费用和承担任何额外义务。</w:t>
      </w:r>
      <w:r>
        <w:rPr>
          <w:sz w:val="21"/>
        </w:rPr>
        <w:t>上述合同价款等各项内容在本合同履行过程中保持不变。</w:t>
      </w:r>
    </w:p>
    <w:p>
      <w:pPr>
        <w:ind w:firstLine="420"/>
        <w:jc w:val="both"/>
      </w:pPr>
      <w:r>
        <w:rPr>
          <w:sz w:val="21"/>
        </w:rPr>
        <w:t>2.在实际合同履行过程中，如果乙方未完全履行合同义务或履行的合同义务不符合约定的，则未履行或履行不符合合同约定的内容所对应的价款由甲方直接从上述约定的包干价中扣除。</w:t>
      </w:r>
    </w:p>
    <w:p>
      <w:pPr>
        <w:ind w:firstLine="422"/>
        <w:jc w:val="both"/>
      </w:pPr>
      <w:r>
        <w:rPr>
          <w:b/>
          <w:sz w:val="21"/>
        </w:rPr>
        <w:t>二、质量要求</w:t>
      </w:r>
    </w:p>
    <w:p>
      <w:pPr>
        <w:ind w:firstLine="420"/>
        <w:jc w:val="both"/>
      </w:pPr>
      <w:r>
        <w:rPr>
          <w:sz w:val="21"/>
        </w:rPr>
        <w:t>1.</w:t>
      </w:r>
      <w:r>
        <w:rPr>
          <w:sz w:val="21"/>
        </w:rPr>
        <w:t>乙方按照本合同</w:t>
      </w:r>
      <w:r>
        <w:rPr>
          <w:sz w:val="21"/>
        </w:rPr>
        <w:t>、项目招标文件的要求及投标文件的承诺</w:t>
      </w:r>
      <w:r>
        <w:rPr>
          <w:sz w:val="21"/>
        </w:rPr>
        <w:t>向甲方交付合格设备，并保证甲方对交付的设备拥有完全、合法的所有权与处置权。</w:t>
      </w:r>
    </w:p>
    <w:p>
      <w:pPr>
        <w:ind w:firstLine="420"/>
        <w:jc w:val="both"/>
      </w:pPr>
      <w:r>
        <w:rPr>
          <w:sz w:val="21"/>
        </w:rPr>
        <w:t>2.</w:t>
      </w:r>
      <w:r>
        <w:rPr>
          <w:sz w:val="21"/>
        </w:rPr>
        <w:t>乙方交付的设备物资应符合现行适用的相关法律、法规以及相应的国家标准或行业标准等，如各标准不一致，以对甲方最有利的标准为准。</w:t>
      </w:r>
    </w:p>
    <w:p>
      <w:pPr>
        <w:ind w:firstLine="420"/>
        <w:jc w:val="both"/>
      </w:pPr>
      <w:r>
        <w:rPr>
          <w:sz w:val="21"/>
        </w:rPr>
        <w:t>3.乙方交付的设备物资必须是全新产品、表面无划损、破损、无任何缺陷及隐患，必须具备出厂合格证，且进货渠道合法，在中国境内可依常规安全合法使用。</w:t>
      </w:r>
    </w:p>
    <w:p>
      <w:pPr>
        <w:ind w:firstLine="422"/>
        <w:jc w:val="both"/>
      </w:pPr>
      <w:r>
        <w:rPr>
          <w:b/>
          <w:sz w:val="21"/>
        </w:rPr>
        <w:t>三、交付及验收</w:t>
      </w:r>
    </w:p>
    <w:p>
      <w:pPr>
        <w:ind w:firstLine="553"/>
        <w:jc w:val="both"/>
      </w:pPr>
      <w:r>
        <w:rPr>
          <w:sz w:val="21"/>
        </w:rPr>
        <w:t>1.交</w:t>
      </w:r>
      <w:r>
        <w:rPr>
          <w:sz w:val="21"/>
        </w:rPr>
        <w:t>货时间和地点：签订合同后</w:t>
      </w:r>
      <w:r>
        <w:rPr>
          <w:sz w:val="21"/>
          <w:u w:val="single"/>
        </w:rPr>
        <w:t xml:space="preserve">    </w:t>
      </w:r>
      <w:r>
        <w:rPr>
          <w:sz w:val="21"/>
        </w:rPr>
        <w:t>个</w:t>
      </w:r>
      <w:r>
        <w:rPr>
          <w:sz w:val="21"/>
        </w:rPr>
        <w:t>工作日</w:t>
      </w:r>
      <w:r>
        <w:rPr>
          <w:sz w:val="21"/>
        </w:rPr>
        <w:t>内送到</w:t>
      </w:r>
      <w:r>
        <w:rPr>
          <w:sz w:val="21"/>
        </w:rPr>
        <w:t>甲方</w:t>
      </w:r>
      <w:r>
        <w:rPr>
          <w:sz w:val="21"/>
        </w:rPr>
        <w:t>指定地点</w:t>
      </w:r>
      <w:r>
        <w:rPr>
          <w:sz w:val="21"/>
        </w:rPr>
        <w:t>（</w:t>
      </w:r>
      <w:r>
        <w:rPr>
          <w:sz w:val="21"/>
          <w:u w:val="single"/>
        </w:rPr>
        <w:t xml:space="preserve">       </w:t>
      </w:r>
      <w:r>
        <w:rPr>
          <w:sz w:val="21"/>
        </w:rPr>
        <w:t>校区</w:t>
      </w:r>
      <w:r>
        <w:rPr>
          <w:sz w:val="21"/>
          <w:u w:val="single"/>
        </w:rPr>
        <w:t xml:space="preserve">          </w:t>
      </w:r>
      <w:r>
        <w:rPr>
          <w:sz w:val="21"/>
        </w:rPr>
        <w:t>楼</w:t>
      </w:r>
      <w:r>
        <w:rPr>
          <w:sz w:val="21"/>
          <w:u w:val="single"/>
        </w:rPr>
        <w:t xml:space="preserve">     </w:t>
      </w:r>
      <w:r>
        <w:rPr>
          <w:sz w:val="21"/>
        </w:rPr>
        <w:t>房），</w:t>
      </w:r>
      <w:r>
        <w:rPr>
          <w:sz w:val="21"/>
        </w:rPr>
        <w:t>乙方应在</w:t>
      </w:r>
      <w:r>
        <w:rPr>
          <w:sz w:val="21"/>
        </w:rPr>
        <w:t>交货</w:t>
      </w:r>
      <w:r>
        <w:rPr>
          <w:sz w:val="21"/>
        </w:rPr>
        <w:t>前</w:t>
      </w:r>
      <w:r>
        <w:rPr>
          <w:sz w:val="21"/>
        </w:rPr>
        <w:t>两</w:t>
      </w:r>
      <w:r>
        <w:rPr>
          <w:sz w:val="21"/>
        </w:rPr>
        <w:t>日内通知甲方到货日期。</w:t>
      </w:r>
    </w:p>
    <w:p>
      <w:pPr>
        <w:ind w:firstLine="553"/>
        <w:jc w:val="both"/>
      </w:pPr>
      <w:r>
        <w:rPr>
          <w:sz w:val="21"/>
        </w:rPr>
        <w:t>2.乙方应保证设备物资的包装符合运输的要求，足以保护设备物资在运输过程中不受锈蚀、损坏或灭失。如果设备物资在运输和安装过程中因事故造成设备物资短缺、损坏，乙方应及时安排换装，换货的相关费用由乙方承担。</w:t>
      </w:r>
    </w:p>
    <w:p>
      <w:pPr>
        <w:ind w:firstLine="553"/>
        <w:jc w:val="both"/>
      </w:pPr>
      <w:r>
        <w:rPr>
          <w:sz w:val="21"/>
        </w:rPr>
        <w:t>3.</w:t>
      </w:r>
      <w:r>
        <w:rPr>
          <w:sz w:val="21"/>
        </w:rPr>
        <w:t>乙方应当保证设备的各部件、备品备件、合格证、操作使用说明、保修单、发票</w:t>
      </w:r>
      <w:r>
        <w:rPr>
          <w:sz w:val="21"/>
        </w:rPr>
        <w:t>和产品软件</w:t>
      </w:r>
      <w:r>
        <w:rPr>
          <w:sz w:val="21"/>
        </w:rPr>
        <w:t>等必要物品随设备一并交付甲方</w:t>
      </w:r>
      <w:r>
        <w:rPr>
          <w:sz w:val="21"/>
        </w:rPr>
        <w:t>,</w:t>
      </w:r>
      <w:r>
        <w:rPr>
          <w:sz w:val="21"/>
        </w:rPr>
        <w:t>并负责设备物资的安装调试及相关免费技术培训。</w:t>
      </w:r>
    </w:p>
    <w:p>
      <w:pPr>
        <w:ind w:firstLine="553"/>
        <w:jc w:val="both"/>
      </w:pPr>
      <w:r>
        <w:rPr>
          <w:sz w:val="21"/>
        </w:rPr>
        <w:t>4.设备物资送达指定地点时，由双方代表共同开箱验货,经确认后签署国产设备物资开箱验货情况表。在开箱验货中如发现包装破损、设备数量不符、技术资料不全等不符合合同约定的情况，甲方有权拒收，乙方应于</w:t>
      </w:r>
      <w:r>
        <w:rPr>
          <w:sz w:val="21"/>
        </w:rPr>
        <w:t>5</w:t>
      </w:r>
      <w:r>
        <w:rPr>
          <w:sz w:val="21"/>
        </w:rPr>
        <w:t>日</w:t>
      </w:r>
      <w:r>
        <w:rPr>
          <w:sz w:val="21"/>
        </w:rPr>
        <w:t>内重新提供符合合同约定的设备物资，否则，视为乙方逾期交货。</w:t>
      </w:r>
      <w:r>
        <w:rPr>
          <w:sz w:val="21"/>
        </w:rPr>
        <w:t>如果重新交付的设备仍与合同约定不符，甲方有权解除合同。</w:t>
      </w:r>
    </w:p>
    <w:p>
      <w:pPr>
        <w:ind w:firstLine="553"/>
        <w:jc w:val="both"/>
      </w:pPr>
      <w:r>
        <w:rPr>
          <w:sz w:val="21"/>
        </w:rPr>
        <w:t>5. 需要安装调试的设备物资，乙方应于开箱验货合格后</w:t>
      </w:r>
      <w:r>
        <w:rPr>
          <w:sz w:val="21"/>
        </w:rPr>
        <w:t>5</w:t>
      </w:r>
      <w:r>
        <w:rPr>
          <w:sz w:val="21"/>
        </w:rPr>
        <w:t>日</w:t>
      </w:r>
      <w:r>
        <w:rPr>
          <w:sz w:val="21"/>
        </w:rPr>
        <w:t>内进行设备安装调试、技术指标和性能测试及整机运行测试。安装调试完成后双方填写安装调试登记表。</w:t>
      </w:r>
    </w:p>
    <w:p>
      <w:pPr>
        <w:ind w:firstLine="420"/>
        <w:jc w:val="both"/>
      </w:pPr>
      <w:r>
        <w:rPr>
          <w:sz w:val="21"/>
        </w:rPr>
        <w:t>6.</w:t>
      </w:r>
      <w:r>
        <w:rPr>
          <w:sz w:val="21"/>
        </w:rPr>
        <w:t>设备安装调试完成后，</w:t>
      </w:r>
      <w:r>
        <w:rPr>
          <w:sz w:val="21"/>
        </w:rPr>
        <w:t>乙方认为已经达到验收条件并准备齐验收所需文件后，向甲方提出验收申请，甲方认为</w:t>
      </w:r>
      <w:r>
        <w:rPr>
          <w:sz w:val="21"/>
        </w:rPr>
        <w:t>乙方</w:t>
      </w:r>
      <w:r>
        <w:rPr>
          <w:sz w:val="21"/>
        </w:rPr>
        <w:t>满足验收条件后</w:t>
      </w:r>
      <w:r>
        <w:rPr>
          <w:sz w:val="21"/>
        </w:rPr>
        <w:t>7日内组织履约验收</w:t>
      </w:r>
      <w:r>
        <w:rPr>
          <w:sz w:val="21"/>
        </w:rPr>
        <w:t>。</w:t>
      </w:r>
    </w:p>
    <w:p>
      <w:pPr>
        <w:ind w:firstLine="420"/>
        <w:jc w:val="both"/>
      </w:pPr>
      <w:r>
        <w:rPr>
          <w:sz w:val="21"/>
        </w:rPr>
        <w:t>7.设备物资验收由</w:t>
      </w:r>
      <w:r>
        <w:rPr>
          <w:sz w:val="21"/>
        </w:rPr>
        <w:t>甲方</w:t>
      </w:r>
      <w:r>
        <w:rPr>
          <w:sz w:val="21"/>
        </w:rPr>
        <w:t>聘请专家组和乙方联合进行</w:t>
      </w:r>
      <w:r>
        <w:rPr>
          <w:sz w:val="21"/>
        </w:rPr>
        <w:t>，验收时间由甲方确定。乙方未派员参加的，视为认可验收结果</w:t>
      </w:r>
      <w:r>
        <w:rPr>
          <w:sz w:val="21"/>
        </w:rPr>
        <w:t>。</w:t>
      </w:r>
    </w:p>
    <w:p>
      <w:pPr>
        <w:ind w:firstLine="420"/>
        <w:jc w:val="both"/>
      </w:pPr>
      <w:r>
        <w:rPr>
          <w:sz w:val="21"/>
        </w:rPr>
        <w:t>8.设备物资的验收标准按照本合同及招投标文件中列明的技术参数、规格、性能指标等执行。</w:t>
      </w:r>
    </w:p>
    <w:p>
      <w:pPr>
        <w:ind w:firstLine="553"/>
        <w:jc w:val="both"/>
      </w:pPr>
      <w:r>
        <w:rPr>
          <w:sz w:val="21"/>
        </w:rPr>
        <w:t>9.</w:t>
      </w:r>
      <w:r>
        <w:rPr>
          <w:sz w:val="21"/>
        </w:rPr>
        <w:t>验收不合格，甲方有权要求乙方重新提供设备，或有权解除合同。乙方应在甲方指定的期限内重新提供设备，并承担因此而发生的全部费用，赔偿由此给甲方造成的损失。</w:t>
      </w:r>
    </w:p>
    <w:p>
      <w:pPr>
        <w:ind w:firstLine="553"/>
        <w:jc w:val="both"/>
      </w:pPr>
      <w:r>
        <w:rPr>
          <w:sz w:val="21"/>
        </w:rPr>
        <w:t>10.</w:t>
      </w:r>
      <w:r>
        <w:rPr>
          <w:sz w:val="21"/>
        </w:rPr>
        <w:t>如乙方对验收结果有异议，可提请甲方所在地商检部门进行复检。商检部门的检验结果表明设备物资不符合合同约定的，因复检发生的费用由乙方承担；检验结果表明设备物资符合合同约定的，因复检发生的费用由甲方承担。</w:t>
      </w:r>
    </w:p>
    <w:p>
      <w:pPr>
        <w:ind w:firstLine="553"/>
        <w:jc w:val="both"/>
      </w:pPr>
      <w:r>
        <w:rPr>
          <w:sz w:val="21"/>
        </w:rPr>
        <w:t>四、付款方式</w:t>
      </w:r>
    </w:p>
    <w:p>
      <w:pPr>
        <w:ind w:firstLine="553"/>
        <w:jc w:val="both"/>
      </w:pPr>
      <w:r>
        <w:rPr>
          <w:sz w:val="21"/>
        </w:rPr>
        <w:t>鉴于乙方为：中小企业（</w:t>
      </w:r>
      <w:r>
        <w:rPr>
          <w:sz w:val="21"/>
        </w:rPr>
        <w:t xml:space="preserve"> </w:t>
      </w:r>
      <w:r>
        <w:rPr>
          <w:sz w:val="21"/>
        </w:rPr>
        <w:t xml:space="preserve"> </w:t>
      </w:r>
      <w:r>
        <w:rPr>
          <w:sz w:val="21"/>
        </w:rPr>
        <w:t>）非中小企业（</w:t>
      </w:r>
      <w:r>
        <w:rPr>
          <w:sz w:val="21"/>
        </w:rPr>
        <w:t xml:space="preserve"> </w:t>
      </w:r>
      <w:r>
        <w:rPr>
          <w:sz w:val="21"/>
        </w:rPr>
        <w:t xml:space="preserve"> </w:t>
      </w:r>
      <w:r>
        <w:rPr>
          <w:sz w:val="21"/>
        </w:rPr>
        <w:t>），付款方式按以下第（</w:t>
      </w:r>
      <w:r>
        <w:rPr>
          <w:sz w:val="21"/>
        </w:rPr>
        <w:t xml:space="preserve"> </w:t>
      </w:r>
      <w:r>
        <w:rPr>
          <w:sz w:val="21"/>
        </w:rPr>
        <w:t xml:space="preserve"> </w:t>
      </w:r>
      <w:r>
        <w:rPr>
          <w:sz w:val="21"/>
        </w:rPr>
        <w:t>）种执行。</w:t>
      </w:r>
    </w:p>
    <w:p>
      <w:pPr>
        <w:ind w:firstLine="553"/>
        <w:jc w:val="both"/>
      </w:pPr>
      <w:r>
        <w:rPr>
          <w:sz w:val="21"/>
        </w:rPr>
        <w:t>1</w:t>
      </w:r>
      <w:r>
        <w:rPr>
          <w:sz w:val="21"/>
        </w:rPr>
        <w:t>．</w:t>
      </w:r>
      <w:r>
        <w:rPr>
          <w:sz w:val="21"/>
        </w:rPr>
        <w:t>如乙方为中小企业：</w:t>
      </w:r>
      <w:r>
        <w:rPr>
          <w:sz w:val="21"/>
        </w:rPr>
        <w:t xml:space="preserve"> </w:t>
      </w:r>
      <w:r>
        <w:br/>
      </w:r>
      <w:r>
        <w:rPr>
          <w:sz w:val="21"/>
        </w:rPr>
        <w:t xml:space="preserve"> </w:t>
      </w:r>
      <w:r>
        <w:rPr>
          <w:sz w:val="21"/>
        </w:rPr>
        <w:t xml:space="preserve">   </w:t>
      </w:r>
      <w:r>
        <w:rPr>
          <w:sz w:val="21"/>
        </w:rPr>
        <w:t>（</w:t>
      </w:r>
      <w:r>
        <w:rPr>
          <w:sz w:val="21"/>
        </w:rPr>
        <w:t>1）合同签订</w:t>
      </w:r>
      <w:r>
        <w:rPr>
          <w:sz w:val="21"/>
        </w:rPr>
        <w:t>且收到履约保证金后</w:t>
      </w:r>
      <w:r>
        <w:rPr>
          <w:sz w:val="21"/>
        </w:rPr>
        <w:t xml:space="preserve">5个工作日内甲方向乙方支付合同金额的30%（支付方式含银行转账、支票、银行承兑汇票、商业承兑汇票等形式）。 </w:t>
      </w:r>
      <w:r>
        <w:br/>
      </w:r>
      <w:r>
        <w:rPr>
          <w:sz w:val="21"/>
        </w:rPr>
        <w:t xml:space="preserve"> </w:t>
      </w:r>
      <w:r>
        <w:rPr>
          <w:sz w:val="21"/>
        </w:rPr>
        <w:t xml:space="preserve">   </w:t>
      </w:r>
      <w:r>
        <w:rPr>
          <w:sz w:val="21"/>
        </w:rPr>
        <w:t>（</w:t>
      </w:r>
      <w:r>
        <w:rPr>
          <w:sz w:val="21"/>
        </w:rPr>
        <w:t xml:space="preserve">2）所有货物验收合格且收到发票后15日内甲方向乙方支付至合同总价的100%（支付方式含银行转账、支票、银行承兑汇票、商业承兑汇票等形式）。 </w:t>
      </w:r>
      <w:r>
        <w:br/>
      </w:r>
      <w:r>
        <w:rPr>
          <w:sz w:val="21"/>
        </w:rPr>
        <w:t xml:space="preserve">    2</w:t>
      </w:r>
      <w:r>
        <w:rPr>
          <w:sz w:val="21"/>
        </w:rPr>
        <w:t>．</w:t>
      </w:r>
      <w:r>
        <w:rPr>
          <w:sz w:val="21"/>
        </w:rPr>
        <w:t>如乙方为非中小企业：</w:t>
      </w:r>
      <w:r>
        <w:rPr>
          <w:sz w:val="21"/>
        </w:rPr>
        <w:t xml:space="preserve"> </w:t>
      </w:r>
      <w:r>
        <w:br/>
      </w:r>
      <w:r>
        <w:rPr>
          <w:sz w:val="21"/>
        </w:rPr>
        <w:t xml:space="preserve">   </w:t>
      </w:r>
      <w:r>
        <w:rPr>
          <w:sz w:val="21"/>
        </w:rPr>
        <w:t xml:space="preserve"> </w:t>
      </w:r>
      <w:r>
        <w:rPr>
          <w:sz w:val="21"/>
        </w:rPr>
        <w:t>所有货物验收合格且收到发票后</w:t>
      </w:r>
      <w:r>
        <w:rPr>
          <w:sz w:val="21"/>
        </w:rPr>
        <w:t>15日内甲方向乙方支付合同总价的100%（支付方式含银行转账、支票、银行承兑汇票、商业承兑汇票等形式）。</w:t>
      </w:r>
    </w:p>
    <w:p>
      <w:pPr>
        <w:ind w:firstLine="553"/>
        <w:jc w:val="both"/>
      </w:pPr>
      <w:r>
        <w:rPr>
          <w:sz w:val="21"/>
        </w:rPr>
        <w:t>3.甲方在上述期限内，按广东省财政厅规定的支付手续将付款的申请文件递出, 即完成付款义务。但可以协助乙方查询政府审核和支付的进度。</w:t>
      </w:r>
    </w:p>
    <w:p>
      <w:pPr>
        <w:ind w:firstLine="553"/>
        <w:jc w:val="both"/>
      </w:pPr>
      <w:r>
        <w:rPr>
          <w:sz w:val="21"/>
        </w:rPr>
        <w:t>4．履约保证金提交：</w:t>
      </w:r>
    </w:p>
    <w:p>
      <w:pPr>
        <w:ind w:firstLine="553"/>
        <w:jc w:val="both"/>
      </w:pPr>
      <w:r>
        <w:rPr>
          <w:sz w:val="21"/>
        </w:rPr>
        <w:t>履约金额为合同金额的</w:t>
      </w:r>
      <w:r>
        <w:rPr>
          <w:sz w:val="21"/>
        </w:rPr>
        <w:t>10%（如乙方为中小企业，履约保证金为合同金额的5%），</w:t>
      </w:r>
      <w:r>
        <w:rPr>
          <w:sz w:val="21"/>
        </w:rPr>
        <w:t>乙方应在</w:t>
      </w:r>
      <w:r>
        <w:rPr>
          <w:sz w:val="21"/>
        </w:rPr>
        <w:t>合同签订后</w:t>
      </w:r>
      <w:r>
        <w:rPr>
          <w:sz w:val="21"/>
        </w:rPr>
        <w:t>5</w:t>
      </w:r>
      <w:r>
        <w:rPr>
          <w:sz w:val="21"/>
        </w:rPr>
        <w:t>日内</w:t>
      </w:r>
      <w:r>
        <w:rPr>
          <w:sz w:val="21"/>
        </w:rPr>
        <w:t>递交履约保证金。乙方可根据自身实际自主选择以转账、支票、汇票、本票、保函、现金等形式向甲方缴纳履约保证金，但采用保函形式递交履约保证金的，须是无条件保函。</w:t>
      </w:r>
    </w:p>
    <w:p>
      <w:pPr>
        <w:ind w:firstLine="553"/>
        <w:jc w:val="both"/>
      </w:pPr>
      <w:r>
        <w:rPr>
          <w:sz w:val="21"/>
        </w:rPr>
        <w:t>5．履约保证金退还：</w:t>
      </w:r>
    </w:p>
    <w:p>
      <w:pPr>
        <w:ind w:firstLine="840"/>
        <w:jc w:val="both"/>
      </w:pPr>
      <w:r>
        <w:rPr>
          <w:sz w:val="21"/>
        </w:rPr>
        <w:t>验收合格后</w:t>
      </w:r>
      <w:r>
        <w:rPr>
          <w:sz w:val="21"/>
        </w:rPr>
        <w:t>5</w:t>
      </w:r>
      <w:r>
        <w:rPr>
          <w:sz w:val="21"/>
        </w:rPr>
        <w:t>个工作日内</w:t>
      </w:r>
      <w:r>
        <w:rPr>
          <w:sz w:val="21"/>
        </w:rPr>
        <w:t>，乙方向</w:t>
      </w:r>
      <w:r>
        <w:rPr>
          <w:sz w:val="21"/>
        </w:rPr>
        <w:t>甲方</w:t>
      </w:r>
      <w:r>
        <w:rPr>
          <w:sz w:val="21"/>
        </w:rPr>
        <w:t>申请退还履约保证金，甲方于接到申请后</w:t>
      </w:r>
      <w:r>
        <w:rPr>
          <w:sz w:val="21"/>
        </w:rPr>
        <w:t>1</w:t>
      </w:r>
      <w:r>
        <w:rPr>
          <w:sz w:val="21"/>
        </w:rPr>
        <w:t>5个工作日内将履约保证金无息退回乙方。</w:t>
      </w:r>
    </w:p>
    <w:p>
      <w:pPr>
        <w:ind w:firstLine="553"/>
        <w:jc w:val="both"/>
      </w:pPr>
      <w:r>
        <w:rPr>
          <w:sz w:val="21"/>
        </w:rPr>
        <w:t>向甲方开具发票的信息：</w:t>
      </w:r>
    </w:p>
    <w:tbl>
      <w:tblPr>
        <w:tblW w:w="0" w:type="auto"/>
        <w:tblBorders>
          <w:top w:val="none" w:color="000000" w:sz="4"/>
          <w:left w:val="none" w:color="000000" w:sz="4"/>
          <w:bottom w:val="none" w:color="000000" w:sz="4"/>
          <w:right w:val="none" w:color="000000" w:sz="4"/>
          <w:insideH w:val="none"/>
          <w:insideV w:val="none"/>
        </w:tblBorders>
      </w:tblPr>
      <w:tblGrid>
        <w:gridCol w:w="1860"/>
        <w:gridCol w:w="6446"/>
      </w:tblGrid>
      <w:tr>
        <w:tc>
          <w:tcPr>
            <w:tcW w:type="dxa" w:w="1860"/>
            <w:tcBorders>
              <w:top w:val="single" w:color="000000" w:sz="4"/>
              <w:left w:val="single" w:color="000000" w:sz="4"/>
              <w:bottom w:val="single" w:color="000000" w:sz="4"/>
              <w:right w:val="single" w:color="000000" w:sz="4"/>
            </w:tcBorders>
            <w:vAlign w:val="top"/>
          </w:tcPr>
          <w:p>
            <w:pPr>
              <w:jc w:val="both"/>
            </w:pPr>
            <w:r>
              <w:rPr>
                <w:sz w:val="21"/>
              </w:rPr>
              <w:t>单位名称</w:t>
            </w:r>
          </w:p>
        </w:tc>
        <w:tc>
          <w:tcPr>
            <w:tcW w:type="dxa" w:w="6446"/>
            <w:tcBorders>
              <w:top w:val="single" w:color="000000" w:sz="4"/>
              <w:left w:val="single" w:color="000000" w:sz="4"/>
              <w:bottom w:val="single" w:color="000000" w:sz="4"/>
              <w:right w:val="single" w:color="000000" w:sz="4"/>
            </w:tcBorders>
            <w:vAlign w:val="top"/>
          </w:tcPr>
          <w:p>
            <w:pPr>
              <w:jc w:val="both"/>
            </w:pPr>
            <w:r>
              <w:rPr>
                <w:sz w:val="21"/>
              </w:rPr>
              <w:t>广州中医药大学（广州中医药研究院）</w:t>
            </w:r>
          </w:p>
        </w:tc>
      </w:tr>
      <w:tr>
        <w:tc>
          <w:tcPr>
            <w:tcW w:type="dxa" w:w="1860"/>
            <w:tcBorders>
              <w:top w:val="none" w:color="000000" w:sz="4"/>
              <w:left w:val="single" w:color="000000" w:sz="4"/>
              <w:bottom w:val="single" w:color="000000" w:sz="4"/>
              <w:right w:val="single" w:color="000000" w:sz="4"/>
            </w:tcBorders>
            <w:vAlign w:val="top"/>
          </w:tcPr>
          <w:p>
            <w:pPr>
              <w:jc w:val="both"/>
            </w:pPr>
            <w:r>
              <w:rPr>
                <w:sz w:val="21"/>
              </w:rPr>
              <w:t>纳税人识别号</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12440000455860373F</w:t>
            </w:r>
          </w:p>
        </w:tc>
      </w:tr>
      <w:tr>
        <w:tc>
          <w:tcPr>
            <w:tcW w:type="dxa" w:w="1860"/>
            <w:tcBorders>
              <w:top w:val="none" w:color="000000" w:sz="4"/>
              <w:left w:val="single" w:color="000000" w:sz="4"/>
              <w:bottom w:val="single" w:color="000000" w:sz="4"/>
              <w:right w:val="single" w:color="000000" w:sz="4"/>
            </w:tcBorders>
            <w:vAlign w:val="top"/>
          </w:tcPr>
          <w:p>
            <w:pPr>
              <w:jc w:val="both"/>
            </w:pPr>
            <w:r>
              <w:rPr>
                <w:sz w:val="21"/>
              </w:rPr>
              <w:t>地址</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广州市机场路</w:t>
            </w:r>
            <w:r>
              <w:rPr>
                <w:sz w:val="21"/>
              </w:rPr>
              <w:t>12号</w:t>
            </w:r>
          </w:p>
        </w:tc>
      </w:tr>
      <w:tr>
        <w:tc>
          <w:tcPr>
            <w:tcW w:type="dxa" w:w="1860"/>
            <w:tcBorders>
              <w:top w:val="none" w:color="000000" w:sz="4"/>
              <w:left w:val="single" w:color="000000" w:sz="4"/>
              <w:bottom w:val="single" w:color="000000" w:sz="4"/>
              <w:right w:val="single" w:color="000000" w:sz="4"/>
            </w:tcBorders>
            <w:vAlign w:val="top"/>
          </w:tcPr>
          <w:p>
            <w:pPr>
              <w:jc w:val="both"/>
            </w:pPr>
            <w:r>
              <w:rPr>
                <w:sz w:val="21"/>
              </w:rPr>
              <w:t>电话号码</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020-36585216</w:t>
            </w:r>
          </w:p>
        </w:tc>
      </w:tr>
      <w:tr>
        <w:tc>
          <w:tcPr>
            <w:tcW w:type="dxa" w:w="1860"/>
            <w:tcBorders>
              <w:top w:val="none" w:color="000000" w:sz="4"/>
              <w:left w:val="single" w:color="000000" w:sz="4"/>
              <w:bottom w:val="single" w:color="000000" w:sz="4"/>
              <w:right w:val="single" w:color="000000" w:sz="4"/>
            </w:tcBorders>
            <w:vAlign w:val="top"/>
          </w:tcPr>
          <w:p>
            <w:pPr>
              <w:jc w:val="both"/>
            </w:pPr>
            <w:r>
              <w:rPr>
                <w:sz w:val="21"/>
              </w:rPr>
              <w:t>开户行</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中国建设银行广州大学城新天地支行</w:t>
            </w:r>
          </w:p>
        </w:tc>
      </w:tr>
      <w:tr>
        <w:tc>
          <w:tcPr>
            <w:tcW w:type="dxa" w:w="1860"/>
            <w:tcBorders>
              <w:top w:val="none" w:color="000000" w:sz="4"/>
              <w:left w:val="single" w:color="000000" w:sz="4"/>
              <w:bottom w:val="single" w:color="000000" w:sz="4"/>
              <w:right w:val="single" w:color="000000" w:sz="4"/>
            </w:tcBorders>
            <w:vAlign w:val="top"/>
          </w:tcPr>
          <w:p>
            <w:pPr>
              <w:jc w:val="both"/>
            </w:pPr>
            <w:r>
              <w:rPr>
                <w:sz w:val="21"/>
              </w:rPr>
              <w:t>开户行账号</w:t>
            </w:r>
          </w:p>
        </w:tc>
        <w:tc>
          <w:tcPr>
            <w:tcW w:type="dxa" w:w="6446"/>
            <w:tcBorders>
              <w:top w:val="none" w:color="000000" w:sz="4"/>
              <w:left w:val="single" w:color="000000" w:sz="4"/>
              <w:bottom w:val="single" w:color="000000" w:sz="4"/>
              <w:right w:val="single" w:color="000000" w:sz="4"/>
            </w:tcBorders>
            <w:vAlign w:val="top"/>
          </w:tcPr>
          <w:p>
            <w:pPr>
              <w:jc w:val="both"/>
            </w:pPr>
            <w:r>
              <w:rPr>
                <w:sz w:val="21"/>
              </w:rPr>
              <w:t>44050153004900000813</w:t>
            </w:r>
          </w:p>
        </w:tc>
      </w:tr>
    </w:tbl>
    <w:p>
      <w:pPr>
        <w:ind w:firstLine="480"/>
        <w:jc w:val="both"/>
      </w:pPr>
      <w:r>
        <w:rPr>
          <w:sz w:val="24"/>
        </w:rPr>
        <w:t>备注：开增值税专用发票。</w:t>
      </w:r>
    </w:p>
    <w:p>
      <w:pPr>
        <w:ind w:firstLine="555"/>
        <w:jc w:val="both"/>
      </w:pPr>
      <w:r>
        <w:rPr>
          <w:b/>
          <w:sz w:val="21"/>
        </w:rPr>
        <w:t>五、售后服务</w:t>
      </w:r>
    </w:p>
    <w:p>
      <w:pPr>
        <w:ind w:firstLine="420"/>
        <w:jc w:val="both"/>
      </w:pPr>
      <w:r>
        <w:rPr>
          <w:sz w:val="21"/>
        </w:rPr>
        <w:t>1.保修期限：乙方承诺本合同项下设备物资的保修期为</w:t>
      </w:r>
      <w:r>
        <w:rPr>
          <w:sz w:val="21"/>
          <w:u w:val="single"/>
        </w:rPr>
        <w:t xml:space="preserve"> </w:t>
      </w:r>
      <w:r>
        <w:rPr>
          <w:sz w:val="21"/>
          <w:u w:val="single"/>
        </w:rPr>
        <w:t>3</w:t>
      </w:r>
      <w:r>
        <w:rPr>
          <w:sz w:val="21"/>
        </w:rPr>
        <w:t>年</w:t>
      </w:r>
      <w:r>
        <w:rPr>
          <w:sz w:val="21"/>
        </w:rPr>
        <w:t>（</w:t>
      </w:r>
      <w:r>
        <w:rPr>
          <w:sz w:val="21"/>
        </w:rPr>
        <w:t>含在本次投标报价内</w:t>
      </w:r>
      <w:r>
        <w:rPr>
          <w:sz w:val="21"/>
        </w:rPr>
        <w:t>）</w:t>
      </w:r>
      <w:r>
        <w:rPr>
          <w:sz w:val="21"/>
        </w:rPr>
        <w:t>，保修承担方为</w:t>
      </w:r>
      <w:r>
        <w:rPr>
          <w:sz w:val="21"/>
        </w:rPr>
        <w:t>________________________</w:t>
      </w:r>
      <w:r>
        <w:rPr>
          <w:sz w:val="21"/>
        </w:rPr>
        <w:t>（保修承担方承诺函为本合同附件，</w:t>
      </w:r>
      <w:r>
        <w:rPr>
          <w:sz w:val="21"/>
        </w:rPr>
        <w:t>乙方同意与实际保修方共同无限承担连带责任</w:t>
      </w:r>
      <w:r>
        <w:rPr>
          <w:sz w:val="21"/>
        </w:rPr>
        <w:t>）。保修期限自货物通过甲方组织的验收之日起算。</w:t>
      </w:r>
      <w:r>
        <w:rPr>
          <w:sz w:val="21"/>
        </w:rPr>
        <w:t>在保修期内，如货物非因甲方原因而出现的质量问题由乙方负责保修、包换或包退，并承担修理、调换或退货的实际费用。乙方不能修复、调换或不能退货的，应退回相应货款，并承担相应的违约责任。</w:t>
      </w:r>
    </w:p>
    <w:p>
      <w:pPr>
        <w:ind w:firstLine="553"/>
        <w:jc w:val="both"/>
      </w:pPr>
      <w:r>
        <w:rPr>
          <w:sz w:val="21"/>
        </w:rPr>
        <w:t>2.对甲方的服务通知，乙方在接报后12小时内到达现场处理。若在48小时内仍未能有效解决，乙方应免费提供主要参数不低于原设备的替代设备并保证其正常运行。</w:t>
      </w:r>
    </w:p>
    <w:p>
      <w:pPr>
        <w:ind w:firstLine="553"/>
        <w:jc w:val="both"/>
      </w:pPr>
      <w:r>
        <w:rPr>
          <w:sz w:val="21"/>
        </w:rPr>
        <w:t>3.</w:t>
      </w:r>
      <w:r>
        <w:rPr>
          <w:sz w:val="21"/>
        </w:rPr>
        <w:t>保修期满后，如有零部件出现故障，且属于寿命异常问题（明显短于该零部件正常寿命）的，由乙方负责更换及维修。</w:t>
      </w:r>
    </w:p>
    <w:p>
      <w:pPr>
        <w:ind w:firstLine="420"/>
        <w:jc w:val="both"/>
      </w:pPr>
      <w:r>
        <w:rPr>
          <w:sz w:val="21"/>
        </w:rPr>
        <w:t>4.</w:t>
      </w:r>
      <w:r>
        <w:rPr>
          <w:sz w:val="21"/>
        </w:rPr>
        <w:t>保修期满后，设备物资维修服务及配件费用享受市</w:t>
      </w:r>
      <w:r>
        <w:rPr>
          <w:sz w:val="21"/>
        </w:rPr>
        <w:t>场</w:t>
      </w:r>
      <w:r>
        <w:rPr>
          <w:sz w:val="21"/>
        </w:rPr>
        <w:t>价的八折优惠。</w:t>
      </w:r>
    </w:p>
    <w:p>
      <w:pPr>
        <w:ind w:firstLine="555"/>
        <w:jc w:val="both"/>
      </w:pPr>
      <w:r>
        <w:rPr>
          <w:b/>
          <w:sz w:val="21"/>
        </w:rPr>
        <w:t>六、风险承担和不可抗力</w:t>
      </w:r>
    </w:p>
    <w:p>
      <w:pPr>
        <w:ind w:firstLine="553"/>
        <w:jc w:val="both"/>
      </w:pPr>
      <w:r>
        <w:rPr>
          <w:sz w:val="21"/>
        </w:rPr>
        <w:t>1.设备物资毁损、灭失的风险与后果，在设备物资经甲方验收合格以前由乙方承担，在设备物资经甲方验收合格以后由甲方承担。</w:t>
      </w:r>
    </w:p>
    <w:p>
      <w:pPr>
        <w:ind w:firstLine="553"/>
        <w:jc w:val="both"/>
      </w:pPr>
      <w:r>
        <w:rPr>
          <w:sz w:val="21"/>
        </w:rPr>
        <w:t>2.甲方因设备物资质量不符合约定而拒绝接受设备物资或解除合同的，设备物资毁损、灭失的风险与后果由乙方承担。</w:t>
      </w:r>
    </w:p>
    <w:p>
      <w:pPr>
        <w:ind w:firstLine="420"/>
        <w:jc w:val="left"/>
      </w:pPr>
      <w:r>
        <w:rPr>
          <w:sz w:val="21"/>
        </w:rPr>
        <w:t>3.</w:t>
      </w:r>
      <w:r>
        <w:rPr>
          <w:sz w:val="21"/>
        </w:rPr>
        <w:t>由乙方承担设备物资毁损、灭失风险的，如设备物资毁损或灭失的，乙方应于</w:t>
      </w:r>
      <w:r>
        <w:rPr>
          <w:sz w:val="21"/>
        </w:rPr>
        <w:t>7日内重新提供符合合同规定的设备物资，否则，视为乙方逾期交货。</w:t>
      </w:r>
    </w:p>
    <w:p>
      <w:pPr>
        <w:ind w:firstLine="420"/>
        <w:jc w:val="left"/>
      </w:pPr>
      <w:r>
        <w:rPr>
          <w:sz w:val="21"/>
        </w:rPr>
        <w:t>4.设备物资毁损、灭失的风险由甲方承担的，不影响因乙方履行其他合同义务不符合约定的，甲方要求其承担违约责任的权利。</w:t>
      </w:r>
    </w:p>
    <w:p>
      <w:pPr>
        <w:ind w:firstLine="553"/>
        <w:jc w:val="both"/>
      </w:pPr>
      <w:r>
        <w:rPr>
          <w:sz w:val="21"/>
        </w:rPr>
        <w:t>5.不可抗力：一方由于水灾、火灾、地震、干旱、战争或协议一方无法预见、控制、避免和克服的其他事件导致不能或暂时不能全部或部分履行本协议，该方可以免责。但是，受不可抗力事件影响的一方须尽快将事件发生状况通知另一方，并在不可抗力事件影响消除之日起15日内将有关机构出具的不可抗力事件的证明寄交对方。未提供以上证明的，不能免除违约责任。</w:t>
      </w:r>
    </w:p>
    <w:p>
      <w:pPr>
        <w:ind w:firstLine="555"/>
        <w:jc w:val="both"/>
      </w:pPr>
      <w:r>
        <w:rPr>
          <w:b/>
          <w:sz w:val="21"/>
        </w:rPr>
        <w:t>七、知识产权和保密责任</w:t>
      </w:r>
    </w:p>
    <w:p>
      <w:pPr>
        <w:ind w:firstLine="420"/>
        <w:jc w:val="both"/>
      </w:pPr>
      <w:r>
        <w:rPr>
          <w:sz w:val="21"/>
        </w:rPr>
        <w:t>1.乙方保证其交付的设备物资无任何专利权、著作权、商标权及其他知识产权方面的限制，不侵犯任何专利、商标、企业或贸易名称、版权、肖像权、技术秘密、商业秘密或其他任何权益。</w:t>
      </w:r>
    </w:p>
    <w:p>
      <w:pPr>
        <w:ind w:firstLine="420"/>
        <w:jc w:val="both"/>
      </w:pPr>
      <w:r>
        <w:rPr>
          <w:sz w:val="21"/>
        </w:rPr>
        <w:t>2.甲方使用该设备物资或设备物资的任何一部分时，免受第三方提出的侵犯其著作权、专利权、商标权或其他知识产权的起诉。如发生此类纠纷，由乙方承担因此给甲方造成的一切损失（包括但不限于律师费、诉讼费、保全费、担保费、交通费、差旅费、鉴定费等），且甲方有权暂停向乙方支付合同款项，直至纠纷处理完毕。</w:t>
      </w:r>
    </w:p>
    <w:p>
      <w:pPr>
        <w:ind w:firstLine="420"/>
        <w:jc w:val="both"/>
      </w:pPr>
      <w:r>
        <w:rPr>
          <w:sz w:val="21"/>
        </w:rPr>
        <w:t>3.乙方为执行本合同而提供的技术资料、软件的使用权归甲方所有。</w:t>
      </w:r>
    </w:p>
    <w:p>
      <w:pPr>
        <w:ind w:firstLine="553"/>
        <w:jc w:val="both"/>
      </w:pPr>
      <w:r>
        <w:rPr>
          <w:sz w:val="21"/>
        </w:rPr>
        <w:t>4.</w:t>
      </w:r>
      <w:r>
        <w:rPr>
          <w:sz w:val="21"/>
        </w:rPr>
        <w:t>双方应保守通过签订和履行本合同而获取的对方之商业及技术秘密，包括本合同文本，相关技术文件、相关数据，以及其他有关信息。任何一方违反上述约定的，应赔偿合同守约方的损失。本保密条款不因合同终止而终止。</w:t>
      </w:r>
    </w:p>
    <w:p>
      <w:pPr>
        <w:ind w:firstLine="555"/>
        <w:jc w:val="both"/>
      </w:pPr>
      <w:r>
        <w:rPr>
          <w:b/>
          <w:sz w:val="21"/>
        </w:rPr>
        <w:t>八、违约责任</w:t>
      </w:r>
    </w:p>
    <w:p>
      <w:pPr>
        <w:ind w:firstLine="420"/>
        <w:jc w:val="left"/>
      </w:pPr>
      <w:r>
        <w:rPr>
          <w:sz w:val="21"/>
        </w:rPr>
        <w:t>1.甲方逾期支付货款，经乙方催告后无正当理由仍不支付的，自催告后每逾期一日，</w:t>
      </w:r>
      <w:r>
        <w:rPr>
          <w:sz w:val="21"/>
        </w:rPr>
        <w:t>应按逾期付款金额每日</w:t>
      </w:r>
      <w:r>
        <w:rPr>
          <w:sz w:val="21"/>
        </w:rPr>
        <w:t>5‰</w:t>
      </w:r>
      <w:r>
        <w:rPr>
          <w:sz w:val="21"/>
        </w:rPr>
        <w:t>向乙方支付违约金。</w:t>
      </w:r>
    </w:p>
    <w:p>
      <w:pPr>
        <w:ind w:firstLine="420"/>
        <w:jc w:val="left"/>
      </w:pPr>
      <w:r>
        <w:rPr>
          <w:sz w:val="21"/>
        </w:rPr>
        <w:t>2.</w:t>
      </w:r>
      <w:r>
        <w:rPr>
          <w:sz w:val="21"/>
        </w:rPr>
        <w:t>验收不合格，且乙方不重新提供设备物资的，</w:t>
      </w:r>
      <w:r>
        <w:rPr>
          <w:sz w:val="21"/>
        </w:rPr>
        <w:t>乙</w:t>
      </w:r>
      <w:r>
        <w:rPr>
          <w:sz w:val="21"/>
        </w:rPr>
        <w:t>方需向甲方支付合同总金额</w:t>
      </w:r>
      <w:r>
        <w:rPr>
          <w:sz w:val="21"/>
        </w:rPr>
        <w:t>5%的违约金。如甲方同意更换的，乙方应于</w:t>
      </w:r>
      <w:r>
        <w:rPr>
          <w:sz w:val="21"/>
        </w:rPr>
        <w:t>5</w:t>
      </w:r>
      <w:r>
        <w:rPr>
          <w:sz w:val="21"/>
        </w:rPr>
        <w:t>日内重新提供符合合同约定的货物，乙方在征得甲方同意的时间内未能调换的，按逾期交货处理，逾期时点自最初约定的交付日期起计。</w:t>
      </w:r>
    </w:p>
    <w:p>
      <w:pPr>
        <w:ind w:firstLine="420"/>
        <w:jc w:val="left"/>
      </w:pPr>
      <w:r>
        <w:rPr>
          <w:sz w:val="21"/>
        </w:rPr>
        <w:t>3.</w:t>
      </w:r>
      <w:r>
        <w:rPr>
          <w:sz w:val="21"/>
        </w:rPr>
        <w:t>乙</w:t>
      </w:r>
      <w:r>
        <w:rPr>
          <w:sz w:val="21"/>
        </w:rPr>
        <w:t>方逾期交付设备物资的，则每逾期一天，按合同总额的</w:t>
      </w:r>
      <w:r>
        <w:rPr>
          <w:sz w:val="21"/>
        </w:rPr>
        <w:t>5‰向甲方支付违约金，甲方有权直接从应付给乙方的合同款项中扣除该违约金；</w:t>
      </w:r>
      <w:r>
        <w:rPr>
          <w:sz w:val="21"/>
        </w:rPr>
        <w:t>甲方有权要求乙方继续向甲方交付直至符合要求。</w:t>
      </w:r>
    </w:p>
    <w:p>
      <w:pPr>
        <w:ind w:firstLine="553"/>
        <w:jc w:val="both"/>
      </w:pPr>
      <w:r>
        <w:rPr>
          <w:sz w:val="21"/>
        </w:rPr>
        <w:t>4.</w:t>
      </w:r>
      <w:r>
        <w:rPr>
          <w:sz w:val="21"/>
        </w:rPr>
        <w:t>若乙方未按本合同的约定提供保修服务，甲方有权自行委托第三方提供甲方所需要的技术支持和售后服务，由此造成的包括但不限于第三方维保费用、甲方其他经济损失等均由乙方承担赔偿。</w:t>
      </w:r>
    </w:p>
    <w:p>
      <w:pPr>
        <w:ind w:firstLine="553"/>
        <w:jc w:val="both"/>
      </w:pPr>
      <w:r>
        <w:rPr>
          <w:sz w:val="21"/>
        </w:rPr>
        <w:t>5</w:t>
      </w:r>
      <w:r>
        <w:rPr>
          <w:sz w:val="21"/>
        </w:rPr>
        <w:t>.</w:t>
      </w:r>
      <w:r>
        <w:rPr>
          <w:sz w:val="21"/>
        </w:rPr>
        <w:t>有以下情形之一的，甲方有权解除合同，乙方需退还甲方已支付的所有款项，并按合同总金额的</w:t>
      </w:r>
      <w:r>
        <w:rPr>
          <w:sz w:val="21"/>
        </w:rPr>
        <w:t>1</w:t>
      </w:r>
      <w:r>
        <w:rPr>
          <w:sz w:val="21"/>
        </w:rPr>
        <w:t>0%向甲方支付违约金，违约金不足以弥补甲方损失的，乙方应另行赔偿，具体情形如下：</w:t>
      </w:r>
    </w:p>
    <w:p>
      <w:pPr>
        <w:ind w:firstLine="420"/>
        <w:jc w:val="left"/>
      </w:pPr>
      <w:r>
        <w:rPr>
          <w:sz w:val="21"/>
        </w:rPr>
        <w:t>（</w:t>
      </w:r>
      <w:r>
        <w:rPr>
          <w:sz w:val="21"/>
        </w:rPr>
        <w:t>1</w:t>
      </w:r>
      <w:r>
        <w:rPr>
          <w:sz w:val="21"/>
        </w:rPr>
        <w:t>）乙方交付设备</w:t>
      </w:r>
      <w:r>
        <w:rPr>
          <w:sz w:val="21"/>
        </w:rPr>
        <w:t>(物资)存在侵犯他人知识产权、肖像权、技术秘密、商业秘密或其他任何权益的；</w:t>
      </w:r>
    </w:p>
    <w:p>
      <w:pPr>
        <w:ind w:firstLine="420"/>
        <w:jc w:val="left"/>
      </w:pPr>
      <w:r>
        <w:rPr>
          <w:sz w:val="21"/>
        </w:rPr>
        <w:t>（</w:t>
      </w:r>
      <w:r>
        <w:rPr>
          <w:sz w:val="21"/>
        </w:rPr>
        <w:t>2</w:t>
      </w:r>
      <w:r>
        <w:rPr>
          <w:sz w:val="21"/>
        </w:rPr>
        <w:t>）乙方履行义务不符合约定，经甲方提出后在合理期限内仍未改正的；</w:t>
      </w:r>
    </w:p>
    <w:p>
      <w:pPr>
        <w:ind w:firstLine="420"/>
        <w:jc w:val="left"/>
      </w:pPr>
      <w:r>
        <w:rPr>
          <w:sz w:val="21"/>
        </w:rPr>
        <w:t>（</w:t>
      </w:r>
      <w:r>
        <w:rPr>
          <w:sz w:val="21"/>
        </w:rPr>
        <w:t>3）未经甲方书面同意，乙方将本合同项下的权利或义务转让，或将本合同项下服务转包或分包的</w:t>
      </w:r>
      <w:r>
        <w:rPr>
          <w:sz w:val="21"/>
        </w:rPr>
        <w:t>；</w:t>
      </w:r>
    </w:p>
    <w:p>
      <w:pPr>
        <w:ind w:firstLine="420"/>
        <w:jc w:val="left"/>
      </w:pPr>
      <w:r>
        <w:rPr>
          <w:sz w:val="21"/>
        </w:rPr>
        <w:t>（</w:t>
      </w:r>
      <w:r>
        <w:rPr>
          <w:sz w:val="21"/>
        </w:rPr>
        <w:t>4）乙方逾期交货超过10日的；</w:t>
      </w:r>
    </w:p>
    <w:p>
      <w:pPr>
        <w:ind w:firstLine="420"/>
        <w:jc w:val="left"/>
      </w:pPr>
      <w:r>
        <w:rPr>
          <w:sz w:val="21"/>
        </w:rPr>
        <w:t>（</w:t>
      </w:r>
      <w:r>
        <w:rPr>
          <w:sz w:val="21"/>
        </w:rPr>
        <w:t>5 ）法律规定的其他合同解除情形。</w:t>
      </w:r>
    </w:p>
    <w:p>
      <w:pPr>
        <w:ind w:firstLine="420"/>
        <w:jc w:val="both"/>
      </w:pPr>
      <w:r>
        <w:rPr>
          <w:sz w:val="21"/>
        </w:rPr>
        <w:t>6</w:t>
      </w:r>
      <w:r>
        <w:rPr>
          <w:sz w:val="21"/>
        </w:rPr>
        <w:t>.本合同所称之损失包括直接经济损失和合同履行后可以获得的利益及合理的调查费、评估费、公证费、诉讼费、交通费、律师费、保全费等相关法律费用。</w:t>
      </w:r>
    </w:p>
    <w:p>
      <w:pPr>
        <w:jc w:val="both"/>
      </w:pPr>
      <w:r>
        <w:rPr>
          <w:sz w:val="21"/>
        </w:rPr>
        <w:t>八、解决争议方法</w:t>
      </w:r>
    </w:p>
    <w:p>
      <w:pPr>
        <w:ind w:firstLine="420"/>
        <w:jc w:val="left"/>
      </w:pPr>
      <w:r>
        <w:rPr>
          <w:sz w:val="21"/>
        </w:rPr>
        <w:t>本合同的成立、有效性、解释、履行、签署、修订和终止以及争议的解决均应适用中华人民共和国法律。本合同发生争议，由双方协商或调解解决，协商或调解不成时双方同意向甲方所在地人民法院起诉。诉讼进行过程中，除双方有争议的部分外，本合同其他部分仍然有效，各方应继续履行。</w:t>
      </w:r>
    </w:p>
    <w:p>
      <w:pPr>
        <w:ind w:firstLine="555"/>
        <w:jc w:val="both"/>
      </w:pPr>
      <w:r>
        <w:rPr>
          <w:sz w:val="21"/>
        </w:rPr>
        <w:t>九、其他</w:t>
      </w:r>
    </w:p>
    <w:p>
      <w:pPr>
        <w:ind w:firstLine="420"/>
        <w:jc w:val="both"/>
      </w:pPr>
      <w:r>
        <w:rPr>
          <w:sz w:val="21"/>
        </w:rPr>
        <w:t>1.合同的附件及本项目的招投标文件、补充协议均为本合同的组成部份，与合同具有同等效力。</w:t>
      </w:r>
    </w:p>
    <w:p>
      <w:pPr>
        <w:ind w:firstLine="420"/>
        <w:jc w:val="both"/>
      </w:pPr>
      <w:r>
        <w:rPr>
          <w:sz w:val="21"/>
        </w:rPr>
        <w:t>2.本合同自签订（甲乙双方授权代表共同签字、盖章）之日起生效，共一式六份，均为正本，具有同等法律效力，乙方一份、甲方五份。</w:t>
      </w:r>
    </w:p>
    <w:p>
      <w:pPr>
        <w:ind w:firstLine="420"/>
        <w:jc w:val="both"/>
      </w:pPr>
      <w:r>
        <w:rPr>
          <w:sz w:val="21"/>
        </w:rPr>
        <w:t>3.本合同未尽事宜，由双方协商解决。如需对本合同及其附件作修改或补充，双方应签订补充合同，如补充合同与本合同存在不一致之处，以补充合同为准。</w:t>
      </w:r>
    </w:p>
    <w:p>
      <w:pPr>
        <w:ind w:firstLine="630"/>
        <w:jc w:val="both"/>
      </w:pPr>
      <w:r>
        <w:rPr>
          <w:sz w:val="21"/>
        </w:rPr>
        <w:t>附件：</w:t>
      </w:r>
    </w:p>
    <w:p>
      <w:pPr>
        <w:ind w:firstLine="630"/>
        <w:jc w:val="both"/>
      </w:pPr>
      <w:r>
        <w:rPr>
          <w:sz w:val="21"/>
        </w:rPr>
        <w:t>1.设备物资技术参数</w:t>
      </w:r>
    </w:p>
    <w:p>
      <w:pPr>
        <w:ind w:firstLine="630"/>
        <w:jc w:val="both"/>
      </w:pPr>
      <w:r>
        <w:rPr>
          <w:sz w:val="21"/>
        </w:rPr>
        <w:t>2.乙方项目负责人授权委托书</w:t>
      </w:r>
    </w:p>
    <w:p>
      <w:pPr>
        <w:ind w:firstLine="630"/>
        <w:jc w:val="both"/>
      </w:pPr>
      <w:r>
        <w:rPr>
          <w:sz w:val="21"/>
        </w:rPr>
        <w:t>3.保修承担方承诺函</w:t>
      </w:r>
    </w:p>
    <w:p>
      <w:pPr>
        <w:jc w:val="both"/>
      </w:pPr>
      <w:r>
        <w:rPr>
          <w:sz w:val="21"/>
        </w:rPr>
        <w:t xml:space="preserve">        </w:t>
      </w:r>
    </w:p>
    <w:p>
      <w:pPr>
        <w:jc w:val="both"/>
      </w:pPr>
      <w:r>
        <w:rPr>
          <w:sz w:val="21"/>
        </w:rPr>
        <w:t>甲方（盖章）：广州中医药大学</w:t>
      </w:r>
      <w:r>
        <w:rPr>
          <w:sz w:val="21"/>
        </w:rPr>
        <w:t xml:space="preserve">    </w:t>
      </w:r>
      <w:r>
        <w:rPr>
          <w:sz w:val="21"/>
        </w:rPr>
        <w:t>乙方（盖章）：</w:t>
      </w:r>
    </w:p>
    <w:p>
      <w:pPr>
        <w:jc w:val="both"/>
      </w:pPr>
      <w:r>
        <w:rPr>
          <w:sz w:val="21"/>
        </w:rPr>
        <w:t>法定代表人：</w:t>
      </w:r>
      <w:r>
        <w:rPr>
          <w:sz w:val="21"/>
        </w:rPr>
        <w:t xml:space="preserve">                    </w:t>
      </w:r>
      <w:r>
        <w:rPr>
          <w:sz w:val="21"/>
        </w:rPr>
        <w:t>法定代表人：</w:t>
      </w:r>
    </w:p>
    <w:p>
      <w:pPr>
        <w:jc w:val="both"/>
      </w:pPr>
      <w:r>
        <w:rPr>
          <w:sz w:val="21"/>
        </w:rPr>
        <w:t>委托代理人：</w:t>
      </w:r>
      <w:r>
        <w:rPr>
          <w:sz w:val="21"/>
        </w:rPr>
        <w:t xml:space="preserve">                    </w:t>
      </w:r>
      <w:r>
        <w:rPr>
          <w:sz w:val="21"/>
        </w:rPr>
        <w:t>委托代理人：</w:t>
      </w:r>
    </w:p>
    <w:p>
      <w:pPr>
        <w:jc w:val="both"/>
      </w:pPr>
      <w:r>
        <w:rPr>
          <w:sz w:val="21"/>
        </w:rPr>
        <w:t>联系电话：</w:t>
      </w:r>
      <w:r>
        <w:rPr>
          <w:sz w:val="21"/>
        </w:rPr>
        <w:t xml:space="preserve">                      </w:t>
      </w:r>
      <w:r>
        <w:rPr>
          <w:sz w:val="21"/>
        </w:rPr>
        <w:t>联系电话：</w:t>
      </w:r>
    </w:p>
    <w:p>
      <w:pPr>
        <w:jc w:val="both"/>
      </w:pPr>
      <w:r>
        <w:rPr>
          <w:sz w:val="21"/>
        </w:rPr>
        <w:t>电子邮箱：</w:t>
      </w:r>
      <w:r>
        <w:rPr>
          <w:sz w:val="21"/>
        </w:rPr>
        <w:t xml:space="preserve">                      </w:t>
      </w:r>
      <w:r>
        <w:rPr>
          <w:sz w:val="21"/>
        </w:rPr>
        <w:t>电子邮箱：</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Pr>
        <w:jc w:val="both"/>
      </w:pPr>
    </w:p>
    <w:p>
      <w:pPr>
        <w:jc w:val="both"/>
      </w:pPr>
      <w:r>
        <w:rPr>
          <w:sz w:val="21"/>
        </w:rPr>
        <w:t>附件</w:t>
      </w:r>
      <w:r>
        <w:rPr>
          <w:sz w:val="21"/>
        </w:rPr>
        <w:t>1.设备技术参数模版（模版）</w:t>
      </w:r>
    </w:p>
    <w:tbl>
      <w:tblPr>
        <w:tblW w:w="0" w:type="auto"/>
        <w:tblBorders>
          <w:top w:val="none" w:color="000000" w:sz="4"/>
          <w:left w:val="none" w:color="000000" w:sz="4"/>
          <w:bottom w:val="none" w:color="000000" w:sz="4"/>
          <w:right w:val="none" w:color="000000" w:sz="4"/>
          <w:insideH w:val="none"/>
          <w:insideV w:val="none"/>
        </w:tblBorders>
      </w:tblPr>
      <w:tblGrid>
        <w:gridCol w:w="716"/>
        <w:gridCol w:w="2121"/>
        <w:gridCol w:w="3389"/>
        <w:gridCol w:w="2080"/>
      </w:tblGrid>
      <w:tr>
        <w:tc>
          <w:tcPr>
            <w:tcW w:type="dxa" w:w="716"/>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2121"/>
            <w:tcBorders>
              <w:top w:val="single" w:color="000000" w:sz="4"/>
              <w:left w:val="single" w:color="000000" w:sz="4"/>
              <w:bottom w:val="single" w:color="000000" w:sz="4"/>
              <w:right w:val="single" w:color="000000" w:sz="4"/>
            </w:tcBorders>
            <w:vAlign w:val="top"/>
          </w:tcPr>
          <w:p>
            <w:pPr>
              <w:ind w:firstLine="553"/>
              <w:jc w:val="both"/>
            </w:pPr>
            <w:r>
              <w:rPr>
                <w:sz w:val="21"/>
              </w:rPr>
              <w:t>设备名称</w:t>
            </w:r>
          </w:p>
        </w:tc>
        <w:tc>
          <w:tcPr>
            <w:tcW w:type="dxa" w:w="3389"/>
            <w:tcBorders>
              <w:top w:val="single" w:color="000000" w:sz="4"/>
              <w:left w:val="single" w:color="000000" w:sz="4"/>
              <w:bottom w:val="single" w:color="000000" w:sz="4"/>
              <w:right w:val="single" w:color="000000" w:sz="4"/>
            </w:tcBorders>
            <w:vAlign w:val="top"/>
          </w:tcPr>
          <w:p>
            <w:pPr>
              <w:ind w:firstLine="553"/>
              <w:jc w:val="both"/>
            </w:pPr>
            <w:r>
              <w:rPr>
                <w:sz w:val="21"/>
              </w:rPr>
              <w:t>主要技术参数</w:t>
            </w:r>
          </w:p>
        </w:tc>
        <w:tc>
          <w:tcPr>
            <w:tcW w:type="dxa" w:w="2080"/>
            <w:tcBorders>
              <w:top w:val="single" w:color="000000" w:sz="4"/>
              <w:left w:val="single" w:color="000000" w:sz="4"/>
              <w:bottom w:val="single" w:color="000000" w:sz="4"/>
              <w:right w:val="single" w:color="000000" w:sz="4"/>
            </w:tcBorders>
            <w:vAlign w:val="top"/>
          </w:tcPr>
          <w:p>
            <w:pPr>
              <w:ind w:firstLine="553"/>
              <w:jc w:val="both"/>
            </w:pPr>
            <w:r>
              <w:rPr>
                <w:sz w:val="21"/>
              </w:rPr>
              <w:t>配置清单</w:t>
            </w:r>
          </w:p>
        </w:tc>
      </w:tr>
      <w:tr>
        <w:tc>
          <w:tcPr>
            <w:tcW w:type="dxa" w:w="716"/>
            <w:tcBorders>
              <w:top w:val="none" w:color="000000" w:sz="4"/>
              <w:left w:val="single" w:color="000000" w:sz="4"/>
              <w:bottom w:val="single" w:color="000000" w:sz="4"/>
              <w:right w:val="single" w:color="000000" w:sz="4"/>
            </w:tcBorders>
            <w:vAlign w:val="top"/>
          </w:tcPr>
          <w:p>
            <w:pPr>
              <w:ind w:firstLine="555"/>
              <w:jc w:val="both"/>
            </w:pPr>
          </w:p>
        </w:tc>
        <w:tc>
          <w:tcPr>
            <w:tcW w:type="dxa" w:w="2121"/>
            <w:tcBorders>
              <w:top w:val="none" w:color="000000" w:sz="4"/>
              <w:left w:val="single" w:color="000000" w:sz="4"/>
              <w:bottom w:val="single" w:color="000000" w:sz="4"/>
              <w:right w:val="single" w:color="000000" w:sz="4"/>
            </w:tcBorders>
            <w:vAlign w:val="top"/>
          </w:tcPr>
          <w:p>
            <w:pPr>
              <w:ind w:firstLine="555"/>
              <w:jc w:val="both"/>
            </w:pPr>
          </w:p>
        </w:tc>
        <w:tc>
          <w:tcPr>
            <w:tcW w:type="dxa" w:w="3389"/>
            <w:tcBorders>
              <w:top w:val="none" w:color="000000" w:sz="4"/>
              <w:left w:val="single" w:color="000000" w:sz="4"/>
              <w:bottom w:val="single" w:color="000000" w:sz="4"/>
              <w:right w:val="single" w:color="000000" w:sz="4"/>
            </w:tcBorders>
            <w:vAlign w:val="top"/>
          </w:tcPr>
          <w:p>
            <w:pPr>
              <w:ind w:firstLine="555"/>
              <w:jc w:val="both"/>
            </w:pPr>
          </w:p>
        </w:tc>
        <w:tc>
          <w:tcPr>
            <w:tcW w:type="dxa" w:w="2080"/>
            <w:tcBorders>
              <w:top w:val="none" w:color="000000" w:sz="4"/>
              <w:left w:val="single" w:color="000000" w:sz="4"/>
              <w:bottom w:val="single" w:color="000000" w:sz="4"/>
              <w:right w:val="single" w:color="000000" w:sz="4"/>
            </w:tcBorders>
            <w:vAlign w:val="top"/>
          </w:tcPr>
          <w:p>
            <w:pPr>
              <w:ind w:firstLine="555"/>
              <w:jc w:val="both"/>
            </w:pPr>
          </w:p>
        </w:tc>
      </w:tr>
      <w:tr>
        <w:tc>
          <w:tcPr>
            <w:tcW w:type="dxa" w:w="716"/>
            <w:tcBorders>
              <w:top w:val="none" w:color="000000" w:sz="4"/>
              <w:left w:val="single" w:color="000000" w:sz="4"/>
              <w:bottom w:val="single" w:color="000000" w:sz="4"/>
              <w:right w:val="single" w:color="000000" w:sz="4"/>
            </w:tcBorders>
            <w:vAlign w:val="top"/>
          </w:tcPr>
          <w:p>
            <w:pPr>
              <w:ind w:firstLine="555"/>
              <w:jc w:val="both"/>
            </w:pPr>
          </w:p>
        </w:tc>
        <w:tc>
          <w:tcPr>
            <w:tcW w:type="dxa" w:w="2121"/>
            <w:tcBorders>
              <w:top w:val="none" w:color="000000" w:sz="4"/>
              <w:left w:val="single" w:color="000000" w:sz="4"/>
              <w:bottom w:val="single" w:color="000000" w:sz="4"/>
              <w:right w:val="single" w:color="000000" w:sz="4"/>
            </w:tcBorders>
            <w:vAlign w:val="top"/>
          </w:tcPr>
          <w:p>
            <w:pPr>
              <w:ind w:firstLine="555"/>
              <w:jc w:val="both"/>
            </w:pPr>
          </w:p>
        </w:tc>
        <w:tc>
          <w:tcPr>
            <w:tcW w:type="dxa" w:w="3389"/>
            <w:tcBorders>
              <w:top w:val="none" w:color="000000" w:sz="4"/>
              <w:left w:val="single" w:color="000000" w:sz="4"/>
              <w:bottom w:val="single" w:color="000000" w:sz="4"/>
              <w:right w:val="single" w:color="000000" w:sz="4"/>
            </w:tcBorders>
            <w:vAlign w:val="top"/>
          </w:tcPr>
          <w:p>
            <w:pPr>
              <w:ind w:firstLine="555"/>
              <w:jc w:val="both"/>
            </w:pPr>
          </w:p>
        </w:tc>
        <w:tc>
          <w:tcPr>
            <w:tcW w:type="dxa" w:w="2080"/>
            <w:tcBorders>
              <w:top w:val="none" w:color="000000" w:sz="4"/>
              <w:left w:val="single" w:color="000000" w:sz="4"/>
              <w:bottom w:val="single" w:color="000000" w:sz="4"/>
              <w:right w:val="single" w:color="000000" w:sz="4"/>
            </w:tcBorders>
            <w:vAlign w:val="top"/>
          </w:tcPr>
          <w:p>
            <w:pPr>
              <w:ind w:firstLine="555"/>
              <w:jc w:val="both"/>
            </w:pPr>
          </w:p>
        </w:tc>
      </w:tr>
    </w:tbl>
    <w:p>
      <w:pPr>
        <w:ind w:firstLine="555"/>
        <w:jc w:val="both"/>
      </w:pPr>
    </w:p>
    <w:p>
      <w:pPr>
        <w:ind w:firstLine="553"/>
        <w:jc w:val="both"/>
      </w:pPr>
    </w:p>
    <w:p>
      <w:pPr>
        <w:ind w:firstLine="553"/>
        <w:jc w:val="both"/>
      </w:pPr>
    </w:p>
    <w:p>
      <w:pPr>
        <w:ind w:firstLine="553"/>
        <w:jc w:val="both"/>
      </w:pPr>
    </w:p>
    <w:p>
      <w:pPr>
        <w:jc w:val="both"/>
      </w:pPr>
      <w:r>
        <w:rPr>
          <w:sz w:val="21"/>
        </w:rPr>
        <w:t>附件</w:t>
      </w:r>
      <w:r>
        <w:rPr>
          <w:sz w:val="21"/>
        </w:rPr>
        <w:t>3.保修承担方承诺函模版（模版）</w:t>
      </w:r>
    </w:p>
    <w:p>
      <w:pPr>
        <w:jc w:val="center"/>
      </w:pPr>
      <w:r>
        <w:rPr>
          <w:sz w:val="21"/>
        </w:rPr>
        <w:t>保修承诺函</w:t>
      </w:r>
    </w:p>
    <w:p>
      <w:pPr>
        <w:ind w:firstLine="420"/>
        <w:jc w:val="both"/>
      </w:pPr>
      <w:r>
        <w:rPr>
          <w:sz w:val="21"/>
        </w:rPr>
        <w:t>广州中医药大学：</w:t>
      </w:r>
    </w:p>
    <w:p>
      <w:pPr>
        <w:ind w:firstLine="420"/>
        <w:jc w:val="both"/>
      </w:pPr>
      <w:r>
        <w:rPr>
          <w:sz w:val="21"/>
        </w:rPr>
        <w:t>根据贵单位</w:t>
      </w:r>
      <w:r>
        <w:rPr>
          <w:sz w:val="21"/>
        </w:rPr>
        <w:t xml:space="preserve">                   </w:t>
      </w:r>
      <w:r>
        <w:rPr>
          <w:sz w:val="21"/>
        </w:rPr>
        <w:t>项目（招标编号：</w:t>
      </w:r>
      <w:r>
        <w:rPr>
          <w:sz w:val="21"/>
        </w:rPr>
        <w:t xml:space="preserve">                </w:t>
      </w:r>
      <w:r>
        <w:rPr>
          <w:sz w:val="21"/>
        </w:rPr>
        <w:t>）的招标文件及合同约定，由</w:t>
      </w:r>
      <w:r>
        <w:rPr>
          <w:sz w:val="21"/>
        </w:rPr>
        <w:t xml:space="preserve">              </w:t>
      </w:r>
      <w:r>
        <w:rPr>
          <w:sz w:val="21"/>
        </w:rPr>
        <w:t>公司、</w:t>
      </w:r>
      <w:r>
        <w:rPr>
          <w:sz w:val="21"/>
        </w:rPr>
        <w:t xml:space="preserve">             </w:t>
      </w:r>
      <w:r>
        <w:rPr>
          <w:sz w:val="21"/>
        </w:rPr>
        <w:t>公司对该项目设备的保修做出如下承诺：</w:t>
      </w:r>
    </w:p>
    <w:p>
      <w:pPr>
        <w:ind w:firstLine="420"/>
        <w:jc w:val="both"/>
      </w:pPr>
    </w:p>
    <w:tbl>
      <w:tblPr>
        <w:tblW w:w="0" w:type="auto"/>
        <w:tblBorders>
          <w:top w:val="none" w:color="000000" w:sz="4"/>
          <w:left w:val="none" w:color="000000" w:sz="4"/>
          <w:bottom w:val="none" w:color="000000" w:sz="4"/>
          <w:right w:val="none" w:color="000000" w:sz="4"/>
          <w:insideH w:val="none"/>
          <w:insideV w:val="none"/>
        </w:tblBorders>
      </w:tblPr>
      <w:tblGrid>
        <w:gridCol w:w="646"/>
        <w:gridCol w:w="2051"/>
        <w:gridCol w:w="1234"/>
        <w:gridCol w:w="1234"/>
        <w:gridCol w:w="3142"/>
      </w:tblGrid>
      <w:tr>
        <w:tc>
          <w:tcPr>
            <w:tcW w:type="dxa" w:w="646"/>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2051"/>
            <w:tcBorders>
              <w:top w:val="single" w:color="000000" w:sz="4"/>
              <w:left w:val="single" w:color="000000" w:sz="4"/>
              <w:bottom w:val="single" w:color="000000" w:sz="4"/>
              <w:right w:val="single" w:color="000000" w:sz="4"/>
            </w:tcBorders>
            <w:vAlign w:val="top"/>
          </w:tcPr>
          <w:p>
            <w:pPr>
              <w:jc w:val="both"/>
            </w:pPr>
            <w:r>
              <w:rPr>
                <w:sz w:val="21"/>
              </w:rPr>
              <w:t>设备或主要配件名称</w:t>
            </w:r>
          </w:p>
        </w:tc>
        <w:tc>
          <w:tcPr>
            <w:tcW w:type="dxa" w:w="1234"/>
            <w:tcBorders>
              <w:top w:val="single" w:color="000000" w:sz="4"/>
              <w:left w:val="single" w:color="000000" w:sz="4"/>
              <w:bottom w:val="single" w:color="000000" w:sz="4"/>
              <w:right w:val="single" w:color="000000" w:sz="4"/>
            </w:tcBorders>
            <w:vAlign w:val="top"/>
          </w:tcPr>
          <w:p>
            <w:pPr>
              <w:jc w:val="both"/>
            </w:pPr>
            <w:r>
              <w:rPr>
                <w:sz w:val="21"/>
              </w:rPr>
              <w:t>免费保修期</w:t>
            </w:r>
          </w:p>
        </w:tc>
        <w:tc>
          <w:tcPr>
            <w:tcW w:type="dxa" w:w="1234"/>
            <w:tcBorders>
              <w:top w:val="single" w:color="000000" w:sz="4"/>
              <w:left w:val="single" w:color="000000" w:sz="4"/>
              <w:bottom w:val="single" w:color="000000" w:sz="4"/>
              <w:right w:val="single" w:color="000000" w:sz="4"/>
            </w:tcBorders>
            <w:vAlign w:val="top"/>
          </w:tcPr>
          <w:p>
            <w:pPr>
              <w:jc w:val="both"/>
            </w:pPr>
            <w:r>
              <w:rPr>
                <w:sz w:val="21"/>
              </w:rPr>
              <w:t>市场价格</w:t>
            </w:r>
          </w:p>
        </w:tc>
        <w:tc>
          <w:tcPr>
            <w:tcW w:type="dxa" w:w="3142"/>
            <w:tcBorders>
              <w:top w:val="single" w:color="000000" w:sz="4"/>
              <w:left w:val="single" w:color="000000" w:sz="4"/>
              <w:bottom w:val="single" w:color="000000" w:sz="4"/>
              <w:right w:val="single" w:color="000000" w:sz="4"/>
            </w:tcBorders>
            <w:vAlign w:val="top"/>
          </w:tcPr>
          <w:p>
            <w:pPr>
              <w:jc w:val="both"/>
            </w:pPr>
            <w:r>
              <w:rPr>
                <w:sz w:val="21"/>
              </w:rPr>
              <w:t>售后网点及电话</w:t>
            </w:r>
          </w:p>
        </w:tc>
      </w:tr>
      <w:tr>
        <w:tc>
          <w:tcPr>
            <w:tcW w:type="dxa" w:w="646"/>
            <w:tcBorders>
              <w:top w:val="none" w:color="000000" w:sz="4"/>
              <w:left w:val="single" w:color="000000" w:sz="4"/>
              <w:bottom w:val="single" w:color="000000" w:sz="4"/>
              <w:right w:val="single" w:color="000000" w:sz="4"/>
            </w:tcBorders>
            <w:vAlign w:val="top"/>
          </w:tcPr>
          <w:p>
            <w:pPr>
              <w:ind w:firstLine="553"/>
              <w:jc w:val="both"/>
            </w:pPr>
          </w:p>
        </w:tc>
        <w:tc>
          <w:tcPr>
            <w:tcW w:type="dxa" w:w="2051"/>
            <w:tcBorders>
              <w:top w:val="none" w:color="000000" w:sz="4"/>
              <w:left w:val="single" w:color="000000" w:sz="4"/>
              <w:bottom w:val="single" w:color="000000" w:sz="4"/>
              <w:right w:val="single" w:color="000000" w:sz="4"/>
            </w:tcBorders>
            <w:vAlign w:val="top"/>
          </w:tcPr>
          <w:p>
            <w:pPr>
              <w:ind w:firstLine="553"/>
              <w:jc w:val="both"/>
            </w:pPr>
          </w:p>
        </w:tc>
        <w:tc>
          <w:tcPr>
            <w:tcW w:type="dxa" w:w="1234"/>
            <w:tcBorders>
              <w:top w:val="none" w:color="000000" w:sz="4"/>
              <w:left w:val="single" w:color="000000" w:sz="4"/>
              <w:bottom w:val="single" w:color="000000" w:sz="4"/>
              <w:right w:val="single" w:color="000000" w:sz="4"/>
            </w:tcBorders>
            <w:vAlign w:val="top"/>
          </w:tcPr>
          <w:p>
            <w:pPr>
              <w:ind w:firstLine="553"/>
              <w:jc w:val="both"/>
            </w:pPr>
          </w:p>
        </w:tc>
        <w:tc>
          <w:tcPr>
            <w:tcW w:type="dxa" w:w="1234"/>
            <w:tcBorders>
              <w:top w:val="none" w:color="000000" w:sz="4"/>
              <w:left w:val="single" w:color="000000" w:sz="4"/>
              <w:bottom w:val="single" w:color="000000" w:sz="4"/>
              <w:right w:val="single" w:color="000000" w:sz="4"/>
            </w:tcBorders>
            <w:vAlign w:val="top"/>
          </w:tcPr>
          <w:p>
            <w:pPr>
              <w:ind w:firstLine="553"/>
              <w:jc w:val="both"/>
            </w:pPr>
          </w:p>
        </w:tc>
        <w:tc>
          <w:tcPr>
            <w:tcW w:type="dxa" w:w="3142"/>
            <w:tcBorders>
              <w:top w:val="none" w:color="000000" w:sz="4"/>
              <w:left w:val="single" w:color="000000" w:sz="4"/>
              <w:bottom w:val="single" w:color="000000" w:sz="4"/>
              <w:right w:val="single" w:color="000000" w:sz="4"/>
            </w:tcBorders>
            <w:vAlign w:val="top"/>
          </w:tcPr>
          <w:p>
            <w:pPr>
              <w:ind w:firstLine="553"/>
              <w:jc w:val="both"/>
            </w:pPr>
          </w:p>
        </w:tc>
      </w:tr>
      <w:tr>
        <w:tc>
          <w:tcPr>
            <w:tcW w:type="dxa" w:w="646"/>
            <w:tcBorders>
              <w:top w:val="none" w:color="000000" w:sz="4"/>
              <w:left w:val="single" w:color="000000" w:sz="4"/>
              <w:bottom w:val="single" w:color="000000" w:sz="4"/>
              <w:right w:val="single" w:color="000000" w:sz="4"/>
            </w:tcBorders>
            <w:vAlign w:val="top"/>
          </w:tcPr>
          <w:p>
            <w:pPr>
              <w:ind w:firstLine="553"/>
              <w:jc w:val="both"/>
            </w:pPr>
          </w:p>
        </w:tc>
        <w:tc>
          <w:tcPr>
            <w:tcW w:type="dxa" w:w="2051"/>
            <w:tcBorders>
              <w:top w:val="none" w:color="000000" w:sz="4"/>
              <w:left w:val="single" w:color="000000" w:sz="4"/>
              <w:bottom w:val="single" w:color="000000" w:sz="4"/>
              <w:right w:val="single" w:color="000000" w:sz="4"/>
            </w:tcBorders>
            <w:vAlign w:val="top"/>
          </w:tcPr>
          <w:p>
            <w:pPr>
              <w:ind w:firstLine="553"/>
              <w:jc w:val="both"/>
            </w:pPr>
          </w:p>
        </w:tc>
        <w:tc>
          <w:tcPr>
            <w:tcW w:type="dxa" w:w="1234"/>
            <w:tcBorders>
              <w:top w:val="none" w:color="000000" w:sz="4"/>
              <w:left w:val="single" w:color="000000" w:sz="4"/>
              <w:bottom w:val="single" w:color="000000" w:sz="4"/>
              <w:right w:val="single" w:color="000000" w:sz="4"/>
            </w:tcBorders>
            <w:vAlign w:val="top"/>
          </w:tcPr>
          <w:p>
            <w:pPr>
              <w:ind w:firstLine="553"/>
              <w:jc w:val="both"/>
            </w:pPr>
          </w:p>
        </w:tc>
        <w:tc>
          <w:tcPr>
            <w:tcW w:type="dxa" w:w="1234"/>
            <w:tcBorders>
              <w:top w:val="none" w:color="000000" w:sz="4"/>
              <w:left w:val="single" w:color="000000" w:sz="4"/>
              <w:bottom w:val="single" w:color="000000" w:sz="4"/>
              <w:right w:val="single" w:color="000000" w:sz="4"/>
            </w:tcBorders>
            <w:vAlign w:val="top"/>
          </w:tcPr>
          <w:p>
            <w:pPr>
              <w:ind w:firstLine="553"/>
              <w:jc w:val="both"/>
            </w:pPr>
          </w:p>
        </w:tc>
        <w:tc>
          <w:tcPr>
            <w:tcW w:type="dxa" w:w="3142"/>
            <w:tcBorders>
              <w:top w:val="none" w:color="000000" w:sz="4"/>
              <w:left w:val="single" w:color="000000" w:sz="4"/>
              <w:bottom w:val="single" w:color="000000" w:sz="4"/>
              <w:right w:val="single" w:color="000000" w:sz="4"/>
            </w:tcBorders>
            <w:vAlign w:val="top"/>
          </w:tcPr>
          <w:p>
            <w:pPr>
              <w:ind w:firstLine="553"/>
              <w:jc w:val="both"/>
            </w:pPr>
          </w:p>
        </w:tc>
      </w:tr>
      <w:tr>
        <w:tc>
          <w:tcPr>
            <w:tcW w:type="dxa" w:w="646"/>
            <w:tcBorders>
              <w:top w:val="none" w:color="000000" w:sz="4"/>
              <w:left w:val="single" w:color="000000" w:sz="4"/>
              <w:bottom w:val="single" w:color="000000" w:sz="4"/>
              <w:right w:val="single" w:color="000000" w:sz="4"/>
            </w:tcBorders>
            <w:vAlign w:val="top"/>
          </w:tcPr>
          <w:p>
            <w:pPr>
              <w:ind w:firstLine="553"/>
              <w:jc w:val="both"/>
            </w:pPr>
          </w:p>
        </w:tc>
        <w:tc>
          <w:tcPr>
            <w:tcW w:type="dxa" w:w="2051"/>
            <w:tcBorders>
              <w:top w:val="none" w:color="000000" w:sz="4"/>
              <w:left w:val="single" w:color="000000" w:sz="4"/>
              <w:bottom w:val="single" w:color="000000" w:sz="4"/>
              <w:right w:val="single" w:color="000000" w:sz="4"/>
            </w:tcBorders>
            <w:vAlign w:val="top"/>
          </w:tcPr>
          <w:p>
            <w:pPr>
              <w:ind w:firstLine="553"/>
              <w:jc w:val="both"/>
            </w:pPr>
          </w:p>
        </w:tc>
        <w:tc>
          <w:tcPr>
            <w:tcW w:type="dxa" w:w="1234"/>
            <w:tcBorders>
              <w:top w:val="none" w:color="000000" w:sz="4"/>
              <w:left w:val="single" w:color="000000" w:sz="4"/>
              <w:bottom w:val="single" w:color="000000" w:sz="4"/>
              <w:right w:val="single" w:color="000000" w:sz="4"/>
            </w:tcBorders>
            <w:vAlign w:val="top"/>
          </w:tcPr>
          <w:p>
            <w:pPr>
              <w:ind w:firstLine="553"/>
              <w:jc w:val="both"/>
            </w:pPr>
          </w:p>
        </w:tc>
        <w:tc>
          <w:tcPr>
            <w:tcW w:type="dxa" w:w="1234"/>
            <w:tcBorders>
              <w:top w:val="none" w:color="000000" w:sz="4"/>
              <w:left w:val="single" w:color="000000" w:sz="4"/>
              <w:bottom w:val="single" w:color="000000" w:sz="4"/>
              <w:right w:val="single" w:color="000000" w:sz="4"/>
            </w:tcBorders>
            <w:vAlign w:val="top"/>
          </w:tcPr>
          <w:p>
            <w:pPr>
              <w:ind w:firstLine="553"/>
              <w:jc w:val="both"/>
            </w:pPr>
          </w:p>
        </w:tc>
        <w:tc>
          <w:tcPr>
            <w:tcW w:type="dxa" w:w="3142"/>
            <w:tcBorders>
              <w:top w:val="none" w:color="000000" w:sz="4"/>
              <w:left w:val="single" w:color="000000" w:sz="4"/>
              <w:bottom w:val="single" w:color="000000" w:sz="4"/>
              <w:right w:val="single" w:color="000000" w:sz="4"/>
            </w:tcBorders>
            <w:vAlign w:val="top"/>
          </w:tcPr>
          <w:p>
            <w:pPr>
              <w:ind w:firstLine="553"/>
              <w:jc w:val="both"/>
            </w:pPr>
          </w:p>
        </w:tc>
      </w:tr>
    </w:tbl>
    <w:p>
      <w:pPr>
        <w:ind w:firstLine="553"/>
        <w:jc w:val="both"/>
      </w:pPr>
    </w:p>
    <w:p>
      <w:pPr>
        <w:ind w:firstLine="553"/>
        <w:jc w:val="both"/>
      </w:pPr>
      <w:r>
        <w:rPr>
          <w:sz w:val="21"/>
        </w:rPr>
        <w:t xml:space="preserve">                        </w:t>
      </w:r>
      <w:r>
        <w:rPr>
          <w:sz w:val="21"/>
        </w:rPr>
        <w:t>保修承担方：（盖章）</w:t>
      </w:r>
    </w:p>
    <w:p>
      <w:pPr>
        <w:ind w:firstLine="553"/>
        <w:jc w:val="both"/>
      </w:pPr>
      <w:r>
        <w:rPr>
          <w:sz w:val="21"/>
        </w:rPr>
        <w:t xml:space="preserve">                        </w:t>
      </w:r>
      <w:r>
        <w:rPr>
          <w:sz w:val="21"/>
        </w:rPr>
        <w:t>乙</w:t>
      </w:r>
      <w:r>
        <w:rPr>
          <w:sz w:val="21"/>
        </w:rPr>
        <w:t xml:space="preserve"> </w:t>
      </w:r>
      <w:r>
        <w:rPr>
          <w:sz w:val="21"/>
        </w:rPr>
        <w:t>方：（盖章）</w:t>
      </w:r>
    </w:p>
    <w:p>
      <w:pPr>
        <w:ind w:firstLine="553"/>
        <w:jc w:val="both"/>
      </w:pPr>
      <w:r>
        <w:rPr>
          <w:sz w:val="21"/>
        </w:rPr>
        <w:t xml:space="preserve">                        </w:t>
      </w:r>
      <w:r>
        <w:rPr>
          <w:sz w:val="21"/>
        </w:rPr>
        <w:t>日</w:t>
      </w:r>
      <w:r>
        <w:rPr>
          <w:sz w:val="21"/>
        </w:rPr>
        <w:t xml:space="preserve"> </w:t>
      </w:r>
      <w:r>
        <w:rPr>
          <w:sz w:val="21"/>
        </w:rPr>
        <w:t>期：</w:t>
      </w:r>
    </w:p>
    <w:p>
      <w:pPr>
        <w:ind w:firstLine="553"/>
        <w:jc w:val="both"/>
      </w:pPr>
      <w:r>
        <w:rPr>
          <w:sz w:val="21"/>
        </w:rPr>
        <w:t xml:space="preserve">                        </w:t>
      </w:r>
    </w:p>
    <w:p>
      <w:pPr>
        <w:jc w:val="both"/>
      </w:pPr>
      <w:r>
        <w:rPr>
          <w:sz w:val="21"/>
        </w:rPr>
        <w:t xml:space="preserve">             </w:t>
      </w:r>
    </w:p>
    <w:p>
      <w:pPr>
        <w:jc w:val="both"/>
      </w:pPr>
    </w:p>
    <w:p>
      <w:pPr>
        <w:jc w:val="both"/>
      </w:pP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440001-2023-00782</w:t>
      </w:r>
    </w:p>
    <w:p>
      <w:pPr>
        <w:jc w:val="center"/>
      </w:pPr>
      <w:r>
        <w:rPr>
          <w:b/>
          <w:sz w:val="24"/>
        </w:rPr>
        <w:t>采购项目编号：</w:t>
      </w:r>
      <w:r>
        <w:rPr>
          <w:b/>
          <w:sz w:val="24"/>
        </w:rPr>
        <w:t>GZGK22P318A0882Z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体育教学实验室设备采购(二次)</w:t>
      </w:r>
      <w:r>
        <w:rPr>
          <w:u w:val="single"/>
        </w:rPr>
        <w:t>”</w:t>
      </w:r>
      <w:r>
        <w:rPr/>
        <w:t>项目的招标[采购项目编号为：</w:t>
      </w:r>
      <w:r>
        <w:rPr>
          <w:u w:val="single"/>
        </w:rPr>
        <w:t>GZGK22P318A0882Z</w:t>
      </w:r>
      <w:r>
        <w:rPr/>
        <w:t>]，我方愿参与投标。</w:t>
      </w:r>
    </w:p>
    <w:p>
      <w:pPr>
        <w:ind w:firstLine="480"/>
      </w:pPr>
      <w:r>
        <w:rPr/>
        <w:t>我方确认收到贵方提供的</w:t>
      </w:r>
      <w:r>
        <w:rPr>
          <w:u w:val="single"/>
        </w:rPr>
        <w:t>“</w:t>
      </w:r>
      <w:r>
        <w:rPr>
          <w:u w:val="single"/>
        </w:rPr>
        <w:t>体育教学实验室设备采购(二次)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体育教学实验室设备采购(二次)</w:t>
      </w:r>
      <w:r>
        <w:rPr/>
        <w:t>”项目采购[采购项目编号为</w:t>
      </w:r>
      <w:r>
        <w:rPr/>
        <w:t>GZGK22P318A0882Z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广州中医药大学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体育教学实验室设备采购(二次)</w:t>
      </w:r>
      <w:r>
        <w:rPr/>
        <w:t>招标中获中标（采购项目编号：</w:t>
      </w:r>
      <w:r>
        <w:rPr/>
        <w:t>GZGK22P318A0882Z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体育教学实验室设备采购(二次)</w:t>
      </w:r>
      <w:r>
        <w:rPr/>
        <w:t>”项目（采购项目编号：</w:t>
      </w:r>
      <w:r>
        <w:rPr/>
        <w:t>GZGK22P318A0882Z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