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440101-2023-21948</w:t>
      </w:r>
    </w:p>
    <w:p>
      <w:pPr>
        <w:jc w:val="center"/>
      </w:pPr>
      <w:r>
        <w:rPr>
          <w:b/>
          <w:sz w:val="24"/>
        </w:rPr>
        <w:t>采购项目编号：</w:t>
      </w:r>
      <w:r>
        <w:rPr>
          <w:b/>
          <w:sz w:val="24"/>
        </w:rPr>
        <w:t>GZGK23D232C0692Z</w:t>
      </w:r>
    </w:p>
    <w:p>
      <w:pPr>
        <w:jc w:val="center"/>
      </w:pPr>
      <w:r>
        <w:rPr>
          <w:b/>
          <w:sz w:val="24"/>
        </w:rPr>
        <w:t>项目名称：</w:t>
      </w:r>
      <w:r>
        <w:rPr>
          <w:b/>
          <w:sz w:val="24"/>
        </w:rPr>
        <w:t>“YI线三站七室”党建阵地建设项目(二次)</w:t>
      </w:r>
    </w:p>
    <w:p>
      <w:pPr>
        <w:jc w:val="center"/>
      </w:pPr>
      <w:r>
        <w:rPr>
          <w:b/>
          <w:sz w:val="24"/>
        </w:rPr>
        <w:t>采购人：</w:t>
      </w:r>
      <w:r>
        <w:rPr>
          <w:b/>
          <w:sz w:val="24"/>
        </w:rPr>
        <w:t>广州铁路职业技术学院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广州铁路职业技术学院</w:t>
      </w:r>
      <w:r>
        <w:rPr/>
        <w:t>的委托，采用</w:t>
      </w:r>
      <w:r>
        <w:rPr/>
        <w:t>公开招标</w:t>
      </w:r>
      <w:r>
        <w:rPr/>
        <w:t>方式组织采购</w:t>
      </w:r>
      <w:r>
        <w:rPr/>
        <w:t>“YI线三站七室”党建阵地建设项目(二次)</w:t>
      </w:r>
      <w:r>
        <w:rPr/>
        <w:t>。欢迎符合资格条件的国内供应商参加投标。</w:t>
      </w:r>
    </w:p>
    <w:p>
      <w:r>
        <w:rPr>
          <w:b/>
          <w:sz w:val="28"/>
        </w:rPr>
        <w:t>一.项目概述</w:t>
      </w:r>
    </w:p>
    <w:p>
      <w:r>
        <w:rPr>
          <w:b/>
          <w:sz w:val="24"/>
        </w:rPr>
        <w:t>1.名称与编号</w:t>
      </w:r>
    </w:p>
    <w:p>
      <w:pPr>
        <w:ind w:firstLine="480"/>
      </w:pPr>
      <w:r>
        <w:rPr/>
        <w:t>项目名称：</w:t>
      </w:r>
      <w:r>
        <w:rPr/>
        <w:t>“YI线三站七室”党建阵地建设项目(二次)</w:t>
      </w:r>
    </w:p>
    <w:p>
      <w:pPr>
        <w:ind w:firstLine="480"/>
      </w:pPr>
      <w:r>
        <w:rPr/>
        <w:t>采购计划编号：</w:t>
      </w:r>
      <w:r>
        <w:rPr/>
        <w:t>440101-2023-21948</w:t>
      </w:r>
    </w:p>
    <w:p>
      <w:pPr>
        <w:ind w:firstLine="480"/>
      </w:pPr>
      <w:r>
        <w:rPr/>
        <w:t>采购项目编号：</w:t>
      </w:r>
      <w:r>
        <w:rPr/>
        <w:t>GZGK23D232C0692Z</w:t>
      </w:r>
    </w:p>
    <w:p>
      <w:pPr>
        <w:ind w:firstLine="480"/>
      </w:pPr>
      <w:r>
        <w:rPr/>
        <w:t>采购方式：</w:t>
      </w:r>
      <w:r>
        <w:rPr/>
        <w:t>公开招标</w:t>
      </w:r>
    </w:p>
    <w:p>
      <w:pPr>
        <w:ind w:firstLine="480"/>
      </w:pPr>
      <w:r>
        <w:rPr/>
        <w:t>预算金额：</w:t>
      </w:r>
      <w:r>
        <w:rPr/>
        <w:t>2,485,000.00</w:t>
      </w:r>
      <w:r>
        <w:rPr/>
        <w:t>元</w:t>
      </w:r>
    </w:p>
    <w:p>
      <w:r>
        <w:rPr>
          <w:b/>
          <w:sz w:val="24"/>
        </w:rPr>
        <w:t>2.项目内容及需求情况（采购项目技术规格、参数及要求）</w:t>
      </w:r>
    </w:p>
    <w:p>
      <w:pPr>
        <w:ind w:firstLine="480"/>
      </w:pPr>
    </w:p>
    <w:p/>
    <w:p>
      <w:r>
        <w:rPr/>
        <w:t>采购包1(“YI线三站七室”党建阵地建设项目):</w:t>
      </w:r>
    </w:p>
    <w:p>
      <w:r>
        <w:rPr/>
        <w:t>采购包预算金额：2,485,000.00元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其他展览服务</w:t>
            </w:r>
          </w:p>
        </w:tc>
        <w:tc>
          <w:tcPr>
            <w:tcW w:type="dxa" w:w="2136"/>
          </w:tcPr>
          <w:p>
            <w:r>
              <w:rPr/>
              <w:t>“YI线三站七室”党建阵地建设项目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采购包1（“YI线三站七室”党建阵地建设项目）：</w:t>
      </w:r>
      <w:r>
        <w:rPr/>
        <w:t>要求合同分包给中小企业，且分包中小企业比例达到40%。本项目预留部分采购项目预算专门面向中小企业采购（其中预留给小微企业的份额不低于合同金额的70%）。对于预留份额，提供的服务由符合政策要求的中小微企业承接。预留份额通过以下措施进行,投标人可选择以下其中一种方式参与： 1.投标人不属于中小企业的，必须将本项目适宜分包内容（分包部分不低于合同金额的40%）分包给一家或者多家具备实施能力的中小企业（其中，分包给小微企业的部分不低于合同金额的28%），【依据符合上述比例的分包意向协议书、分包意向协议书上述比例全部服务的承接方的《中小企业声明函》或由省级以上监狱管理局、戒毒管理局(含新疆生产建设兵团)出具的分包意向协议书上述比例的承接方属于监狱企业的证明文件或分包意向协议书上述比例的承接方的《残疾人福利性单位声明函》】。 2.投标人属于中型企业的，必须将本项目适宜分包的内容分包给小微企业，分包给小微企业的部分不低于合同金额的28%。【依据符合上述比例的分包意向协议书、分包意向协议书上述比例全部服务的承接方的《中小企业声明函》或由省级以上监狱管理局、戒毒管理局(含新疆生产建设兵团)出具的分包意向协议书上述比例的承接方属于监狱企业的证明文件或分包意向协议书上述比例的承接方的《残疾人福利性单位声明函》】。 3.投标人属于小微企业的，是否采取分包不作强制要求。【依据《中小企业声明函》或由省级以上监狱管理局、戒毒管理局(含新疆生产建设兵团)出具的承接方属于监狱企业的证明文件或承接方的《残疾人福利性单位声明函》】。如采取合同分包，则只能分包给小微企业。【依据分包意向协议书及各方的《中小企业声明函》或由省级以上监狱管理局、戒毒管理局(含新疆生产建设兵团)出具的属于监狱企业的证明文件或《残疾人福利性单位声明函》】。 注：本项目的中小企业划分标准所属行业为：租赁和商务服务业。</w:t>
      </w:r>
    </w:p>
    <w:p/>
    <w:p>
      <w:r>
        <w:rPr>
          <w:b/>
          <w:sz w:val="24"/>
        </w:rPr>
        <w:t>3.本项目特定的资格要求：</w:t>
      </w:r>
    </w:p>
    <w:p>
      <w:pPr>
        <w:ind w:firstLine="480"/>
      </w:pPr>
    </w:p>
    <w:p/>
    <w:p>
      <w:r>
        <w:rPr/>
        <w:t>采购包1（“YI线三站七室”党建阵地建设项目）：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广州铁路职业技术学院</w:t>
      </w:r>
    </w:p>
    <w:p>
      <w:pPr>
        <w:ind w:firstLine="480"/>
      </w:pPr>
      <w:r>
        <w:rPr/>
        <w:t>地址：</w:t>
      </w:r>
      <w:r>
        <w:rPr/>
        <w:t>广州市增城区科德大道198号</w:t>
      </w:r>
    </w:p>
    <w:p>
      <w:pPr>
        <w:ind w:firstLine="480"/>
      </w:pPr>
      <w:r>
        <w:rPr/>
        <w:t>联系方式：</w:t>
      </w:r>
      <w:r>
        <w:rPr/>
        <w:t>020-39709361</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020-37814404、020-87684402</w:t>
      </w:r>
    </w:p>
    <w:p>
      <w:r>
        <w:rPr>
          <w:b/>
          <w:sz w:val="24"/>
        </w:rPr>
        <w:t>3.项目联系方式</w:t>
      </w:r>
    </w:p>
    <w:p>
      <w:pPr>
        <w:ind w:firstLine="480"/>
      </w:pPr>
      <w:r>
        <w:rPr/>
        <w:t>项目联系人：</w:t>
      </w:r>
      <w:r>
        <w:rPr/>
        <w:t>吕永珊、吴秋娜</w:t>
      </w:r>
    </w:p>
    <w:p>
      <w:pPr>
        <w:ind w:firstLine="480"/>
      </w:pPr>
      <w:r>
        <w:rPr/>
        <w:t>电话：</w:t>
      </w:r>
      <w:r>
        <w:rPr/>
        <w:t>020-37814404、020-87684402</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GZGK23D232C0692Z</w:t>
      </w:r>
    </w:p>
    <w:p>
      <w:pPr>
        <w:jc w:val="both"/>
      </w:pPr>
      <w:r>
        <w:rPr>
          <w:b/>
          <w:sz w:val="21"/>
        </w:rPr>
        <w:t>（二）</w:t>
      </w:r>
      <w:r>
        <w:rPr>
          <w:b/>
          <w:sz w:val="21"/>
        </w:rPr>
        <w:t>项目名称：</w:t>
      </w:r>
      <w:r>
        <w:rPr>
          <w:sz w:val="21"/>
        </w:rPr>
        <w:t>“YI线三站七室”党建阵地建设项目（二次）</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“★”的条款未响应或不满足，将按无效投标处理。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投标人应对采购需求中的服务指标在响应详细内容中列出明确承诺。如果投标人只注明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4、</w:t>
      </w:r>
      <w:r>
        <w:rPr>
          <w:sz w:val="21"/>
        </w:rPr>
        <w:t>投标人没有在投标文件中注明偏离（文字说明或在响应表注明）的条款视为被投标人完全接受。</w:t>
      </w:r>
    </w:p>
    <w:p>
      <w:pPr>
        <w:jc w:val="both"/>
      </w:pPr>
      <w:r>
        <w:rPr>
          <w:sz w:val="21"/>
        </w:rPr>
        <w:t>5、</w:t>
      </w:r>
      <w:r>
        <w:rPr>
          <w:sz w:val="21"/>
        </w:rPr>
        <w:t>投标人应保证，采购人在中华人民共和国使用该服务或服务的任何一部分时，免受第三方提出的侵犯其专利权、商标权、著作权或其它知识产权的起诉。</w:t>
      </w:r>
    </w:p>
    <w:p>
      <w:pPr>
        <w:jc w:val="both"/>
      </w:pPr>
      <w:r>
        <w:rPr>
          <w:sz w:val="21"/>
        </w:rPr>
        <w:t>6、</w:t>
      </w:r>
      <w:r>
        <w:rPr>
          <w:sz w:val="21"/>
        </w:rPr>
        <w:t>小型和微型企业、监狱企业和残疾人福利性单位必须按照招标文件第三章内容提供相应的资料。</w:t>
      </w:r>
    </w:p>
    <w:p>
      <w:pPr>
        <w:jc w:val="both"/>
      </w:pPr>
      <w:r>
        <w:rPr>
          <w:sz w:val="21"/>
        </w:rPr>
        <w:t>7、</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盘前往开标现场进行签到、解密。</w:t>
      </w:r>
    </w:p>
    <w:p>
      <w:pPr>
        <w:jc w:val="both"/>
      </w:pPr>
      <w:r>
        <w:rPr>
          <w:sz w:val="21"/>
        </w:rPr>
        <w:t>2、</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3、</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投标报价包括：完成本项目的服务成本、管理费、人员劳务费、供应商的利润、各项税费及合同实施过程中一切可见及不可预见费用。投标人报价中漏报、少报的费用，视为此项费用已隐含在投标报价中，投标人中标后不得再向采购人收取任何费用。</w:t>
      </w:r>
    </w:p>
    <w:p>
      <w:pPr>
        <w:jc w:val="both"/>
      </w:pPr>
      <w:r>
        <w:rPr>
          <w:b/>
          <w:sz w:val="21"/>
        </w:rPr>
        <w:t>（六）</w:t>
      </w:r>
      <w:r>
        <w:rPr>
          <w:b/>
          <w:sz w:val="21"/>
        </w:rPr>
        <w:t>实现的目标</w:t>
      </w:r>
    </w:p>
    <w:p>
      <w:pPr>
        <w:ind w:firstLine="420"/>
        <w:jc w:val="both"/>
      </w:pPr>
      <w:r>
        <w:rPr>
          <w:sz w:val="21"/>
        </w:rPr>
        <w:t>本项目拟通过公开招标的方式，选取一家中标供应商，为</w:t>
      </w:r>
      <w:r>
        <w:rPr>
          <w:sz w:val="21"/>
        </w:rPr>
        <w:t>广州铁路职业技术学院</w:t>
      </w:r>
      <w:r>
        <w:rPr>
          <w:sz w:val="21"/>
        </w:rPr>
        <w:t>“</w:t>
      </w:r>
      <w:r>
        <w:rPr>
          <w:sz w:val="21"/>
        </w:rPr>
        <w:t>YI</w:t>
      </w:r>
      <w:r>
        <w:rPr>
          <w:sz w:val="21"/>
        </w:rPr>
        <w:t>线三站七室”党建阵地提供布展策划及相关服务。实现强化理论武装，深化思想认识，坚持社会主义办学方向，落实立德树人根本任务，全面推进新时代采购人党建工作，不断提升采购人党建工作整体水平的目标。</w:t>
      </w:r>
    </w:p>
    <w:p>
      <w:pPr>
        <w:jc w:val="both"/>
      </w:pPr>
      <w:r>
        <w:rPr>
          <w:b/>
          <w:sz w:val="21"/>
        </w:rPr>
        <w:t>（七）</w:t>
      </w:r>
      <w:r>
        <w:rPr>
          <w:b/>
          <w:sz w:val="21"/>
        </w:rPr>
        <w:t>需执行国家相关标准、行业标准、地方标准或者其他标准、规范</w:t>
      </w:r>
    </w:p>
    <w:p>
      <w:pPr>
        <w:jc w:val="both"/>
      </w:pPr>
      <w:r>
        <w:rPr>
          <w:b/>
          <w:sz w:val="21"/>
        </w:rPr>
        <w:t>（八）</w:t>
      </w:r>
      <w:r>
        <w:rPr>
          <w:b/>
          <w:sz w:val="21"/>
        </w:rPr>
        <w:t>项目概述</w:t>
      </w:r>
    </w:p>
    <w:p>
      <w:pPr>
        <w:ind w:firstLine="420"/>
        <w:jc w:val="both"/>
      </w:pPr>
      <w:r>
        <w:rPr>
          <w:sz w:val="21"/>
        </w:rPr>
        <w:t>1.项目背景</w:t>
      </w:r>
    </w:p>
    <w:p>
      <w:pPr>
        <w:ind w:firstLine="420"/>
        <w:jc w:val="both"/>
      </w:pPr>
      <w:r>
        <w:rPr>
          <w:sz w:val="21"/>
        </w:rPr>
        <w:t>教育事关国家和民族未来，学校承担着培养社会主义建设者和接班人的重要任务。关于办学育人，国家总书记强调要坚持立德树人，把培育和践行社会主义核心价值观融入教书育人全过程，牢牢把握学校意识形态工作领导权，坚持和完善党委领导下的校长负责制。众所周知，学校承担着特殊的使命和责任，因此强化理论武装，深化思想认识，坚持社会主义办学方向，落实立德树人根本任务，全面推进新时代学校党建工作，不断提升学校党建工作整体水平十分重要。</w:t>
      </w:r>
    </w:p>
    <w:p>
      <w:pPr>
        <w:ind w:firstLine="420"/>
        <w:jc w:val="both"/>
      </w:pPr>
      <w:r>
        <w:rPr>
          <w:sz w:val="21"/>
        </w:rPr>
        <w:t>2</w:t>
      </w:r>
      <w:r>
        <w:rPr>
          <w:sz w:val="21"/>
        </w:rPr>
        <w:t>.</w:t>
      </w:r>
      <w:r>
        <w:rPr>
          <w:sz w:val="21"/>
        </w:rPr>
        <w:t>本次招标范围为：广州铁路职业技术学院</w:t>
      </w:r>
      <w:r>
        <w:rPr>
          <w:sz w:val="21"/>
        </w:rPr>
        <w:t>“</w:t>
      </w:r>
      <w:r>
        <w:rPr>
          <w:sz w:val="21"/>
        </w:rPr>
        <w:t>YI</w:t>
      </w:r>
      <w:r>
        <w:rPr>
          <w:sz w:val="21"/>
        </w:rPr>
        <w:t>线三站七室”党建阵地布展策划及相关服务。</w:t>
      </w:r>
    </w:p>
    <w:p>
      <w:pPr>
        <w:ind w:firstLine="420"/>
        <w:jc w:val="both"/>
      </w:pPr>
      <w:r>
        <w:rPr>
          <w:sz w:val="21"/>
        </w:rPr>
        <w:t>3</w:t>
      </w:r>
      <w:r>
        <w:rPr>
          <w:sz w:val="21"/>
        </w:rPr>
        <w:t>.</w:t>
      </w:r>
      <w:r>
        <w:rPr>
          <w:sz w:val="21"/>
        </w:rPr>
        <w:t>项目面积：项目总面积约</w:t>
      </w:r>
      <w:r>
        <w:rPr>
          <w:sz w:val="21"/>
        </w:rPr>
        <w:t>1829.2平方米。</w:t>
      </w:r>
    </w:p>
    <w:p>
      <w:pPr>
        <w:ind w:firstLine="420"/>
        <w:jc w:val="both"/>
      </w:pPr>
      <w:r>
        <w:rPr>
          <w:sz w:val="21"/>
        </w:rPr>
        <w:t>4</w:t>
      </w:r>
      <w:r>
        <w:rPr>
          <w:sz w:val="21"/>
        </w:rPr>
        <w:t>.</w:t>
      </w:r>
      <w:r>
        <w:rPr>
          <w:sz w:val="21"/>
        </w:rPr>
        <w:t>服务内容：</w:t>
      </w:r>
      <w:r>
        <w:rPr>
          <w:sz w:val="21"/>
        </w:rPr>
        <w:t>本项目服务范围主要为广州铁路职业技术学院</w:t>
      </w:r>
      <w:r>
        <w:rPr>
          <w:sz w:val="21"/>
        </w:rPr>
        <w:t>“</w:t>
      </w:r>
      <w:r>
        <w:rPr>
          <w:sz w:val="21"/>
        </w:rPr>
        <w:t>YI</w:t>
      </w:r>
      <w:r>
        <w:rPr>
          <w:sz w:val="21"/>
        </w:rPr>
        <w:t>线三站七室”党建阵地布展策划及相关服务，包括但不限于走访调研、史料收集、内容策划、大纲编写；展示方案设计；基础搭建，陈列布展实施、场景的创作及制作安装；多媒体展项内容定制化、数字内容与互动程序等制作。</w:t>
      </w:r>
    </w:p>
    <w:p/>
    <w:p>
      <w:pPr>
        <w:ind w:firstLine="480"/>
      </w:pPr>
    </w:p>
    <w:p/>
    <w:p>
      <w:r>
        <w:rPr/>
        <w:t>采购包1（“YI线三站七室”党建阵地建设项目）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自合同签订之日起120日内(包括但不限于大纲编写、设计、布展、系统调试、竣工验收等)。</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1期：支付比例100%,本项目分两期付款： 1、采购人与中标供应商合同签订生效且采购人收到中标供应商提供的正式发票后5个工作日内，采购人向中标供应商支付合同金额的80%作为预付款； 2、项目完成并验收合格后，采购人在收到中标供应商提供的正式发票后5个工作日内支付合同金额的20%。 注：1、每笔款项支付前，中标人须提交与每笔款项金额相等的正式发票。 2、支付方式：采用支票、银行汇付（含电汇）等形式。</w:t>
            </w:r>
          </w:p>
        </w:tc>
      </w:tr>
      <w:tr>
        <w:tc>
          <w:tcPr>
            <w:tcW w:type="dxa" w:w="4153"/>
          </w:tcPr>
          <w:p>
            <w:r>
              <w:rPr/>
              <w:t>验收要求</w:t>
            </w:r>
          </w:p>
        </w:tc>
        <w:tc>
          <w:tcPr>
            <w:tcW w:type="dxa" w:w="4153"/>
          </w:tcPr>
          <w:p/>
          <w:p/>
          <w:p/>
          <w:p>
            <w:r>
              <w:rPr/>
              <w:t>1期：（一）验收时间：中标供应商在项目完成后，认为达到项目要求的，应向采购人提出书面验收申请，采购人无异议的，7个工作日内组织验收，验收应在采购人与中标供应商双方共同参加下进行。 （二）验收内容：本服务项目的采购需求内容已全部完成。 （三）验收按照国家或行业有关的规定、规范进行（若无有关的规定、规范可双方协商验收）。 （四）验收时如发现服务内容不符合项目需求规定之情形，采购人应作出详尽的现场记录，并交由中标供应商签字确认，或由采购人与中标供应商双方签署备忘录。此现场记录或备忘录可用作补充、缺失的有效证据。由此产生的有关费用由中标供应商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其他展览服务</w:t>
            </w:r>
          </w:p>
        </w:tc>
        <w:tc>
          <w:tcPr>
            <w:tcW w:type="dxa" w:w="933"/>
          </w:tcPr>
          <w:p>
            <w:pPr>
              <w:jc w:val="left"/>
            </w:pPr>
            <w:r>
              <w:rPr/>
              <w:t>“YI线三站七室”党建阵地建设项目</w:t>
            </w:r>
          </w:p>
        </w:tc>
        <w:tc>
          <w:tcPr>
            <w:tcW w:type="dxa" w:w="933"/>
          </w:tcPr>
          <w:p>
            <w:pPr>
              <w:jc w:val="left"/>
            </w:pPr>
            <w:r>
              <w:rPr/>
              <w:t>项</w:t>
            </w:r>
          </w:p>
        </w:tc>
        <w:tc>
          <w:tcPr>
            <w:tcW w:type="dxa" w:w="933"/>
          </w:tcPr>
          <w:p>
            <w:pPr>
              <w:jc w:val="right"/>
            </w:pPr>
            <w:r>
              <w:rPr/>
              <w:t>1.00</w:t>
            </w:r>
          </w:p>
        </w:tc>
        <w:tc>
          <w:tcPr>
            <w:tcW w:type="dxa" w:w="933"/>
          </w:tcPr>
          <w:p>
            <w:pPr>
              <w:jc w:val="right"/>
            </w:pPr>
            <w:r>
              <w:rPr/>
              <w:t>2,485,000.00</w:t>
            </w:r>
          </w:p>
        </w:tc>
        <w:tc>
          <w:tcPr>
            <w:tcW w:type="dxa" w:w="933"/>
          </w:tcPr>
          <w:p>
            <w:pPr>
              <w:jc w:val="right"/>
            </w:pPr>
            <w:r>
              <w:rPr/>
              <w:t>2,485,000.00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“YI线三站七室”党建阵地建设项目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一、项目</w:t>
            </w:r>
            <w:r>
              <w:rPr>
                <w:b/>
                <w:sz w:val="21"/>
              </w:rPr>
              <w:t>指导思想及原则</w:t>
            </w:r>
          </w:p>
          <w:p>
            <w:pPr>
              <w:ind w:firstLine="420"/>
              <w:jc w:val="both"/>
            </w:pPr>
            <w:r>
              <w:rPr>
                <w:sz w:val="21"/>
              </w:rPr>
              <w:t>①</w:t>
            </w:r>
            <w:r>
              <w:rPr>
                <w:sz w:val="21"/>
              </w:rPr>
              <w:t>应注重</w:t>
            </w:r>
            <w:r>
              <w:rPr>
                <w:sz w:val="21"/>
              </w:rPr>
              <w:t>主展区及周边区域</w:t>
            </w:r>
            <w:r>
              <w:rPr>
                <w:sz w:val="21"/>
              </w:rPr>
              <w:t>的一致性，</w:t>
            </w:r>
            <w:r>
              <w:rPr>
                <w:sz w:val="21"/>
              </w:rPr>
              <w:t>形成浓厚校园氛围的</w:t>
            </w:r>
            <w:r>
              <w:rPr>
                <w:sz w:val="21"/>
              </w:rPr>
              <w:t>有机结合；</w:t>
            </w:r>
          </w:p>
          <w:p>
            <w:pPr>
              <w:ind w:firstLine="420"/>
              <w:jc w:val="both"/>
            </w:pPr>
            <w:r>
              <w:rPr>
                <w:sz w:val="21"/>
              </w:rPr>
              <w:t>②</w:t>
            </w:r>
            <w:r>
              <w:rPr>
                <w:sz w:val="21"/>
              </w:rPr>
              <w:t>功能合理性与体验的趣味性结合起来，形成合理性的功能结构空间逻辑与感性的建筑形态、环境气氛有机融汇；</w:t>
            </w:r>
          </w:p>
          <w:p>
            <w:pPr>
              <w:ind w:firstLine="420"/>
              <w:jc w:val="both"/>
            </w:pPr>
            <w:r>
              <w:rPr>
                <w:sz w:val="21"/>
              </w:rPr>
              <w:t>③</w:t>
            </w:r>
            <w:r>
              <w:rPr>
                <w:sz w:val="21"/>
              </w:rPr>
              <w:t>遵循简朴庄重、经济适用的原则，力求节约，讲求效益，</w:t>
            </w:r>
            <w:r>
              <w:rPr>
                <w:sz w:val="21"/>
              </w:rPr>
              <w:t xml:space="preserve"> </w:t>
            </w:r>
            <w:r>
              <w:rPr>
                <w:sz w:val="21"/>
              </w:rPr>
              <w:t>兼顾美观和地方特色；</w:t>
            </w:r>
          </w:p>
          <w:p>
            <w:pPr>
              <w:ind w:firstLine="420"/>
              <w:jc w:val="both"/>
            </w:pPr>
            <w:r>
              <w:rPr>
                <w:sz w:val="21"/>
              </w:rPr>
              <w:t>④</w:t>
            </w:r>
            <w:r>
              <w:rPr>
                <w:sz w:val="21"/>
              </w:rPr>
              <w:t>平面布置需有利于集散、确保安全，符合建筑设计防火规范要求；</w:t>
            </w:r>
          </w:p>
          <w:p>
            <w:pPr>
              <w:ind w:firstLine="420"/>
              <w:jc w:val="both"/>
            </w:pPr>
            <w:r>
              <w:rPr>
                <w:sz w:val="21"/>
              </w:rPr>
              <w:t>⑤</w:t>
            </w:r>
            <w:r>
              <w:rPr>
                <w:sz w:val="21"/>
              </w:rPr>
              <w:t>严格控制布展材料的质量，达到国家材料环保标准；</w:t>
            </w:r>
          </w:p>
          <w:p>
            <w:pPr>
              <w:ind w:firstLine="420"/>
              <w:jc w:val="both"/>
            </w:pPr>
            <w:r>
              <w:rPr>
                <w:sz w:val="21"/>
              </w:rPr>
              <w:t>⑥</w:t>
            </w:r>
            <w:r>
              <w:rPr>
                <w:sz w:val="21"/>
              </w:rPr>
              <w:t>以舒适性、健康性、生态性、安全性和经济性为出发点，</w:t>
            </w:r>
            <w:r>
              <w:rPr>
                <w:sz w:val="21"/>
              </w:rPr>
              <w:t xml:space="preserve"> </w:t>
            </w:r>
            <w:r>
              <w:rPr>
                <w:sz w:val="21"/>
              </w:rPr>
              <w:t>创造出一个布局合理、功能齐备、交通便捷、环境优美、智能化的示范展示区</w:t>
            </w:r>
            <w:r>
              <w:rPr>
                <w:sz w:val="21"/>
              </w:rPr>
              <w:t>。</w:t>
            </w:r>
          </w:p>
          <w:p>
            <w:pPr>
              <w:jc w:val="both"/>
            </w:pPr>
            <w:r>
              <w:rPr>
                <w:b/>
                <w:sz w:val="21"/>
              </w:rPr>
              <w:t>二、项目定位</w:t>
            </w:r>
          </w:p>
          <w:p>
            <w:pPr>
              <w:ind w:firstLine="420"/>
              <w:jc w:val="both"/>
            </w:pPr>
            <w:r>
              <w:rPr>
                <w:sz w:val="21"/>
              </w:rPr>
              <w:t>定位一：</w:t>
            </w:r>
            <w:r>
              <w:rPr>
                <w:sz w:val="21"/>
              </w:rPr>
              <w:t>校园党建文化宣传展示平台</w:t>
            </w:r>
            <w:r>
              <w:rPr>
                <w:sz w:val="21"/>
              </w:rPr>
              <w:t>。</w:t>
            </w:r>
            <w:r>
              <w:rPr>
                <w:sz w:val="21"/>
              </w:rPr>
              <w:t xml:space="preserve"> </w:t>
            </w:r>
          </w:p>
          <w:p>
            <w:pPr>
              <w:ind w:firstLine="420"/>
              <w:jc w:val="both"/>
            </w:pPr>
            <w:r>
              <w:rPr>
                <w:sz w:val="21"/>
              </w:rPr>
              <w:t>定位二：</w:t>
            </w:r>
            <w:r>
              <w:rPr>
                <w:sz w:val="21"/>
              </w:rPr>
              <w:t>党建教育学习阵地（功能性）</w:t>
            </w:r>
            <w:r>
              <w:rPr>
                <w:sz w:val="21"/>
              </w:rPr>
              <w:t>。</w:t>
            </w:r>
          </w:p>
          <w:p>
            <w:pPr>
              <w:jc w:val="both"/>
            </w:pPr>
            <w:r>
              <w:rPr>
                <w:b/>
                <w:sz w:val="21"/>
              </w:rPr>
              <w:t>三、设计理念要求</w:t>
            </w:r>
          </w:p>
          <w:p>
            <w:pPr>
              <w:ind w:firstLine="420"/>
              <w:jc w:val="both"/>
            </w:pPr>
            <w:r>
              <w:rPr>
                <w:sz w:val="21"/>
              </w:rPr>
              <w:t>①</w:t>
            </w:r>
            <w:r>
              <w:rPr>
                <w:sz w:val="21"/>
              </w:rPr>
              <w:t>在</w:t>
            </w:r>
            <w:r>
              <w:rPr>
                <w:sz w:val="21"/>
              </w:rPr>
              <w:t>新时代下</w:t>
            </w:r>
            <w:r>
              <w:rPr>
                <w:sz w:val="21"/>
              </w:rPr>
              <w:t>，</w:t>
            </w:r>
            <w:r>
              <w:rPr>
                <w:sz w:val="21"/>
              </w:rPr>
              <w:t>以加强校园文化建设为目的，打造采购人的党建文化宣传展示平台，多功能的党建教育学习阵地。</w:t>
            </w:r>
          </w:p>
          <w:p>
            <w:pPr>
              <w:jc w:val="both"/>
            </w:pPr>
            <w:r>
              <w:rPr>
                <w:b/>
                <w:sz w:val="21"/>
              </w:rPr>
              <w:t>四、大纲编写要求</w:t>
            </w:r>
          </w:p>
          <w:p>
            <w:pPr>
              <w:ind w:firstLine="420"/>
              <w:jc w:val="both"/>
            </w:pPr>
            <w:r>
              <w:rPr>
                <w:sz w:val="21"/>
              </w:rPr>
              <w:t>①</w:t>
            </w:r>
            <w:r>
              <w:rPr>
                <w:sz w:val="21"/>
              </w:rPr>
              <w:t>对</w:t>
            </w:r>
            <w:r>
              <w:rPr>
                <w:sz w:val="21"/>
              </w:rPr>
              <w:t>项目</w:t>
            </w:r>
            <w:r>
              <w:rPr>
                <w:sz w:val="21"/>
              </w:rPr>
              <w:t>的定位</w:t>
            </w:r>
            <w:r>
              <w:rPr>
                <w:sz w:val="21"/>
              </w:rPr>
              <w:t>把握准确，有高度的政治觉悟，充分了解校史馆的功能及意义，并对采购人的发展及相关</w:t>
            </w:r>
            <w:r>
              <w:rPr>
                <w:sz w:val="21"/>
              </w:rPr>
              <w:t>具体内容进行充分调研与资料收集</w:t>
            </w:r>
            <w:r>
              <w:rPr>
                <w:sz w:val="21"/>
              </w:rPr>
              <w:t>；</w:t>
            </w:r>
          </w:p>
          <w:p>
            <w:pPr>
              <w:ind w:firstLine="420"/>
              <w:jc w:val="both"/>
            </w:pPr>
            <w:r>
              <w:rPr>
                <w:sz w:val="21"/>
              </w:rPr>
              <w:t>②</w:t>
            </w:r>
            <w:r>
              <w:rPr>
                <w:sz w:val="21"/>
              </w:rPr>
              <w:t>围绕展览主题，收集相关实物、照片、文件、音视频等各种素材</w:t>
            </w:r>
            <w:r>
              <w:rPr>
                <w:sz w:val="21"/>
              </w:rPr>
              <w:t>，</w:t>
            </w:r>
            <w:r>
              <w:rPr>
                <w:sz w:val="21"/>
              </w:rPr>
              <w:t>开展研究</w:t>
            </w:r>
            <w:r>
              <w:rPr>
                <w:sz w:val="21"/>
              </w:rPr>
              <w:t>；</w:t>
            </w:r>
            <w:r>
              <w:rPr>
                <w:sz w:val="21"/>
              </w:rPr>
              <w:t xml:space="preserve"> </w:t>
            </w:r>
          </w:p>
          <w:p>
            <w:pPr>
              <w:ind w:firstLine="420"/>
              <w:jc w:val="both"/>
            </w:pPr>
            <w:r>
              <w:rPr>
                <w:sz w:val="21"/>
              </w:rPr>
              <w:t>③协助采购人征集展品</w:t>
            </w:r>
            <w:r>
              <w:rPr>
                <w:sz w:val="21"/>
              </w:rPr>
              <w:t>，并</w:t>
            </w:r>
            <w:r>
              <w:rPr>
                <w:sz w:val="21"/>
              </w:rPr>
              <w:t>遴选出适合的展品</w:t>
            </w:r>
            <w:r>
              <w:rPr>
                <w:sz w:val="21"/>
              </w:rPr>
              <w:t>；</w:t>
            </w:r>
            <w:r>
              <w:rPr>
                <w:sz w:val="21"/>
              </w:rPr>
              <w:t>根据展览需求就新的展品征集进行策划、组织征集实物布展工作</w:t>
            </w:r>
            <w:r>
              <w:rPr>
                <w:sz w:val="21"/>
              </w:rPr>
              <w:t>；</w:t>
            </w:r>
            <w:r>
              <w:rPr>
                <w:sz w:val="21"/>
              </w:rPr>
              <w:t xml:space="preserve"> </w:t>
            </w:r>
          </w:p>
          <w:p>
            <w:pPr>
              <w:ind w:firstLine="420"/>
              <w:jc w:val="both"/>
            </w:pPr>
            <w:r>
              <w:rPr>
                <w:sz w:val="21"/>
              </w:rPr>
              <w:t>④</w:t>
            </w:r>
            <w:r>
              <w:rPr>
                <w:sz w:val="21"/>
              </w:rPr>
              <w:t>编制展览脚本</w:t>
            </w:r>
            <w:r>
              <w:rPr>
                <w:sz w:val="21"/>
              </w:rPr>
              <w:t>,包含但不限于展览标题</w:t>
            </w:r>
            <w:r>
              <w:rPr>
                <w:sz w:val="21"/>
              </w:rPr>
              <w:t>；</w:t>
            </w:r>
            <w:r>
              <w:rPr>
                <w:sz w:val="21"/>
              </w:rPr>
              <w:t>前言</w:t>
            </w:r>
            <w:r>
              <w:rPr>
                <w:sz w:val="21"/>
              </w:rPr>
              <w:t>；</w:t>
            </w:r>
            <w:r>
              <w:rPr>
                <w:sz w:val="21"/>
              </w:rPr>
              <w:t>部分、单元、展品组及其说明</w:t>
            </w:r>
            <w:r>
              <w:rPr>
                <w:sz w:val="21"/>
              </w:rPr>
              <w:t>；</w:t>
            </w:r>
            <w:r>
              <w:rPr>
                <w:sz w:val="21"/>
              </w:rPr>
              <w:t>展品说明牌、展项的相关概括说明、结束语等</w:t>
            </w:r>
            <w:r>
              <w:rPr>
                <w:sz w:val="21"/>
              </w:rPr>
              <w:t>；</w:t>
            </w:r>
          </w:p>
          <w:p>
            <w:pPr>
              <w:ind w:firstLine="420"/>
              <w:jc w:val="both"/>
            </w:pPr>
            <w:r>
              <w:rPr>
                <w:sz w:val="21"/>
              </w:rPr>
              <w:t>⑤</w:t>
            </w:r>
            <w:r>
              <w:rPr>
                <w:sz w:val="21"/>
              </w:rPr>
              <w:t>编写符合展览内容和风格的展览讲解词</w:t>
            </w:r>
            <w:r>
              <w:rPr>
                <w:sz w:val="21"/>
              </w:rPr>
              <w:t>,并对讲解员进行内容培训。</w:t>
            </w:r>
          </w:p>
          <w:p>
            <w:pPr>
              <w:jc w:val="both"/>
            </w:pPr>
            <w:r>
              <w:rPr>
                <w:b/>
                <w:sz w:val="21"/>
              </w:rPr>
              <w:t>五、项目设计方案、艺术及多媒体数字内容创作、布展实施要求</w:t>
            </w:r>
          </w:p>
          <w:p>
            <w:pPr>
              <w:ind w:firstLine="420"/>
              <w:jc w:val="left"/>
            </w:pPr>
            <w:r>
              <w:rPr>
                <w:sz w:val="21"/>
              </w:rPr>
              <w:t>①</w:t>
            </w:r>
            <w:r>
              <w:rPr>
                <w:sz w:val="21"/>
              </w:rPr>
              <w:t>在项目实施过程中，必须服从采购人及相关部门的监督、管理和指挥。</w:t>
            </w:r>
          </w:p>
          <w:p>
            <w:pPr>
              <w:ind w:firstLine="420"/>
              <w:jc w:val="left"/>
            </w:pPr>
            <w:r>
              <w:rPr>
                <w:sz w:val="21"/>
              </w:rPr>
              <w:t>②</w:t>
            </w:r>
            <w:r>
              <w:rPr>
                <w:sz w:val="21"/>
              </w:rPr>
              <w:t>必须认真做好安全工作，确保展馆布置实施的安全。</w:t>
            </w:r>
          </w:p>
          <w:p>
            <w:pPr>
              <w:ind w:firstLine="420"/>
              <w:jc w:val="left"/>
            </w:pPr>
            <w:r>
              <w:rPr>
                <w:sz w:val="21"/>
              </w:rPr>
              <w:t>③</w:t>
            </w:r>
            <w:r>
              <w:rPr>
                <w:sz w:val="21"/>
              </w:rPr>
              <w:t>知识产权的归属</w:t>
            </w:r>
            <w:r>
              <w:rPr>
                <w:sz w:val="21"/>
              </w:rPr>
              <w:t>: 本服务项目所有工作成果的知识产权归</w:t>
            </w:r>
            <w:r>
              <w:rPr>
                <w:sz w:val="21"/>
              </w:rPr>
              <w:t>采购人</w:t>
            </w:r>
            <w:r>
              <w:rPr>
                <w:sz w:val="21"/>
              </w:rPr>
              <w:t>所有（署名权除外），</w:t>
            </w:r>
            <w:r>
              <w:rPr>
                <w:sz w:val="21"/>
              </w:rPr>
              <w:t>中标供应商</w:t>
            </w:r>
            <w:r>
              <w:rPr>
                <w:sz w:val="21"/>
              </w:rPr>
              <w:t>享有工作成果的署名权，采购人享有本项目所有工作成果的永久无偿使用权。</w:t>
            </w:r>
          </w:p>
          <w:p>
            <w:pPr>
              <w:ind w:firstLine="420"/>
              <w:jc w:val="left"/>
            </w:pPr>
            <w:r>
              <w:rPr>
                <w:sz w:val="21"/>
              </w:rPr>
              <w:t>④</w:t>
            </w:r>
            <w:r>
              <w:rPr>
                <w:sz w:val="21"/>
              </w:rPr>
              <w:t>设计成果须经</w:t>
            </w:r>
            <w:r>
              <w:rPr>
                <w:sz w:val="21"/>
              </w:rPr>
              <w:t>采购人</w:t>
            </w:r>
            <w:r>
              <w:rPr>
                <w:sz w:val="21"/>
              </w:rPr>
              <w:t>审核确认后方可实施，为避免重复布展，现场实施开展之前须经</w:t>
            </w:r>
            <w:r>
              <w:rPr>
                <w:sz w:val="21"/>
              </w:rPr>
              <w:t>采购人</w:t>
            </w:r>
            <w:r>
              <w:rPr>
                <w:sz w:val="21"/>
              </w:rPr>
              <w:t>确认同意后方可进行。</w:t>
            </w:r>
          </w:p>
          <w:p>
            <w:pPr>
              <w:ind w:firstLine="420"/>
              <w:jc w:val="left"/>
            </w:pPr>
          </w:p>
          <w:p>
            <w:pPr>
              <w:jc w:val="both"/>
            </w:pPr>
            <w:r>
              <w:rPr>
                <w:b/>
                <w:sz w:val="21"/>
              </w:rPr>
              <w:t>六、项目的可用布展区域</w:t>
            </w:r>
          </w:p>
          <w:tbl>
            <w:tblPr>
              <w:tblBorders>
                <w:top w:val="none" w:color="000000" w:sz="4"/>
                <w:left w:val="none" w:color="000000" w:sz="4"/>
                <w:bottom w:val="none" w:color="000000" w:sz="4"/>
                <w:right w:val="none" w:color="000000" w:sz="4"/>
                <w:insideH w:val="none"/>
                <w:insideV w:val="none"/>
              </w:tblBorders>
            </w:tblPr>
            <w:tblGrid>
              <w:gridCol w:w="717"/>
              <w:gridCol w:w="3436"/>
              <w:gridCol w:w="1445"/>
            </w:tblGrid>
            <w:tr>
              <w:tc>
                <w:tcPr>
                  <w:tcW w:type="dxa" w:w="717"/>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3436"/>
                  <w:tcBorders>
                    <w:top w:val="single" w:color="000000" w:sz="4"/>
                    <w:left w:val="none" w:color="000000" w:sz="4"/>
                    <w:bottom w:val="single" w:color="000000" w:sz="4"/>
                    <w:right w:val="single" w:color="000000" w:sz="4"/>
                  </w:tcBorders>
                  <w:vAlign w:val="top"/>
                </w:tcPr>
                <w:p>
                  <w:pPr>
                    <w:jc w:val="center"/>
                  </w:pPr>
                  <w:r>
                    <w:rPr>
                      <w:b/>
                      <w:color w:val="000000"/>
                      <w:sz w:val="21"/>
                    </w:rPr>
                    <w:t>布展区域点</w:t>
                  </w:r>
                </w:p>
              </w:tc>
              <w:tc>
                <w:tcPr>
                  <w:tcW w:type="dxa" w:w="1445"/>
                  <w:tcBorders>
                    <w:top w:val="single" w:color="000000" w:sz="4"/>
                    <w:left w:val="none" w:color="000000" w:sz="4"/>
                    <w:bottom w:val="single" w:color="000000" w:sz="4"/>
                    <w:right w:val="single" w:color="000000" w:sz="4"/>
                  </w:tcBorders>
                  <w:vAlign w:val="top"/>
                </w:tcPr>
                <w:p>
                  <w:pPr>
                    <w:jc w:val="center"/>
                  </w:pPr>
                  <w:r>
                    <w:rPr>
                      <w:b/>
                      <w:color w:val="000000"/>
                      <w:sz w:val="21"/>
                    </w:rPr>
                    <w:t>使用面积</w:t>
                  </w:r>
                </w:p>
              </w:tc>
            </w:tr>
            <w:tr>
              <w:tc>
                <w:tcPr>
                  <w:tcW w:type="dxa" w:w="717"/>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3436"/>
                  <w:tcBorders>
                    <w:top w:val="none" w:color="000000" w:sz="4"/>
                    <w:left w:val="none" w:color="000000" w:sz="4"/>
                    <w:bottom w:val="single" w:color="000000" w:sz="4"/>
                    <w:right w:val="single" w:color="000000" w:sz="4"/>
                  </w:tcBorders>
                  <w:vAlign w:val="top"/>
                </w:tcPr>
                <w:p>
                  <w:pPr>
                    <w:jc w:val="left"/>
                  </w:pPr>
                  <w:r>
                    <w:rPr>
                      <w:color w:val="000000"/>
                      <w:sz w:val="21"/>
                    </w:rPr>
                    <w:t>A3行政楼党建大堂</w:t>
                  </w:r>
                </w:p>
              </w:tc>
              <w:tc>
                <w:tcPr>
                  <w:tcW w:type="dxa" w:w="1445"/>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250㎡</w:t>
                  </w:r>
                </w:p>
              </w:tc>
            </w:tr>
            <w:tr>
              <w:tc>
                <w:tcPr>
                  <w:tcW w:type="dxa" w:w="717"/>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3436"/>
                  <w:tcBorders>
                    <w:top w:val="none" w:color="000000" w:sz="4"/>
                    <w:left w:val="none" w:color="000000" w:sz="4"/>
                    <w:bottom w:val="single" w:color="000000" w:sz="4"/>
                    <w:right w:val="single" w:color="000000" w:sz="4"/>
                  </w:tcBorders>
                  <w:vAlign w:val="top"/>
                </w:tcPr>
                <w:p>
                  <w:pPr>
                    <w:jc w:val="left"/>
                  </w:pPr>
                  <w:r>
                    <w:rPr>
                      <w:color w:val="000000"/>
                      <w:sz w:val="21"/>
                    </w:rPr>
                    <w:t>A3行政楼7楼学研驿站，走廊展示墙</w:t>
                  </w:r>
                </w:p>
              </w:tc>
              <w:tc>
                <w:tcPr>
                  <w:tcW w:type="dxa" w:w="1445"/>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98.5㎡</w:t>
                  </w:r>
                </w:p>
              </w:tc>
            </w:tr>
            <w:tr>
              <w:tc>
                <w:tcPr>
                  <w:tcW w:type="dxa" w:w="717"/>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3436"/>
                  <w:tcBorders>
                    <w:top w:val="none" w:color="000000" w:sz="4"/>
                    <w:left w:val="none" w:color="000000" w:sz="4"/>
                    <w:bottom w:val="single" w:color="000000" w:sz="4"/>
                    <w:right w:val="single" w:color="000000" w:sz="4"/>
                  </w:tcBorders>
                  <w:vAlign w:val="top"/>
                </w:tcPr>
                <w:p>
                  <w:pPr>
                    <w:jc w:val="left"/>
                  </w:pPr>
                  <w:r>
                    <w:rPr>
                      <w:color w:val="000000"/>
                      <w:sz w:val="21"/>
                    </w:rPr>
                    <w:t>文理楼</w:t>
                  </w:r>
                  <w:r>
                    <w:rPr>
                      <w:color w:val="000000"/>
                      <w:sz w:val="21"/>
                    </w:rPr>
                    <w:t>5楼（电气工程学院502室），走廊展示墙</w:t>
                  </w:r>
                </w:p>
              </w:tc>
              <w:tc>
                <w:tcPr>
                  <w:tcW w:type="dxa" w:w="1445"/>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162.5㎡</w:t>
                  </w:r>
                </w:p>
              </w:tc>
            </w:tr>
            <w:tr>
              <w:tc>
                <w:tcPr>
                  <w:tcW w:type="dxa" w:w="717"/>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3436"/>
                  <w:tcBorders>
                    <w:top w:val="none" w:color="000000" w:sz="4"/>
                    <w:left w:val="none" w:color="000000" w:sz="4"/>
                    <w:bottom w:val="single" w:color="000000" w:sz="4"/>
                    <w:right w:val="single" w:color="000000" w:sz="4"/>
                  </w:tcBorders>
                  <w:vAlign w:val="top"/>
                </w:tcPr>
                <w:p>
                  <w:pPr>
                    <w:jc w:val="left"/>
                  </w:pPr>
                  <w:r>
                    <w:rPr>
                      <w:color w:val="000000"/>
                      <w:sz w:val="21"/>
                    </w:rPr>
                    <w:t>文理楼</w:t>
                  </w:r>
                  <w:r>
                    <w:rPr>
                      <w:color w:val="000000"/>
                      <w:sz w:val="21"/>
                    </w:rPr>
                    <w:t>3楼（信息工程学院316室），走廊展示墙</w:t>
                  </w:r>
                </w:p>
              </w:tc>
              <w:tc>
                <w:tcPr>
                  <w:tcW w:type="dxa" w:w="1445"/>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185㎡</w:t>
                  </w:r>
                </w:p>
              </w:tc>
            </w:tr>
            <w:tr>
              <w:tc>
                <w:tcPr>
                  <w:tcW w:type="dxa" w:w="717"/>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3436"/>
                  <w:tcBorders>
                    <w:top w:val="none" w:color="000000" w:sz="4"/>
                    <w:left w:val="none" w:color="000000" w:sz="4"/>
                    <w:bottom w:val="single" w:color="000000" w:sz="4"/>
                    <w:right w:val="single" w:color="000000" w:sz="4"/>
                  </w:tcBorders>
                  <w:vAlign w:val="top"/>
                </w:tcPr>
                <w:p>
                  <w:pPr>
                    <w:jc w:val="left"/>
                  </w:pPr>
                  <w:r>
                    <w:rPr>
                      <w:color w:val="000000"/>
                      <w:sz w:val="21"/>
                    </w:rPr>
                    <w:t>文理楼</w:t>
                  </w:r>
                  <w:r>
                    <w:rPr>
                      <w:color w:val="000000"/>
                      <w:sz w:val="21"/>
                    </w:rPr>
                    <w:t>2楼（运输物流学院216室），走廊展示墙</w:t>
                  </w:r>
                </w:p>
              </w:tc>
              <w:tc>
                <w:tcPr>
                  <w:tcW w:type="dxa" w:w="1445"/>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162.5㎡</w:t>
                  </w:r>
                </w:p>
              </w:tc>
            </w:tr>
            <w:tr>
              <w:tc>
                <w:tcPr>
                  <w:tcW w:type="dxa" w:w="717"/>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3436"/>
                  <w:tcBorders>
                    <w:top w:val="none" w:color="000000" w:sz="4"/>
                    <w:left w:val="none" w:color="000000" w:sz="4"/>
                    <w:bottom w:val="single" w:color="000000" w:sz="4"/>
                    <w:right w:val="single" w:color="000000" w:sz="4"/>
                  </w:tcBorders>
                  <w:vAlign w:val="top"/>
                </w:tcPr>
                <w:p>
                  <w:pPr>
                    <w:jc w:val="left"/>
                  </w:pPr>
                  <w:r>
                    <w:rPr>
                      <w:color w:val="000000"/>
                      <w:sz w:val="21"/>
                    </w:rPr>
                    <w:t>文理楼</w:t>
                  </w:r>
                  <w:r>
                    <w:rPr>
                      <w:color w:val="000000"/>
                      <w:sz w:val="21"/>
                    </w:rPr>
                    <w:t>4楼（外商学院414室），走廊展示墙</w:t>
                  </w:r>
                </w:p>
              </w:tc>
              <w:tc>
                <w:tcPr>
                  <w:tcW w:type="dxa" w:w="1445"/>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162.5㎡</w:t>
                  </w:r>
                </w:p>
              </w:tc>
            </w:tr>
            <w:tr>
              <w:tc>
                <w:tcPr>
                  <w:tcW w:type="dxa" w:w="717"/>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3436"/>
                  <w:tcBorders>
                    <w:top w:val="none" w:color="000000" w:sz="4"/>
                    <w:left w:val="none" w:color="000000" w:sz="4"/>
                    <w:bottom w:val="single" w:color="000000" w:sz="4"/>
                    <w:right w:val="single" w:color="000000" w:sz="4"/>
                  </w:tcBorders>
                  <w:vAlign w:val="top"/>
                </w:tcPr>
                <w:p>
                  <w:pPr>
                    <w:jc w:val="left"/>
                  </w:pPr>
                  <w:r>
                    <w:rPr>
                      <w:color w:val="000000"/>
                      <w:sz w:val="21"/>
                    </w:rPr>
                    <w:t>交通楼</w:t>
                  </w:r>
                  <w:r>
                    <w:rPr>
                      <w:color w:val="000000"/>
                      <w:sz w:val="21"/>
                    </w:rPr>
                    <w:t>3楼（机车车辆学院305室），走廊展示墙</w:t>
                  </w:r>
                </w:p>
              </w:tc>
              <w:tc>
                <w:tcPr>
                  <w:tcW w:type="dxa" w:w="1445"/>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137.5㎡</w:t>
                  </w:r>
                </w:p>
              </w:tc>
            </w:tr>
            <w:tr>
              <w:tc>
                <w:tcPr>
                  <w:tcW w:type="dxa" w:w="717"/>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3436"/>
                  <w:tcBorders>
                    <w:top w:val="none" w:color="000000" w:sz="4"/>
                    <w:left w:val="none" w:color="000000" w:sz="4"/>
                    <w:bottom w:val="single" w:color="000000" w:sz="4"/>
                    <w:right w:val="single" w:color="000000" w:sz="4"/>
                  </w:tcBorders>
                  <w:vAlign w:val="top"/>
                </w:tcPr>
                <w:p>
                  <w:pPr>
                    <w:jc w:val="left"/>
                  </w:pPr>
                  <w:r>
                    <w:rPr>
                      <w:color w:val="000000"/>
                      <w:sz w:val="21"/>
                    </w:rPr>
                    <w:t>交通楼</w:t>
                  </w:r>
                  <w:r>
                    <w:rPr>
                      <w:color w:val="000000"/>
                      <w:sz w:val="21"/>
                    </w:rPr>
                    <w:t>2楼（铁道工程学院207室），走廊展示墙</w:t>
                  </w:r>
                </w:p>
              </w:tc>
              <w:tc>
                <w:tcPr>
                  <w:tcW w:type="dxa" w:w="1445"/>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79.5㎡</w:t>
                  </w:r>
                </w:p>
              </w:tc>
            </w:tr>
            <w:tr>
              <w:tc>
                <w:tcPr>
                  <w:tcW w:type="dxa" w:w="717"/>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3436"/>
                  <w:tcBorders>
                    <w:top w:val="none" w:color="000000" w:sz="4"/>
                    <w:left w:val="none" w:color="000000" w:sz="4"/>
                    <w:bottom w:val="single" w:color="000000" w:sz="4"/>
                    <w:right w:val="single" w:color="000000" w:sz="4"/>
                  </w:tcBorders>
                  <w:vAlign w:val="top"/>
                </w:tcPr>
                <w:p>
                  <w:pPr>
                    <w:jc w:val="left"/>
                  </w:pPr>
                  <w:r>
                    <w:rPr>
                      <w:sz w:val="21"/>
                    </w:rPr>
                    <w:t>机电楼</w:t>
                  </w:r>
                  <w:r>
                    <w:rPr>
                      <w:sz w:val="21"/>
                    </w:rPr>
                    <w:t>2楼（机电工程学院213室），走廊展示墙</w:t>
                  </w:r>
                </w:p>
              </w:tc>
              <w:tc>
                <w:tcPr>
                  <w:tcW w:type="dxa" w:w="1445"/>
                  <w:tcBorders>
                    <w:top w:val="none" w:color="000000" w:sz="4"/>
                    <w:left w:val="none" w:color="000000" w:sz="4"/>
                    <w:bottom w:val="single" w:color="000000" w:sz="4"/>
                    <w:right w:val="single" w:color="000000" w:sz="4"/>
                  </w:tcBorders>
                  <w:vAlign w:val="top"/>
                </w:tcPr>
                <w:p>
                  <w:pPr>
                    <w:jc w:val="left"/>
                  </w:pPr>
                  <w:r>
                    <w:rPr>
                      <w:sz w:val="21"/>
                    </w:rPr>
                    <w:t>约</w:t>
                  </w:r>
                  <w:r>
                    <w:rPr>
                      <w:sz w:val="21"/>
                    </w:rPr>
                    <w:t>83㎡</w:t>
                  </w:r>
                </w:p>
              </w:tc>
            </w:tr>
            <w:tr>
              <w:tc>
                <w:tcPr>
                  <w:tcW w:type="dxa" w:w="71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436"/>
                  <w:tcBorders>
                    <w:top w:val="none" w:color="000000" w:sz="4"/>
                    <w:left w:val="none" w:color="000000" w:sz="4"/>
                    <w:bottom w:val="single" w:color="000000" w:sz="4"/>
                    <w:right w:val="single" w:color="000000" w:sz="4"/>
                  </w:tcBorders>
                  <w:vAlign w:val="top"/>
                </w:tcPr>
                <w:p>
                  <w:pPr>
                    <w:jc w:val="left"/>
                  </w:pPr>
                  <w:r>
                    <w:rPr>
                      <w:sz w:val="21"/>
                    </w:rPr>
                    <w:t>共建驿站（党建列车）</w:t>
                  </w:r>
                </w:p>
              </w:tc>
              <w:tc>
                <w:tcPr>
                  <w:tcW w:type="dxa" w:w="1445"/>
                  <w:tcBorders>
                    <w:top w:val="none" w:color="000000" w:sz="4"/>
                    <w:left w:val="none" w:color="000000" w:sz="4"/>
                    <w:bottom w:val="single" w:color="000000" w:sz="4"/>
                    <w:right w:val="single" w:color="000000" w:sz="4"/>
                  </w:tcBorders>
                  <w:vAlign w:val="top"/>
                </w:tcPr>
                <w:p>
                  <w:pPr>
                    <w:jc w:val="left"/>
                  </w:pPr>
                  <w:r>
                    <w:rPr>
                      <w:sz w:val="21"/>
                    </w:rPr>
                    <w:t>约</w:t>
                  </w:r>
                  <w:r>
                    <w:rPr>
                      <w:sz w:val="21"/>
                    </w:rPr>
                    <w:t>178.2㎡</w:t>
                  </w:r>
                </w:p>
              </w:tc>
            </w:tr>
            <w:tr>
              <w:tc>
                <w:tcPr>
                  <w:tcW w:type="dxa" w:w="717"/>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3436"/>
                  <w:tcBorders>
                    <w:top w:val="none" w:color="000000" w:sz="4"/>
                    <w:left w:val="none" w:color="000000" w:sz="4"/>
                    <w:bottom w:val="single" w:color="000000" w:sz="4"/>
                    <w:right w:val="single" w:color="000000" w:sz="4"/>
                  </w:tcBorders>
                  <w:vAlign w:val="top"/>
                </w:tcPr>
                <w:p>
                  <w:pPr>
                    <w:jc w:val="left"/>
                  </w:pPr>
                  <w:r>
                    <w:rPr>
                      <w:sz w:val="21"/>
                    </w:rPr>
                    <w:t>“创先争优”展示（主体）</w:t>
                  </w:r>
                </w:p>
              </w:tc>
              <w:tc>
                <w:tcPr>
                  <w:tcW w:type="dxa" w:w="1445"/>
                  <w:tcBorders>
                    <w:top w:val="none" w:color="000000" w:sz="4"/>
                    <w:left w:val="none" w:color="000000" w:sz="4"/>
                    <w:bottom w:val="single" w:color="000000" w:sz="4"/>
                    <w:right w:val="single" w:color="000000" w:sz="4"/>
                  </w:tcBorders>
                  <w:vAlign w:val="top"/>
                </w:tcPr>
                <w:p>
                  <w:pPr>
                    <w:jc w:val="left"/>
                  </w:pPr>
                  <w:r>
                    <w:rPr>
                      <w:sz w:val="21"/>
                    </w:rPr>
                    <w:t>约</w:t>
                  </w:r>
                  <w:r>
                    <w:rPr>
                      <w:sz w:val="21"/>
                    </w:rPr>
                    <w:t>185㎡</w:t>
                  </w:r>
                </w:p>
              </w:tc>
            </w:tr>
            <w:tr>
              <w:tc>
                <w:tcPr>
                  <w:tcW w:type="dxa" w:w="717"/>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436"/>
                  <w:tcBorders>
                    <w:top w:val="none" w:color="000000" w:sz="4"/>
                    <w:left w:val="none" w:color="000000" w:sz="4"/>
                    <w:bottom w:val="single" w:color="000000" w:sz="4"/>
                    <w:right w:val="single" w:color="000000" w:sz="4"/>
                  </w:tcBorders>
                  <w:vAlign w:val="top"/>
                </w:tcPr>
                <w:p>
                  <w:pPr>
                    <w:jc w:val="left"/>
                  </w:pPr>
                  <w:r>
                    <w:rPr>
                      <w:sz w:val="21"/>
                    </w:rPr>
                    <w:t>“创先争优”展示（标杆院系）</w:t>
                  </w:r>
                </w:p>
              </w:tc>
              <w:tc>
                <w:tcPr>
                  <w:tcW w:type="dxa" w:w="1445"/>
                  <w:tcBorders>
                    <w:top w:val="none" w:color="000000" w:sz="4"/>
                    <w:left w:val="none" w:color="000000" w:sz="4"/>
                    <w:bottom w:val="single" w:color="000000" w:sz="4"/>
                    <w:right w:val="single" w:color="000000" w:sz="4"/>
                  </w:tcBorders>
                  <w:vAlign w:val="top"/>
                </w:tcPr>
                <w:p>
                  <w:pPr>
                    <w:jc w:val="left"/>
                  </w:pPr>
                  <w:r>
                    <w:rPr>
                      <w:sz w:val="21"/>
                    </w:rPr>
                    <w:t>约</w:t>
                  </w:r>
                  <w:r>
                    <w:rPr>
                      <w:sz w:val="21"/>
                    </w:rPr>
                    <w:t>74㎡</w:t>
                  </w:r>
                </w:p>
              </w:tc>
            </w:tr>
            <w:tr>
              <w:tc>
                <w:tcPr>
                  <w:tcW w:type="dxa" w:w="717"/>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3436"/>
                  <w:tcBorders>
                    <w:top w:val="none" w:color="000000" w:sz="4"/>
                    <w:left w:val="none" w:color="000000" w:sz="4"/>
                    <w:bottom w:val="single" w:color="000000" w:sz="4"/>
                    <w:right w:val="single" w:color="000000" w:sz="4"/>
                  </w:tcBorders>
                  <w:vAlign w:val="top"/>
                </w:tcPr>
                <w:p>
                  <w:pPr>
                    <w:jc w:val="left"/>
                  </w:pPr>
                  <w:r>
                    <w:rPr>
                      <w:sz w:val="21"/>
                    </w:rPr>
                    <w:t>“创先争优”展示（样板支部）</w:t>
                  </w:r>
                </w:p>
              </w:tc>
              <w:tc>
                <w:tcPr>
                  <w:tcW w:type="dxa" w:w="1445"/>
                  <w:tcBorders>
                    <w:top w:val="none" w:color="000000" w:sz="4"/>
                    <w:left w:val="none" w:color="000000" w:sz="4"/>
                    <w:bottom w:val="single" w:color="000000" w:sz="4"/>
                    <w:right w:val="single" w:color="000000" w:sz="4"/>
                  </w:tcBorders>
                  <w:vAlign w:val="top"/>
                </w:tcPr>
                <w:p>
                  <w:pPr>
                    <w:jc w:val="left"/>
                  </w:pPr>
                  <w:r>
                    <w:rPr>
                      <w:sz w:val="21"/>
                    </w:rPr>
                    <w:t>约</w:t>
                  </w:r>
                  <w:r>
                    <w:rPr>
                      <w:sz w:val="21"/>
                    </w:rPr>
                    <w:t>71㎡</w:t>
                  </w:r>
                </w:p>
              </w:tc>
            </w:tr>
            <w:tr>
              <w:tc>
                <w:tcPr>
                  <w:tcW w:type="dxa" w:w="4153"/>
                  <w:gridSpan w:val="2"/>
                  <w:tcBorders>
                    <w:top w:val="none" w:color="000000" w:sz="4"/>
                    <w:left w:val="single" w:color="000000" w:sz="4"/>
                    <w:bottom w:val="single" w:color="000000" w:sz="4"/>
                    <w:right w:val="single" w:color="000000" w:sz="4"/>
                  </w:tcBorders>
                  <w:vAlign w:val="top"/>
                </w:tcPr>
                <w:p>
                  <w:pPr>
                    <w:jc w:val="center"/>
                  </w:pPr>
                  <w:r>
                    <w:rPr>
                      <w:color w:val="000000"/>
                      <w:sz w:val="21"/>
                    </w:rPr>
                    <w:t>总面积</w:t>
                  </w:r>
                </w:p>
              </w:tc>
              <w:tc>
                <w:tcPr>
                  <w:tcW w:type="dxa" w:w="1445"/>
                  <w:tcBorders>
                    <w:top w:val="none" w:color="000000" w:sz="4"/>
                    <w:left w:val="none" w:color="000000" w:sz="4"/>
                    <w:bottom w:val="single" w:color="000000" w:sz="4"/>
                    <w:right w:val="single" w:color="000000" w:sz="4"/>
                  </w:tcBorders>
                  <w:vAlign w:val="top"/>
                </w:tcPr>
                <w:p>
                  <w:pPr>
                    <w:jc w:val="left"/>
                  </w:pPr>
                  <w:r>
                    <w:rPr>
                      <w:color w:val="000000"/>
                      <w:sz w:val="21"/>
                    </w:rPr>
                    <w:t>约1829.2㎡</w:t>
                  </w:r>
                </w:p>
              </w:tc>
            </w:tr>
          </w:tbl>
          <w:p>
            <w:r>
              <w:rPr/>
              <w:t xml:space="preserve"> </w:t>
            </w:r>
            <w:r>
              <w:rPr>
                <w:sz w:val="21"/>
              </w:rPr>
              <w:t>相关区域平面图：</w:t>
            </w:r>
          </w:p>
          <w:p>
            <w:r>
              <w:drawing>
                <wp:inline distT="0" distR="0" distB="0" distL="0">
                  <wp:extent cx="3554729" cy="-1043112"/>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1043112"/>
                          </a:xfrm>
                          <a:prstGeom prst="rect">
                            <a:avLst/>
                          </a:prstGeom>
                        </pic:spPr>
                      </pic:pic>
                    </a:graphicData>
                  </a:graphic>
                </wp:inline>
              </w:drawing>
            </w:r>
          </w:p>
          <w:p>
            <w:r>
              <w:drawing>
                <wp:inline distT="0" distR="0" distB="0" distL="0">
                  <wp:extent cx="3554729" cy="-1057437"/>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3554729" cy="-1057437"/>
                          </a:xfrm>
                          <a:prstGeom prst="rect">
                            <a:avLst/>
                          </a:prstGeom>
                        </pic:spPr>
                      </pic:pic>
                    </a:graphicData>
                  </a:graphic>
                </wp:inline>
              </w:drawing>
            </w:r>
          </w:p>
          <w:p>
            <w:r>
              <w:drawing>
                <wp:inline distT="0" distR="0" distB="0" distL="0">
                  <wp:extent cx="3554729" cy="-1032725"/>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3554729" cy="-1032725"/>
                          </a:xfrm>
                          <a:prstGeom prst="rect">
                            <a:avLst/>
                          </a:prstGeom>
                        </pic:spPr>
                      </pic:pic>
                    </a:graphicData>
                  </a:graphic>
                </wp:inline>
              </w:drawing>
            </w:r>
          </w:p>
          <w:p>
            <w:r>
              <w:drawing>
                <wp:inline distT="0" distR="0" distB="0" distL="0">
                  <wp:extent cx="3554729" cy="-2455936"/>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3554729" cy="-2455936"/>
                          </a:xfrm>
                          <a:prstGeom prst="rect">
                            <a:avLst/>
                          </a:prstGeom>
                        </pic:spPr>
                      </pic:pic>
                    </a:graphicData>
                  </a:graphic>
                </wp:inline>
              </w:drawing>
            </w:r>
            <w:r>
              <w:drawing>
                <wp:inline distT="0" distR="0" distB="0" distL="0">
                  <wp:extent cx="3554729" cy="-1020933"/>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3554729" cy="-1020933"/>
                          </a:xfrm>
                          <a:prstGeom prst="rect">
                            <a:avLst/>
                          </a:prstGeom>
                        </pic:spPr>
                      </pic:pic>
                    </a:graphicData>
                  </a:graphic>
                </wp:inline>
              </w:drawing>
            </w:r>
          </w:p>
          <w:p>
            <w:r>
              <w:drawing>
                <wp:inline distT="0" distR="0" distB="0" distL="0">
                  <wp:extent cx="3554729" cy="-1024253"/>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3554729" cy="-1024253"/>
                          </a:xfrm>
                          <a:prstGeom prst="rect">
                            <a:avLst/>
                          </a:prstGeom>
                        </pic:spPr>
                      </pic:pic>
                    </a:graphicData>
                  </a:graphic>
                </wp:inline>
              </w:drawing>
            </w:r>
            <w:r>
              <w:drawing>
                <wp:inline distT="0" distR="0" distB="0" distL="0">
                  <wp:extent cx="3554729" cy="-1015504"/>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2"/>
                          <a:stretch>
                            <a:fillRect/>
                          </a:stretch>
                        </pic:blipFill>
                        <pic:spPr>
                          <a:xfrm>
                            <a:off x="0" y="0"/>
                            <a:ext cx="3554729" cy="-1015504"/>
                          </a:xfrm>
                          <a:prstGeom prst="rect">
                            <a:avLst/>
                          </a:prstGeom>
                        </pic:spPr>
                      </pic:pic>
                    </a:graphicData>
                  </a:graphic>
                </wp:inline>
              </w:drawing>
            </w:r>
          </w:p>
          <w:p>
            <w:r>
              <w:drawing>
                <wp:inline distT="0" distR="0" distB="0" distL="0">
                  <wp:extent cx="3554729" cy="-1034327"/>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13"/>
                          <a:stretch>
                            <a:fillRect/>
                          </a:stretch>
                        </pic:blipFill>
                        <pic:spPr>
                          <a:xfrm>
                            <a:off x="0" y="0"/>
                            <a:ext cx="3554729" cy="-1034327"/>
                          </a:xfrm>
                          <a:prstGeom prst="rect">
                            <a:avLst/>
                          </a:prstGeom>
                        </pic:spPr>
                      </pic:pic>
                    </a:graphicData>
                  </a:graphic>
                </wp:inline>
              </w:drawing>
            </w:r>
            <w:r>
              <w:drawing>
                <wp:inline distT="0" distR="0" distB="0" distL="0">
                  <wp:extent cx="3554729" cy="-2475649"/>
                  <wp:docPr id="9" name="Drawing 9" descr="img"/>
                  <a:graphic xmlns:a="http://schemas.openxmlformats.org/drawingml/2006/main">
                    <a:graphicData uri="http://schemas.openxmlformats.org/drawingml/2006/picture">
                      <pic:pic xmlns:pic="http://schemas.openxmlformats.org/drawingml/2006/picture">
                        <pic:nvPicPr>
                          <pic:cNvPr id="0" name="Picture 9" descr="img"/>
                          <pic:cNvPicPr>
                            <a:picLocks noChangeAspect="true"/>
                          </pic:cNvPicPr>
                        </pic:nvPicPr>
                        <pic:blipFill>
                          <a:blip r:embed="rId14"/>
                          <a:stretch>
                            <a:fillRect/>
                          </a:stretch>
                        </pic:blipFill>
                        <pic:spPr>
                          <a:xfrm>
                            <a:off x="0" y="0"/>
                            <a:ext cx="3554729" cy="-2475649"/>
                          </a:xfrm>
                          <a:prstGeom prst="rect">
                            <a:avLst/>
                          </a:prstGeom>
                        </pic:spPr>
                      </pic:pic>
                    </a:graphicData>
                  </a:graphic>
                </wp:inline>
              </w:drawing>
            </w:r>
          </w:p>
          <w:p>
            <w:r>
              <w:drawing>
                <wp:inline distT="0" distR="0" distB="0" distL="0">
                  <wp:extent cx="3554729" cy="-1115342"/>
                  <wp:docPr id="10" name="Drawing 10" descr="img"/>
                  <a:graphic xmlns:a="http://schemas.openxmlformats.org/drawingml/2006/main">
                    <a:graphicData uri="http://schemas.openxmlformats.org/drawingml/2006/picture">
                      <pic:pic xmlns:pic="http://schemas.openxmlformats.org/drawingml/2006/picture">
                        <pic:nvPicPr>
                          <pic:cNvPr id="0" name="Picture 10" descr="img"/>
                          <pic:cNvPicPr>
                            <a:picLocks noChangeAspect="true"/>
                          </pic:cNvPicPr>
                        </pic:nvPicPr>
                        <pic:blipFill>
                          <a:blip r:embed="rId15"/>
                          <a:stretch>
                            <a:fillRect/>
                          </a:stretch>
                        </pic:blipFill>
                        <pic:spPr>
                          <a:xfrm>
                            <a:off x="0" y="0"/>
                            <a:ext cx="3554729" cy="-1115342"/>
                          </a:xfrm>
                          <a:prstGeom prst="rect">
                            <a:avLst/>
                          </a:prstGeom>
                        </pic:spPr>
                      </pic:pic>
                    </a:graphicData>
                  </a:graphic>
                </wp:inline>
              </w:drawing>
            </w:r>
          </w:p>
          <w:p>
            <w:r>
              <w:drawing>
                <wp:inline distT="0" distR="0" distB="0" distL="0">
                  <wp:extent cx="3554729" cy="-1019257"/>
                  <wp:docPr id="11" name="Drawing 11" descr="img"/>
                  <a:graphic xmlns:a="http://schemas.openxmlformats.org/drawingml/2006/main">
                    <a:graphicData uri="http://schemas.openxmlformats.org/drawingml/2006/picture">
                      <pic:pic xmlns:pic="http://schemas.openxmlformats.org/drawingml/2006/picture">
                        <pic:nvPicPr>
                          <pic:cNvPr id="0" name="Picture 11" descr="img"/>
                          <pic:cNvPicPr>
                            <a:picLocks noChangeAspect="true"/>
                          </pic:cNvPicPr>
                        </pic:nvPicPr>
                        <pic:blipFill>
                          <a:blip r:embed="rId16"/>
                          <a:stretch>
                            <a:fillRect/>
                          </a:stretch>
                        </pic:blipFill>
                        <pic:spPr>
                          <a:xfrm>
                            <a:off x="0" y="0"/>
                            <a:ext cx="3554729" cy="-1019257"/>
                          </a:xfrm>
                          <a:prstGeom prst="rect">
                            <a:avLst/>
                          </a:prstGeom>
                        </pic:spPr>
                      </pic:pic>
                    </a:graphicData>
                  </a:graphic>
                </wp:inline>
              </w:drawing>
            </w:r>
          </w:p>
          <w:p>
            <w:r>
              <w:drawing>
                <wp:inline distT="0" distR="0" distB="0" distL="0">
                  <wp:extent cx="3554729" cy="-1030931"/>
                  <wp:docPr id="12" name="Drawing 12" descr="img"/>
                  <a:graphic xmlns:a="http://schemas.openxmlformats.org/drawingml/2006/main">
                    <a:graphicData uri="http://schemas.openxmlformats.org/drawingml/2006/picture">
                      <pic:pic xmlns:pic="http://schemas.openxmlformats.org/drawingml/2006/picture">
                        <pic:nvPicPr>
                          <pic:cNvPr id="0" name="Picture 12" descr="img"/>
                          <pic:cNvPicPr>
                            <a:picLocks noChangeAspect="true"/>
                          </pic:cNvPicPr>
                        </pic:nvPicPr>
                        <pic:blipFill>
                          <a:blip r:embed="rId17"/>
                          <a:stretch>
                            <a:fillRect/>
                          </a:stretch>
                        </pic:blipFill>
                        <pic:spPr>
                          <a:xfrm>
                            <a:off x="0" y="0"/>
                            <a:ext cx="3554729" cy="-1030931"/>
                          </a:xfrm>
                          <a:prstGeom prst="rect">
                            <a:avLst/>
                          </a:prstGeom>
                        </pic:spPr>
                      </pic:pic>
                    </a:graphicData>
                  </a:graphic>
                </wp:inline>
              </w:drawing>
            </w:r>
            <w:r>
              <w:drawing>
                <wp:inline distT="0" distR="0" distB="0" distL="0">
                  <wp:extent cx="3554729" cy="-1020499"/>
                  <wp:docPr id="13" name="Drawing 13" descr="img"/>
                  <a:graphic xmlns:a="http://schemas.openxmlformats.org/drawingml/2006/main">
                    <a:graphicData uri="http://schemas.openxmlformats.org/drawingml/2006/picture">
                      <pic:pic xmlns:pic="http://schemas.openxmlformats.org/drawingml/2006/picture">
                        <pic:nvPicPr>
                          <pic:cNvPr id="0" name="Picture 13" descr="img"/>
                          <pic:cNvPicPr>
                            <a:picLocks noChangeAspect="true"/>
                          </pic:cNvPicPr>
                        </pic:nvPicPr>
                        <pic:blipFill>
                          <a:blip r:embed="rId18"/>
                          <a:stretch>
                            <a:fillRect/>
                          </a:stretch>
                        </pic:blipFill>
                        <pic:spPr>
                          <a:xfrm>
                            <a:off x="0" y="0"/>
                            <a:ext cx="3554729" cy="-1020499"/>
                          </a:xfrm>
                          <a:prstGeom prst="rect">
                            <a:avLst/>
                          </a:prstGeom>
                        </pic:spPr>
                      </pic:pic>
                    </a:graphicData>
                  </a:graphic>
                </wp:inline>
              </w:drawing>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广州铁路职业技术学院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以下金额： ￥26,880.00元（大写：人民币贰万陆仟捌佰捌拾元整）。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采购包1：面向中小企业，以合同分包形式预留，预留比例：40.0%。</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吕永珊、吴秋娜</w:t>
      </w:r>
    </w:p>
    <w:p>
      <w:pPr>
        <w:ind w:firstLine="480"/>
      </w:pPr>
      <w:r>
        <w:rPr/>
        <w:t>电话：</w:t>
      </w:r>
      <w:r>
        <w:rPr/>
        <w:t>020-37814404、020-87684402</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话：020-38923575</w:t>
      </w:r>
    </w:p>
    <w:p>
      <w:r>
        <w:rPr/>
        <w:t>邮  编：510030</w:t>
      </w:r>
    </w:p>
    <w:p>
      <w:r>
        <w:rPr/>
        <w:t>传  真： /</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YI线三站七室”党建阵地建设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采购包1（“YI线三站七室”党建阵地建设项目）：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采购包1（“YI线三站七室”党建阵地建设项目）：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要求合同分包给中小企业，且分包中小企业比例达到40%。本项目预留部分采购项目预算专门面向中小企业采购（其中预留给小微企业的份额不低于合同金额的70%）。对于预留份额，提供的服务由符合政策要求的中小微企业承接。预留份额通过以下措施进行,投标人可选择以下其中一种方式参与： 1.投标人不属于中小企业的，必须将本项目适宜分包内容（分包部分不低于合同金额的40%）分包给一家或者多家具备实施能力的中小企业（其中，分包给小微企业的部分不低于合同金额的28%），【依据符合上述比例的分包意向协议书、分包意向协议书上述比例全部服务的承接方的《中小企业声明函》或由省级以上监狱管理局、戒毒管理局(含新疆生产建设兵团)出具的分包意向协议书上述比例的承接方属于监狱企业的证明文件或分包意向协议书上述比例的承接方的《残疾人福利性单位声明函》】。 2.投标人属于中型企业的，必须将本项目适宜分包的内容分包给小微企业，分包给小微企业的部分不低于合同金额的28%。【依据符合上述比例的分包意向协议书、分包意向协议书上述比例全部服务的承接方的《中小企业声明函》或由省级以上监狱管理局、戒毒管理局(含新疆生产建设兵团)出具的分包意向协议书上述比例的承接方属于监狱企业的证明文件或分包意向协议书上述比例的承接方的《残疾人福利性单位声明函》】。 3.投标人属于小微企业的，是否采取分包不作强制要求。【依据《中小企业声明函》或由省级以上监狱管理局、戒毒管理局(含新疆生产建设兵团)出具的承接方属于监狱企业的证明文件或承接方的《残疾人福利性单位声明函》】。如采取合同分包，则只能分包给小微企业。【依据分包意向协议书及各方的《中小企业声明函》或由省级以上监狱管理局、戒毒管理局(含新疆生产建设兵团)出具的属于监狱企业的证明文件或《残疾人福利性单位声明函》】。 注：本项目的中小企业划分标准所属行业为：租赁和商务服务业。</w:t>
            </w:r>
          </w:p>
        </w:tc>
      </w:tr>
    </w:tbl>
    <w:p/>
    <w:p>
      <w:pPr>
        <w:ind w:firstLine="480"/>
      </w:pPr>
      <w:r>
        <w:rPr/>
        <w:t>表二符合性审查表：</w:t>
      </w:r>
    </w:p>
    <w:p>
      <w:pPr>
        <w:ind w:firstLine="480"/>
      </w:pPr>
    </w:p>
    <w:p/>
    <w:p>
      <w:r>
        <w:rPr/>
        <w:t>采购包1（“YI线三站七室”党建阵地建设项目）：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采购包1(“YI线三站七室”党建阵地建设项目):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技术部分55.0分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服务条款响应程度 (5.0分)</w:t>
            </w:r>
          </w:p>
        </w:tc>
        <w:tc>
          <w:tcPr>
            <w:tcW w:type="dxa" w:w="5076"/>
          </w:tcPr>
          <w:p>
            <w:pPr>
              <w:jc w:val="left"/>
            </w:pPr>
            <w:r>
              <w:rPr/>
              <w:t>根据投标人对“采购需求”服务条款响应程度进行评审：1.完全满足，得5分；  2.有1条负偏离或不响应，得4分；  3.有2条负偏离或不响应，得3分；  4.有3条负偏离或不响应，得2分；  5.有4条负偏离或不响应，得1分；  6.有5条或以上负偏离或不响应，得0分。  【注：采购需求中要求提供的相关证明材料的，必须按采购需求要求提供相关证明材料，如未按要求提供相关证明材料的，则视为“负偏离”】</w:t>
            </w:r>
          </w:p>
        </w:tc>
      </w:tr>
      <w:tr>
        <w:tc>
          <w:tcPr>
            <w:tcW w:type="dxa" w:w="922"/>
            <w:gridSpan w:val="2"/>
            <w:vMerge/>
          </w:tcPr>
          <w:p/>
        </w:tc>
        <w:tc>
          <w:tcPr>
            <w:tcW w:type="dxa" w:w="2307"/>
          </w:tcPr>
          <w:p>
            <w:pPr>
              <w:jc w:val="left"/>
            </w:pPr>
            <w:r>
              <w:rPr/>
              <w:t>布展策划理念（一） (5.0分)</w:t>
            </w:r>
          </w:p>
        </w:tc>
        <w:tc>
          <w:tcPr>
            <w:tcW w:type="dxa" w:w="5076"/>
          </w:tcPr>
          <w:p>
            <w:pPr>
              <w:jc w:val="left"/>
            </w:pPr>
            <w:r>
              <w:rPr/>
              <w:t>评标委员会根据投标人提供的售后服务方案进行评价，内容应包括（投标文件中的标题应以下列内容命名）： （1）方案的策划设计； （2）展项（展品）的制作； （3）布展设计风格和方式； （4）布展施工； （5）多媒体制作情况。 提供全部内容得5分，每缺1项扣1分。</w:t>
            </w:r>
          </w:p>
        </w:tc>
      </w:tr>
      <w:tr>
        <w:tc>
          <w:tcPr>
            <w:tcW w:type="dxa" w:w="922"/>
            <w:gridSpan w:val="2"/>
            <w:vMerge/>
          </w:tcPr>
          <w:p/>
        </w:tc>
        <w:tc>
          <w:tcPr>
            <w:tcW w:type="dxa" w:w="2307"/>
          </w:tcPr>
          <w:p>
            <w:pPr>
              <w:jc w:val="left"/>
            </w:pPr>
            <w:r>
              <w:rPr/>
              <w:t>布展策划理念（二） (7.0分)</w:t>
            </w:r>
          </w:p>
        </w:tc>
        <w:tc>
          <w:tcPr>
            <w:tcW w:type="dxa" w:w="5076"/>
          </w:tcPr>
          <w:p>
            <w:pPr>
              <w:jc w:val="left"/>
            </w:pPr>
            <w:r>
              <w:rPr/>
              <w:t>根据投标人根据本项目需求要求编写的布展策划理念（包括但不限于方案的策划设计、展项（展品）的制作、布展设计风格和方式、布展施工、多媒体制作）情况进行综合评审： 1.布展策划理念内容响应详细具体，设计理念及创意构想完全达到本项目理念要求的，得7分； 2.布展策划理念内容响应较详细具体，设计理念及创意构想，基本达到本项目理念要求的，得4分； 3.布展策划理念内容响应基本完整，设计理念及创意构想与本项目理念要求有偏差的，得1分； 4.其他或无提供不得分。</w:t>
            </w:r>
          </w:p>
        </w:tc>
      </w:tr>
      <w:tr>
        <w:tc>
          <w:tcPr>
            <w:tcW w:type="dxa" w:w="922"/>
            <w:gridSpan w:val="2"/>
            <w:vMerge/>
          </w:tcPr>
          <w:p/>
        </w:tc>
        <w:tc>
          <w:tcPr>
            <w:tcW w:type="dxa" w:w="2307"/>
          </w:tcPr>
          <w:p>
            <w:pPr>
              <w:jc w:val="left"/>
            </w:pPr>
            <w:r>
              <w:rPr/>
              <w:t>展项设计方案（一） (5.0分)</w:t>
            </w:r>
          </w:p>
        </w:tc>
        <w:tc>
          <w:tcPr>
            <w:tcW w:type="dxa" w:w="5076"/>
          </w:tcPr>
          <w:p>
            <w:pPr>
              <w:jc w:val="left"/>
            </w:pPr>
            <w:r>
              <w:rPr/>
              <w:t>评标委员会根据投标人提供的展项设计方案进行评价，内容应包括（投标文件中的标题应以下列内容命名）： （1）项目定位； （2）空间设计； （3）展项技术； （4）交互方式； （5）内容制作效果。 提供全部内容得5分，每缺1项扣1分。</w:t>
            </w:r>
          </w:p>
        </w:tc>
      </w:tr>
      <w:tr>
        <w:tc>
          <w:tcPr>
            <w:tcW w:type="dxa" w:w="922"/>
            <w:gridSpan w:val="2"/>
            <w:vMerge/>
          </w:tcPr>
          <w:p/>
        </w:tc>
        <w:tc>
          <w:tcPr>
            <w:tcW w:type="dxa" w:w="2307"/>
          </w:tcPr>
          <w:p>
            <w:pPr>
              <w:jc w:val="left"/>
            </w:pPr>
            <w:r>
              <w:rPr/>
              <w:t>展项设计方案（二） (7.0分)</w:t>
            </w:r>
          </w:p>
        </w:tc>
        <w:tc>
          <w:tcPr>
            <w:tcW w:type="dxa" w:w="5076"/>
          </w:tcPr>
          <w:p>
            <w:pPr>
              <w:jc w:val="left"/>
            </w:pPr>
            <w:r>
              <w:rPr/>
              <w:t>根据投标人提供的展项设计方案进行综合评审： 1.展项设计方案完整，项目定位准确、空间设计效果极佳、展项技术新颖、交互方式友好、内容制作效果有突出亮点的，完全满足项目需求的得7分； 2.展项设计方案较完整，项目定位较准确、空间设计效果较好、展项技术较新颖、交互方式较友好、内容制作效果有较突出亮点的，基本满足项目需求的得4分； 3.展项设计方案基本完整，项目定位基本准确、空间设计效果一般、展项技术一般、交互方式友好性一般、内容制作效果亮点一般，不完全满足项目需求的得1分； 4.其他或无提供不得分。</w:t>
            </w:r>
          </w:p>
        </w:tc>
      </w:tr>
      <w:tr>
        <w:tc>
          <w:tcPr>
            <w:tcW w:type="dxa" w:w="922"/>
            <w:gridSpan w:val="2"/>
            <w:vMerge/>
          </w:tcPr>
          <w:p/>
        </w:tc>
        <w:tc>
          <w:tcPr>
            <w:tcW w:type="dxa" w:w="2307"/>
          </w:tcPr>
          <w:p>
            <w:pPr>
              <w:jc w:val="left"/>
            </w:pPr>
            <w:r>
              <w:rPr/>
              <w:t>项目实施方案（一） (3.0分)</w:t>
            </w:r>
          </w:p>
        </w:tc>
        <w:tc>
          <w:tcPr>
            <w:tcW w:type="dxa" w:w="5076"/>
          </w:tcPr>
          <w:p>
            <w:pPr>
              <w:jc w:val="left"/>
            </w:pPr>
            <w:r>
              <w:rPr/>
              <w:t>评标委员会根据投标人提供的项目实施方案进行评价，内容应包括（投标文件中的标题应以下列内容命名）： （1）工作标准与流程； （2）项目重点、难点分析及应对方案； （3）实施能力方案。 提供全部内容得3分，每缺1项扣1分。</w:t>
            </w:r>
          </w:p>
        </w:tc>
      </w:tr>
      <w:tr>
        <w:tc>
          <w:tcPr>
            <w:tcW w:type="dxa" w:w="922"/>
            <w:gridSpan w:val="2"/>
            <w:vMerge/>
          </w:tcPr>
          <w:p/>
        </w:tc>
        <w:tc>
          <w:tcPr>
            <w:tcW w:type="dxa" w:w="2307"/>
          </w:tcPr>
          <w:p>
            <w:pPr>
              <w:jc w:val="left"/>
            </w:pPr>
            <w:r>
              <w:rPr/>
              <w:t>项目实施方案（二） (5.0分)</w:t>
            </w:r>
          </w:p>
        </w:tc>
        <w:tc>
          <w:tcPr>
            <w:tcW w:type="dxa" w:w="5076"/>
          </w:tcPr>
          <w:p>
            <w:pPr>
              <w:jc w:val="left"/>
            </w:pPr>
            <w:r>
              <w:rPr/>
              <w:t>根据投标人提供的项目实施方案进行综合评审： 1.项目实施方案详细具体，对本项目具有针对性，具备有效可行的实施能力，完全满足项目需求的得5分； 2.项目实施方案较详细具体，对本项目较具有针对性，具备较有效可行的实施能力，基本满足项目需求的得3分； 3.项目实施方案基本完整，对本项目基本具有针对性，具备基本有效可行的实施能力，不完全满足项目需求的得1分； 4.其他或无提供不得分。</w:t>
            </w:r>
          </w:p>
        </w:tc>
      </w:tr>
      <w:tr>
        <w:tc>
          <w:tcPr>
            <w:tcW w:type="dxa" w:w="922"/>
            <w:gridSpan w:val="2"/>
            <w:vMerge/>
          </w:tcPr>
          <w:p/>
        </w:tc>
        <w:tc>
          <w:tcPr>
            <w:tcW w:type="dxa" w:w="2307"/>
          </w:tcPr>
          <w:p>
            <w:pPr>
              <w:jc w:val="left"/>
            </w:pPr>
            <w:r>
              <w:rPr/>
              <w:t>进度计划及保障措施（一） (3.0分)</w:t>
            </w:r>
          </w:p>
        </w:tc>
        <w:tc>
          <w:tcPr>
            <w:tcW w:type="dxa" w:w="5076"/>
          </w:tcPr>
          <w:p>
            <w:pPr>
              <w:jc w:val="left"/>
            </w:pPr>
            <w:r>
              <w:rPr/>
              <w:t>评标委员会根据投标人提供的进度计划及保障措施进行评价，内容应包括（投标文件中的标题应以下列内容命名）： （1）进度计划编制依据； （2）关键节点的控制措施； （2）预计分析与解决方案。 提供全部内容得3分，每缺1项扣1分。</w:t>
            </w:r>
          </w:p>
        </w:tc>
      </w:tr>
      <w:tr>
        <w:tc>
          <w:tcPr>
            <w:tcW w:type="dxa" w:w="922"/>
            <w:gridSpan w:val="2"/>
            <w:vMerge/>
          </w:tcPr>
          <w:p/>
        </w:tc>
        <w:tc>
          <w:tcPr>
            <w:tcW w:type="dxa" w:w="2307"/>
          </w:tcPr>
          <w:p>
            <w:pPr>
              <w:jc w:val="left"/>
            </w:pPr>
            <w:r>
              <w:rPr/>
              <w:t>进度计划及保障措施（二） (5.0分)</w:t>
            </w:r>
          </w:p>
        </w:tc>
        <w:tc>
          <w:tcPr>
            <w:tcW w:type="dxa" w:w="5076"/>
          </w:tcPr>
          <w:p>
            <w:pPr>
              <w:jc w:val="left"/>
            </w:pPr>
            <w:r>
              <w:rPr/>
              <w:t>根据投标人提供的进度计划及保障措施进行综合评审： 1.进度计划编制依据充分，关键线路清晰、准确、完整，计划编制合理、可行；关键节点的控制措施有力、合理、可行，对项目中可能出现的影响进度计划实现的各方面因素作出充分的预计分析并制订切实可行的解决方案及保障措施，完全满足项目需求的得5分； 2.进度计划编制依据较充分，关键线路较清晰、较准确、较完整，计划编制较合理、较可行；关键节点的控制措施较有力、较合理、较可行，对项目中可能出现的影响进度计划实现的各方面因素作出较充分的预计分析并制订较切实可行的解决方案及保障措施，基本满足项目需求的得3分； 3.进度计划编制依据不够充分，关键线路不够清晰、不够准确、不够完整，计划编制不够合理、不可行；关键节点的控制措施不够有力、不够合理、不可行，没有对项目中可能出现的影响进度计划实现的各方面因素，作出预计分析并制订解决方案及保障措施，不完全满足项目需求的得1分； 4.其他或无提供不得分。</w:t>
            </w:r>
          </w:p>
        </w:tc>
      </w:tr>
      <w:tr>
        <w:tc>
          <w:tcPr>
            <w:tcW w:type="dxa" w:w="922"/>
            <w:gridSpan w:val="2"/>
            <w:vMerge/>
          </w:tcPr>
          <w:p/>
        </w:tc>
        <w:tc>
          <w:tcPr>
            <w:tcW w:type="dxa" w:w="2307"/>
          </w:tcPr>
          <w:p>
            <w:pPr>
              <w:jc w:val="left"/>
            </w:pPr>
            <w:r>
              <w:rPr/>
              <w:t>质量保障方案（一） (3.0分)</w:t>
            </w:r>
          </w:p>
        </w:tc>
        <w:tc>
          <w:tcPr>
            <w:tcW w:type="dxa" w:w="5076"/>
          </w:tcPr>
          <w:p>
            <w:pPr>
              <w:jc w:val="left"/>
            </w:pPr>
            <w:r>
              <w:rPr/>
              <w:t>评标委员会根据投标人提供的质量保障方案进行评价，内容应包括（投标文件中的标题应以下列内容命名）： （1）质量保证体系； （2）验收环节的流程及控制； （3）质量事故预防与处理。 提供全部内容得3分，每缺1项扣1分。</w:t>
            </w:r>
          </w:p>
        </w:tc>
      </w:tr>
      <w:tr>
        <w:tc>
          <w:tcPr>
            <w:tcW w:type="dxa" w:w="922"/>
            <w:gridSpan w:val="2"/>
            <w:vMerge/>
          </w:tcPr>
          <w:p/>
        </w:tc>
        <w:tc>
          <w:tcPr>
            <w:tcW w:type="dxa" w:w="2307"/>
          </w:tcPr>
          <w:p>
            <w:pPr>
              <w:jc w:val="left"/>
            </w:pPr>
            <w:r>
              <w:rPr/>
              <w:t>质量保障方案（二） (7.0分)</w:t>
            </w:r>
          </w:p>
        </w:tc>
        <w:tc>
          <w:tcPr>
            <w:tcW w:type="dxa" w:w="5076"/>
          </w:tcPr>
          <w:p>
            <w:pPr>
              <w:jc w:val="left"/>
            </w:pPr>
            <w:r>
              <w:rPr/>
              <w:t>根据投标人提供的质量保障方案进行评审： 1.质量保障方案详细具体，针对性、可操作性强，完全满足项目需求的得7分； 2.质量保障方案较详细具体，针对性、可操作性较强，基本满足项目需求的得4分； 3.质量保障方案基本完整，针对性、可操作性一般，不完全满足项目需求的得1分； 4.其他或无提供不得分。</w:t>
            </w:r>
          </w:p>
        </w:tc>
      </w:tr>
      <w:tr>
        <w:tc>
          <w:tcPr>
            <w:tcW w:type="dxa" w:w="922"/>
            <w:gridSpan w:val="2"/>
            <w:vMerge w:val="restart"/>
          </w:tcPr>
          <w:p>
            <w:pPr>
              <w:jc w:val="center"/>
            </w:pPr>
            <w:r>
              <w:rPr/>
              <w:t>商务部分</w:t>
            </w:r>
          </w:p>
        </w:tc>
        <w:tc>
          <w:tcPr>
            <w:tcW w:type="dxa" w:w="2307"/>
          </w:tcPr>
          <w:p>
            <w:pPr>
              <w:jc w:val="left"/>
            </w:pPr>
            <w:r>
              <w:rPr/>
              <w:t>商务响应程度 (2.0分)</w:t>
            </w:r>
          </w:p>
        </w:tc>
        <w:tc>
          <w:tcPr>
            <w:tcW w:type="dxa" w:w="5076"/>
          </w:tcPr>
          <w:p>
            <w:pPr>
              <w:jc w:val="left"/>
            </w:pPr>
            <w:r>
              <w:rPr/>
              <w:t>根据投标人对“采购需求”中商务条款进行响应： 1.完全满足，得2分； 2.有1条负偏离或不响应，得1.5分； 3.有2条负偏离或不响应，得1分； 4.有3条负偏离或不响应，得0.5分 5.有4条或以上负偏离或不响应，得0分。</w:t>
            </w:r>
          </w:p>
        </w:tc>
      </w:tr>
      <w:tr>
        <w:tc>
          <w:tcPr>
            <w:tcW w:type="dxa" w:w="922"/>
            <w:gridSpan w:val="2"/>
            <w:vMerge/>
          </w:tcPr>
          <w:p/>
        </w:tc>
        <w:tc>
          <w:tcPr>
            <w:tcW w:type="dxa" w:w="2307"/>
          </w:tcPr>
          <w:p>
            <w:pPr>
              <w:jc w:val="left"/>
            </w:pPr>
            <w:r>
              <w:rPr/>
              <w:t>投标人体系认证 (6.0分)</w:t>
            </w:r>
          </w:p>
        </w:tc>
        <w:tc>
          <w:tcPr>
            <w:tcW w:type="dxa" w:w="5076"/>
          </w:tcPr>
          <w:p>
            <w:pPr>
              <w:jc w:val="left"/>
            </w:pPr>
            <w:r>
              <w:rPr/>
              <w:t>投标人具有质量管理体系认证证书、环境管理体系认证证书、职业健康安全管理体系认证证书，每提供一项得2分，最高得6分。 【注：提供证书扫描件作为评审依据，已暂停、已失效或撤销的不得分】</w:t>
            </w:r>
          </w:p>
        </w:tc>
      </w:tr>
      <w:tr>
        <w:tc>
          <w:tcPr>
            <w:tcW w:type="dxa" w:w="922"/>
            <w:gridSpan w:val="2"/>
            <w:vMerge/>
          </w:tcPr>
          <w:p/>
        </w:tc>
        <w:tc>
          <w:tcPr>
            <w:tcW w:type="dxa" w:w="2307"/>
          </w:tcPr>
          <w:p>
            <w:pPr>
              <w:jc w:val="left"/>
            </w:pPr>
            <w:r>
              <w:rPr/>
              <w:t>同类项目业绩 (5.0分)</w:t>
            </w:r>
          </w:p>
        </w:tc>
        <w:tc>
          <w:tcPr>
            <w:tcW w:type="dxa" w:w="5076"/>
          </w:tcPr>
          <w:p>
            <w:pPr>
              <w:jc w:val="left"/>
            </w:pPr>
            <w:r>
              <w:rPr/>
              <w:t>投标人自2020年1月1日至本项目投标截止之日止（以合同签订时间为准）承担过展陈类项目或临展类项目等相关项目业绩，每提供一个得1分，本项最高得5分。 【注：须提供中标（成交）通知书或合同复印件（含签订合同双方的单位名称、合同项目名称、签订合同双方的落款盖章、签订日期的关键页）作为同类业绩证明资料。不提供或资料不全不得分】</w:t>
            </w:r>
          </w:p>
        </w:tc>
      </w:tr>
      <w:tr>
        <w:tc>
          <w:tcPr>
            <w:tcW w:type="dxa" w:w="922"/>
            <w:gridSpan w:val="2"/>
            <w:vMerge/>
          </w:tcPr>
          <w:p/>
        </w:tc>
        <w:tc>
          <w:tcPr>
            <w:tcW w:type="dxa" w:w="2307"/>
          </w:tcPr>
          <w:p>
            <w:pPr>
              <w:jc w:val="left"/>
            </w:pPr>
            <w:r>
              <w:rPr/>
              <w:t>团队人员情况 (5.0分)</w:t>
            </w:r>
          </w:p>
        </w:tc>
        <w:tc>
          <w:tcPr>
            <w:tcW w:type="dxa" w:w="5076"/>
          </w:tcPr>
          <w:p>
            <w:pPr>
              <w:jc w:val="left"/>
            </w:pPr>
            <w:r>
              <w:rPr/>
              <w:t>1.拟投入本项目负责人具有统筹执行大型活动、主题会展项目经验，每统筹执行1个得1分，本项最高得2分； 2.拟投入本项目团队（不含项目负责人）构成需包括6类人员：方向把控人员、内容制作人员、审核人员、效果设计人员、现场跟进人员、服务支持人员，全部齐备得3分，少一类扣0.5分，扣完为止。 【注：须提供项目负责人相关经验证明材料、人员安排表和投标人单位与拟投入团队人员签订的劳动合同复印件或拟投入团队人员在本项目投标截止日之前6个月内任意1个月的社保缴纳或单位代缴个税税单证明材料复印件等相关在职证明材料，需加盖投标人公章，不提供不得分】</w:t>
            </w:r>
          </w:p>
        </w:tc>
      </w:tr>
      <w:tr>
        <w:tc>
          <w:tcPr>
            <w:tcW w:type="dxa" w:w="922"/>
            <w:gridSpan w:val="2"/>
            <w:vMerge/>
          </w:tcPr>
          <w:p/>
        </w:tc>
        <w:tc>
          <w:tcPr>
            <w:tcW w:type="dxa" w:w="2307"/>
          </w:tcPr>
          <w:p>
            <w:pPr>
              <w:jc w:val="left"/>
            </w:pPr>
            <w:r>
              <w:rPr/>
              <w:t>项目履约能力（一） (2.0分)</w:t>
            </w:r>
          </w:p>
        </w:tc>
        <w:tc>
          <w:tcPr>
            <w:tcW w:type="dxa" w:w="5076"/>
          </w:tcPr>
          <w:p>
            <w:pPr>
              <w:jc w:val="left"/>
            </w:pPr>
            <w:r>
              <w:rPr/>
              <w:t>评标委员会根据投标人提供的售后服务方案进行评价，内容应包括（投标文件中的方案标题应以下列内容命名）： （1）对党建内容、基层党建的理解和认知； （2）院校教育相关史料素材的挖掘能力。 提供全部内容得2分，每缺1项扣1分。</w:t>
            </w:r>
          </w:p>
        </w:tc>
      </w:tr>
      <w:tr>
        <w:tc>
          <w:tcPr>
            <w:tcW w:type="dxa" w:w="922"/>
            <w:gridSpan w:val="2"/>
            <w:vMerge/>
          </w:tcPr>
          <w:p/>
        </w:tc>
        <w:tc>
          <w:tcPr>
            <w:tcW w:type="dxa" w:w="2307"/>
          </w:tcPr>
          <w:p>
            <w:pPr>
              <w:jc w:val="left"/>
            </w:pPr>
            <w:r>
              <w:rPr/>
              <w:t>项目履约能力（二） (4.0分)</w:t>
            </w:r>
          </w:p>
        </w:tc>
        <w:tc>
          <w:tcPr>
            <w:tcW w:type="dxa" w:w="5076"/>
          </w:tcPr>
          <w:p>
            <w:pPr>
              <w:jc w:val="left"/>
            </w:pPr>
            <w:r>
              <w:rPr/>
              <w:t>根据投标人提供的项目履约能力进行评审： 1.执行团队政治站位高，熟悉了解党政机关，并对党建内容、基层党建有充分理解和认知的，具备与采购人院校教育相关史料的素材挖掘能力和内容生产能力，得4分。 2.执行团队较了解党政机关，并对党建内容、基层党建有较深入理解和认知的，有院校教育相关史料的素材挖掘能力和内容生产能力的，得2分； 3.执行团队不了解党政机关，并对党建内容、基层党建只有较浅的理解和认知，不具备院校教育相关史料的素材挖掘能力和内容生产能力的，得1分； 4.其他或无提供不得分。</w:t>
            </w:r>
          </w:p>
        </w:tc>
      </w:tr>
      <w:tr>
        <w:tc>
          <w:tcPr>
            <w:tcW w:type="dxa" w:w="922"/>
            <w:gridSpan w:val="2"/>
            <w:vMerge/>
          </w:tcPr>
          <w:p/>
        </w:tc>
        <w:tc>
          <w:tcPr>
            <w:tcW w:type="dxa" w:w="2307"/>
          </w:tcPr>
          <w:p>
            <w:pPr>
              <w:jc w:val="left"/>
            </w:pPr>
            <w:r>
              <w:rPr/>
              <w:t>售后服务方案（一） (2.0分)</w:t>
            </w:r>
          </w:p>
        </w:tc>
        <w:tc>
          <w:tcPr>
            <w:tcW w:type="dxa" w:w="5076"/>
          </w:tcPr>
          <w:p>
            <w:pPr>
              <w:jc w:val="left"/>
            </w:pPr>
            <w:r>
              <w:rPr/>
              <w:t>评标委员会根据投标人提供的售后服务方案进行评价，内容应包括（投标文件中的方案标题应以下列内容命名）： （1）响应时间； （2）售后承诺。 提供全部内容得2分，每缺1项扣1分。</w:t>
            </w:r>
          </w:p>
        </w:tc>
      </w:tr>
      <w:tr>
        <w:tc>
          <w:tcPr>
            <w:tcW w:type="dxa" w:w="922"/>
            <w:gridSpan w:val="2"/>
            <w:vMerge/>
          </w:tcPr>
          <w:p/>
        </w:tc>
        <w:tc>
          <w:tcPr>
            <w:tcW w:type="dxa" w:w="2307"/>
          </w:tcPr>
          <w:p>
            <w:pPr>
              <w:jc w:val="left"/>
            </w:pPr>
            <w:r>
              <w:rPr/>
              <w:t>售后服务方案（二） (4.0分)</w:t>
            </w:r>
          </w:p>
        </w:tc>
        <w:tc>
          <w:tcPr>
            <w:tcW w:type="dxa" w:w="5076"/>
          </w:tcPr>
          <w:p>
            <w:pPr>
              <w:jc w:val="left"/>
            </w:pPr>
            <w:r>
              <w:rPr/>
              <w:t>根据投标人提供的售后服务方案（响应时间、售后承诺等）进行综合评审： 1.响应快捷、售后承诺具体全面，有利于迅速开展售后服务工作的，得4分； 2.响应较快捷、售后承诺较具体全面，较有利于迅速开展售后服务工作的，得2分； 3.响应迟缓、售后承诺不具体全面，不利于迅速开展售后服务工作的，得1分； 4.其他或无提供不得分。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ind w:firstLine="211"/>
        <w:jc w:val="left"/>
      </w:pP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广州铁路职业技术学院</w:t>
      </w:r>
      <w:r>
        <w:rPr>
          <w:sz w:val="21"/>
          <w:u w:val="single"/>
        </w:rPr>
        <w:t>“YI线三站七室”党建阵地布展服务采购项目</w:t>
      </w:r>
      <w:r>
        <w:rPr>
          <w:sz w:val="21"/>
        </w:rPr>
        <w:t>招标文件（项目编号：</w:t>
      </w:r>
      <w:r>
        <w:rPr>
          <w:sz w:val="21"/>
        </w:rPr>
        <w:t>GZGK23D232C0692Z）的要求，经双方协商，本着平等互利和诚实信用的原则，一致同意签订本合同。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59"/>
        <w:gridCol w:w="969"/>
        <w:gridCol w:w="1090"/>
        <w:gridCol w:w="1157"/>
        <w:gridCol w:w="969"/>
        <w:gridCol w:w="969"/>
        <w:gridCol w:w="796"/>
        <w:gridCol w:w="796"/>
        <w:gridCol w:w="796"/>
      </w:tblGrid>
      <w:tr>
        <w:tc>
          <w:tcPr>
            <w:tcW w:type="dxa" w:w="75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品目编码</w:t>
            </w:r>
          </w:p>
        </w:tc>
        <w:tc>
          <w:tcPr>
            <w:tcW w:type="dxa" w:w="1090"/>
            <w:tcBorders>
              <w:top w:val="single" w:color="000000" w:sz="4"/>
              <w:left w:val="none" w:color="000000" w:sz="4"/>
              <w:bottom w:val="single" w:color="000000" w:sz="4"/>
              <w:right w:val="single" w:color="000000" w:sz="4"/>
            </w:tcBorders>
            <w:vAlign w:val="top"/>
          </w:tcPr>
          <w:p>
            <w:pPr>
              <w:jc w:val="center"/>
            </w:pPr>
            <w:r>
              <w:rPr>
                <w:sz w:val="21"/>
              </w:rPr>
              <w:t>品目名称</w:t>
            </w:r>
          </w:p>
        </w:tc>
        <w:tc>
          <w:tcPr>
            <w:tcW w:type="dxa" w:w="1157"/>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单价（元）</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金额（元）</w:t>
            </w: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bl>
    <w:p>
      <w:pPr>
        <w:jc w:val="both"/>
      </w:pPr>
      <w:r>
        <w:rPr>
          <w:b/>
          <w:sz w:val="21"/>
        </w:rPr>
        <w:t>二、</w:t>
      </w:r>
      <w:r>
        <w:rPr>
          <w:b/>
          <w:sz w:val="21"/>
        </w:rPr>
        <w:t>合同金额</w:t>
      </w:r>
    </w:p>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jc w:val="both"/>
      </w:pPr>
      <w:r>
        <w:rPr>
          <w:b/>
          <w:sz w:val="21"/>
        </w:rPr>
        <w:t>三、</w:t>
      </w:r>
      <w:r>
        <w:rPr>
          <w:b/>
          <w:sz w:val="21"/>
        </w:rPr>
        <w:t>服务范围</w:t>
      </w:r>
    </w:p>
    <w:p>
      <w:pPr>
        <w:jc w:val="both"/>
      </w:pPr>
      <w:r>
        <w:rPr>
          <w:sz w:val="21"/>
        </w:rPr>
        <w:t>　　甲方聘请乙方提供以下服务：</w:t>
      </w:r>
    </w:p>
    <w:p>
      <w:pPr>
        <w:jc w:val="both"/>
      </w:pPr>
      <w:r>
        <w:rPr>
          <w:sz w:val="21"/>
        </w:rPr>
        <w:t>1．</w:t>
      </w:r>
      <w:r>
        <w:rPr>
          <w:sz w:val="21"/>
        </w:rPr>
        <w:t>本合同项下的服务指</w:t>
      </w:r>
      <w:r>
        <w:rPr>
          <w:sz w:val="21"/>
          <w:u w:val="single"/>
        </w:rPr>
        <w:t xml:space="preserve">                            </w:t>
      </w:r>
      <w:r>
        <w:rPr>
          <w:sz w:val="21"/>
        </w:rPr>
        <w:t>。</w:t>
      </w:r>
    </w:p>
    <w:p>
      <w:pPr>
        <w:jc w:val="both"/>
      </w:pPr>
      <w:r>
        <w:rPr>
          <w:sz w:val="21"/>
        </w:rPr>
        <w:t>2．</w:t>
      </w:r>
      <w:r>
        <w:rPr>
          <w:sz w:val="21"/>
        </w:rPr>
        <w:t>......</w:t>
      </w:r>
    </w:p>
    <w:p>
      <w:pPr>
        <w:jc w:val="both"/>
      </w:pPr>
      <w:r>
        <w:rPr>
          <w:b/>
          <w:sz w:val="21"/>
        </w:rPr>
        <w:t>四、</w:t>
      </w:r>
      <w:r>
        <w:rPr>
          <w:b/>
          <w:sz w:val="21"/>
        </w:rPr>
        <w:t>服务要求（质量保证及售后服务）</w:t>
      </w:r>
    </w:p>
    <w:p>
      <w:pPr>
        <w:jc w:val="both"/>
      </w:pPr>
      <w:r>
        <w:rPr>
          <w:sz w:val="21"/>
        </w:rPr>
        <w:t>（按采购需求要求）</w:t>
      </w:r>
    </w:p>
    <w:p>
      <w:pPr>
        <w:jc w:val="both"/>
      </w:pPr>
      <w:r>
        <w:rPr>
          <w:b/>
          <w:sz w:val="21"/>
        </w:rPr>
        <w:t>五、</w:t>
      </w:r>
      <w:r>
        <w:rPr>
          <w:b/>
          <w:sz w:val="21"/>
        </w:rPr>
        <w:t>交付时间、地点、方式</w:t>
      </w:r>
    </w:p>
    <w:p>
      <w:pPr>
        <w:jc w:val="both"/>
      </w:pPr>
      <w:r>
        <w:rPr>
          <w:sz w:val="21"/>
        </w:rPr>
        <w:t>1．</w:t>
      </w:r>
      <w:r>
        <w:rPr>
          <w:sz w:val="21"/>
        </w:rPr>
        <w:t>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r>
        <w:rPr>
          <w:sz w:val="21"/>
        </w:rPr>
        <w:t>2．</w:t>
      </w:r>
      <w:r>
        <w:rPr>
          <w:sz w:val="21"/>
        </w:rPr>
        <w:t>交付地点（服务地点）：</w:t>
      </w:r>
      <w:r>
        <w:rPr>
          <w:sz w:val="21"/>
          <w:u w:val="single"/>
        </w:rPr>
        <w:t xml:space="preserve">                        </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甲方乙方的权利和义务</w:t>
      </w:r>
    </w:p>
    <w:p>
      <w:pPr>
        <w:jc w:val="both"/>
      </w:pPr>
      <w:r>
        <w:rPr>
          <w:sz w:val="21"/>
        </w:rPr>
        <w:t>（一）</w:t>
      </w:r>
      <w:r>
        <w:rPr>
          <w:sz w:val="21"/>
        </w:rPr>
        <w:t>甲方的权利和义务：</w:t>
      </w:r>
    </w:p>
    <w:p>
      <w:pPr>
        <w:jc w:val="both"/>
      </w:pPr>
      <w:r>
        <w:rPr>
          <w:sz w:val="21"/>
        </w:rPr>
        <w:t>（二）</w:t>
      </w:r>
      <w:r>
        <w:rPr>
          <w:sz w:val="21"/>
        </w:rPr>
        <w:t>乙方的权利和义务：</w:t>
      </w:r>
    </w:p>
    <w:p>
      <w:pPr>
        <w:jc w:val="both"/>
      </w:pPr>
      <w:r>
        <w:rPr>
          <w:b/>
          <w:sz w:val="21"/>
        </w:rPr>
        <w:t>七、</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sz w:val="21"/>
        </w:rPr>
        <w:t>八、</w:t>
      </w:r>
      <w:r>
        <w:rPr>
          <w:b/>
          <w:sz w:val="21"/>
        </w:rPr>
        <w:t>项目验收评估</w:t>
      </w:r>
    </w:p>
    <w:p>
      <w:pPr>
        <w:jc w:val="left"/>
      </w:pPr>
      <w:r>
        <w:rPr>
          <w:sz w:val="21"/>
        </w:rPr>
        <w:t>1.</w:t>
      </w:r>
      <w:r>
        <w:rPr>
          <w:sz w:val="21"/>
        </w:rPr>
        <w:t>具体要求以招标文件以及乙方的投标文件承诺为准，如招标文件与投标文件不一致时，以更有利于甲方的条款执行。</w:t>
      </w:r>
    </w:p>
    <w:p>
      <w:pPr>
        <w:jc w:val="left"/>
      </w:pPr>
      <w:r>
        <w:rPr>
          <w:b/>
          <w:sz w:val="21"/>
        </w:rPr>
        <w:t>2.</w:t>
      </w:r>
      <w:r>
        <w:rPr>
          <w:color w:val="000000"/>
          <w:sz w:val="21"/>
        </w:rPr>
        <w:t xml:space="preserve"> </w:t>
      </w:r>
      <w:r>
        <w:rPr>
          <w:color w:val="000000"/>
          <w:sz w:val="21"/>
        </w:rPr>
        <w:t>验收期限：全部服务完成后</w:t>
      </w:r>
      <w:r>
        <w:rPr>
          <w:sz w:val="21"/>
          <w:u w:val="single"/>
        </w:rPr>
        <w:t xml:space="preserve">   </w:t>
      </w:r>
      <w:r>
        <w:rPr>
          <w:color w:val="000000"/>
          <w:sz w:val="21"/>
        </w:rPr>
        <w:t>天内完成项目验收。</w:t>
      </w:r>
    </w:p>
    <w:p>
      <w:pPr>
        <w:jc w:val="both"/>
      </w:pPr>
      <w:r>
        <w:rPr>
          <w:b/>
          <w:sz w:val="21"/>
        </w:rPr>
        <w:t>九、</w:t>
      </w:r>
      <w:r>
        <w:rPr>
          <w:b/>
          <w:sz w:val="21"/>
        </w:rPr>
        <w:t>知识产权归属</w:t>
      </w:r>
    </w:p>
    <w:p>
      <w:pPr>
        <w:ind w:firstLine="420"/>
        <w:jc w:val="both"/>
      </w:pPr>
      <w:r>
        <w:rPr>
          <w:sz w:val="21"/>
        </w:rPr>
        <w:t>乙方必须保证甲方在中华人民共和国境内使用投标资料、服务或其任何一部分时，享有不受限制的无偿使用权，不会产生因第三方提出侵犯其专利权、商标权或其它知识产权而引起的法律或经济纠纷。</w:t>
      </w:r>
    </w:p>
    <w:p>
      <w:pPr>
        <w:jc w:val="both"/>
      </w:pPr>
      <w:r>
        <w:rPr>
          <w:b/>
          <w:sz w:val="21"/>
        </w:rPr>
        <w:t>十、</w:t>
      </w:r>
      <w:r>
        <w:rPr>
          <w:b/>
          <w:sz w:val="21"/>
        </w:rPr>
        <w:t>保密</w:t>
      </w:r>
    </w:p>
    <w:p>
      <w:pPr>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b/>
          <w:sz w:val="21"/>
        </w:rPr>
        <w:t>十一、</w:t>
      </w:r>
      <w:r>
        <w:rPr>
          <w:b/>
          <w:sz w:val="21"/>
        </w:rPr>
        <w:t>违约责任与赔偿损失</w:t>
      </w:r>
    </w:p>
    <w:p>
      <w:pPr>
        <w:jc w:val="both"/>
      </w:pPr>
      <w:r>
        <w:rPr>
          <w:sz w:val="21"/>
        </w:rPr>
        <w:t>1．</w:t>
      </w:r>
      <w:r>
        <w:rPr>
          <w:sz w:val="21"/>
        </w:rPr>
        <w:t>乙方提供的服务不符合招标文件、投标文件或本合同规定的，甲方有权拒收，并且乙方须向甲方支付本合同总价</w:t>
      </w:r>
      <w:r>
        <w:rPr>
          <w:sz w:val="21"/>
        </w:rPr>
        <w:t>5%的违约金。</w:t>
      </w:r>
    </w:p>
    <w:p>
      <w:pPr>
        <w:jc w:val="both"/>
      </w:pPr>
      <w:r>
        <w:rPr>
          <w:sz w:val="21"/>
        </w:rPr>
        <w:t>2．</w:t>
      </w:r>
      <w:r>
        <w:rPr>
          <w:sz w:val="21"/>
        </w:rPr>
        <w:t xml:space="preserve"> </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甲方无正当理由拒绝接受服务，到期拒付服务款项的，甲方向乙方偿付本合同总价的</w:t>
      </w:r>
      <w:r>
        <w:rPr>
          <w:sz w:val="21"/>
        </w:rPr>
        <w:t>5%的违约金。甲方逾期付款，则每日按本合同总价的3‰向乙方偿付违约金。</w:t>
      </w:r>
    </w:p>
    <w:p>
      <w:pPr>
        <w:jc w:val="both"/>
      </w:pPr>
      <w:r>
        <w:rPr>
          <w:sz w:val="21"/>
        </w:rPr>
        <w:t>4．</w:t>
      </w:r>
      <w:r>
        <w:rPr>
          <w:sz w:val="21"/>
        </w:rPr>
        <w:t>因甲方原因导致变更、中止或者终止政府采购合同的，甲方对乙方受到的损失予以赔偿或者补偿，赔偿或者补偿金额为：</w:t>
      </w:r>
      <w:r>
        <w:rPr>
          <w:sz w:val="21"/>
          <w:u w:val="single"/>
        </w:rPr>
        <w:t xml:space="preserve"> </w:t>
      </w:r>
      <w:r>
        <w:rPr>
          <w:sz w:val="21"/>
          <w:u w:val="single"/>
        </w:rPr>
        <w:t>按本合同总价的</w:t>
      </w:r>
      <w:r>
        <w:rPr>
          <w:sz w:val="21"/>
          <w:u w:val="single"/>
        </w:rPr>
        <w:t>1%</w:t>
      </w:r>
    </w:p>
    <w:p>
      <w:pPr>
        <w:jc w:val="both"/>
      </w:pPr>
      <w:r>
        <w:rPr>
          <w:sz w:val="21"/>
        </w:rPr>
        <w:t>5．</w:t>
      </w:r>
      <w:r>
        <w:rPr>
          <w:sz w:val="21"/>
        </w:rPr>
        <w:t>其它违约责任按《中华人民共和国民法典》处理。</w:t>
      </w:r>
    </w:p>
    <w:p>
      <w:pPr>
        <w:jc w:val="both"/>
      </w:pPr>
      <w:r>
        <w:rPr>
          <w:b/>
          <w:sz w:val="21"/>
        </w:rPr>
        <w:t>十二、</w:t>
      </w:r>
      <w:r>
        <w:rPr>
          <w:b/>
          <w:sz w:val="21"/>
        </w:rPr>
        <w:t>争端的解决</w:t>
      </w:r>
    </w:p>
    <w:p>
      <w:pPr>
        <w:ind w:firstLine="420"/>
        <w:jc w:val="both"/>
      </w:pPr>
      <w:r>
        <w:rPr>
          <w:sz w:val="21"/>
        </w:rPr>
        <w:t>合同执行过程中发生的任何争议，如双方不能通过友好协商解决，</w:t>
      </w:r>
      <w:r>
        <w:rPr>
          <w:color w:val="000000"/>
          <w:sz w:val="21"/>
        </w:rPr>
        <w:t>则向甲方所在地有管辖权的人民法院提起诉讼</w:t>
      </w:r>
      <w:r>
        <w:rPr>
          <w:sz w:val="21"/>
        </w:rPr>
        <w:t>。</w:t>
      </w:r>
    </w:p>
    <w:p>
      <w:pPr>
        <w:jc w:val="both"/>
      </w:pPr>
      <w:r>
        <w:rPr>
          <w:b/>
          <w:sz w:val="21"/>
        </w:rPr>
        <w:t>十三、</w:t>
      </w:r>
      <w:r>
        <w:rPr>
          <w:b/>
          <w:sz w:val="21"/>
        </w:rPr>
        <w:t>不可抗力</w:t>
      </w:r>
    </w:p>
    <w:p>
      <w:pPr>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11"/>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jc w:val="both"/>
      </w:pPr>
      <w:r>
        <w:rPr>
          <w:sz w:val="21"/>
        </w:rPr>
        <w:t>6．</w:t>
      </w:r>
      <w:r>
        <w:rPr>
          <w:sz w:val="21"/>
        </w:rPr>
        <w:t>本合同未尽事宜，由双方协商处理。</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440101-2023-21948</w:t>
      </w:r>
    </w:p>
    <w:p>
      <w:pPr>
        <w:jc w:val="center"/>
      </w:pPr>
      <w:r>
        <w:rPr>
          <w:b/>
          <w:sz w:val="24"/>
        </w:rPr>
        <w:t>采购项目编号：</w:t>
      </w:r>
      <w:r>
        <w:rPr>
          <w:b/>
          <w:sz w:val="24"/>
        </w:rPr>
        <w:t>GZGK23D232C0692Z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“YI线三站七室”党建阵地建设项目(二次)</w:t>
      </w:r>
      <w:r>
        <w:rPr>
          <w:u w:val="single"/>
        </w:rPr>
        <w:t>”</w:t>
      </w:r>
      <w:r>
        <w:rPr/>
        <w:t>项目的招标[采购项目编号为：</w:t>
      </w:r>
      <w:r>
        <w:rPr>
          <w:u w:val="single"/>
        </w:rPr>
        <w:t>GZGK23D232C0692Z</w:t>
      </w:r>
      <w:r>
        <w:rPr/>
        <w:t>]，我方愿参与投标。</w:t>
      </w:r>
    </w:p>
    <w:p>
      <w:pPr>
        <w:ind w:firstLine="480"/>
      </w:pPr>
      <w:r>
        <w:rPr/>
        <w:t>我方确认收到贵方提供的</w:t>
      </w:r>
      <w:r>
        <w:rPr>
          <w:u w:val="single"/>
        </w:rPr>
        <w:t>“</w:t>
      </w:r>
      <w:r>
        <w:rPr>
          <w:u w:val="single"/>
        </w:rPr>
        <w:t>“YI线三站七室”党建阵地建设项目(二次)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“YI线三站七室”党建阵地建设项目(二次)</w:t>
      </w:r>
      <w:r>
        <w:rPr/>
        <w:t>”项目采购[采购项目编号为</w:t>
      </w:r>
      <w:r>
        <w:rPr/>
        <w:t>GZGK23D232C0692Z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广州铁路职业技术学院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“YI线三站七室”党建阵地建设项目(二次)</w:t>
      </w:r>
      <w:r>
        <w:rPr/>
        <w:t>招标中获中标（采购项目编号：</w:t>
      </w:r>
      <w:r>
        <w:rPr/>
        <w:t>GZGK23D232C0692Z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12" Target="media/image7.png" Type="http://schemas.openxmlformats.org/officeDocument/2006/relationships/image"/><Relationship Id="rId13" Target="media/image8.png" Type="http://schemas.openxmlformats.org/officeDocument/2006/relationships/image"/><Relationship Id="rId14" Target="media/image9.png" Type="http://schemas.openxmlformats.org/officeDocument/2006/relationships/image"/><Relationship Id="rId15" Target="media/image10.png" Type="http://schemas.openxmlformats.org/officeDocument/2006/relationships/image"/><Relationship Id="rId16" Target="media/image11.png" Type="http://schemas.openxmlformats.org/officeDocument/2006/relationships/image"/><Relationship Id="rId17" Target="media/image12.png" Type="http://schemas.openxmlformats.org/officeDocument/2006/relationships/image"/><Relationship Id="rId18" Target="media/image13.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