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440106-2023-05798</w:t>
      </w:r>
    </w:p>
    <w:p>
      <w:pPr>
        <w:jc w:val="center"/>
      </w:pPr>
      <w:r>
        <w:rPr>
          <w:b/>
          <w:sz w:val="24"/>
        </w:rPr>
        <w:t>采购项目编号：</w:t>
      </w:r>
      <w:r>
        <w:rPr>
          <w:b/>
          <w:sz w:val="24"/>
        </w:rPr>
        <w:t>GZGK23D313C0982Z</w:t>
      </w:r>
    </w:p>
    <w:p>
      <w:pPr>
        <w:jc w:val="center"/>
      </w:pPr>
      <w:r>
        <w:rPr>
          <w:b/>
          <w:sz w:val="24"/>
        </w:rPr>
        <w:t>项目名称：</w:t>
      </w:r>
      <w:r>
        <w:rPr>
          <w:b/>
          <w:sz w:val="24"/>
        </w:rPr>
        <w:t>天河区残联2024年社区精神康复综合服务项目</w:t>
      </w:r>
    </w:p>
    <w:p>
      <w:pPr>
        <w:jc w:val="center"/>
      </w:pPr>
      <w:r>
        <w:rPr>
          <w:b/>
          <w:sz w:val="24"/>
        </w:rPr>
        <w:t>采购人：</w:t>
      </w:r>
      <w:r>
        <w:rPr>
          <w:b/>
          <w:sz w:val="24"/>
        </w:rPr>
        <w:t>广州市天河区残疾人联合会</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广州市天河区残疾人联合会</w:t>
      </w:r>
      <w:r>
        <w:rPr/>
        <w:t>的委托，采用</w:t>
      </w:r>
      <w:r>
        <w:rPr/>
        <w:t>公开招标</w:t>
      </w:r>
      <w:r>
        <w:rPr/>
        <w:t>方式组织采购</w:t>
      </w:r>
      <w:r>
        <w:rPr/>
        <w:t>天河区残联2024年社区精神康复综合服务项目</w:t>
      </w:r>
      <w:r>
        <w:rPr/>
        <w:t>。欢迎符合资格条件的国内供应商参加投标。</w:t>
      </w:r>
    </w:p>
    <w:p>
      <w:r>
        <w:rPr>
          <w:b/>
          <w:sz w:val="28"/>
        </w:rPr>
        <w:t>一.项目概述</w:t>
      </w:r>
    </w:p>
    <w:p>
      <w:r>
        <w:rPr>
          <w:b/>
          <w:sz w:val="24"/>
        </w:rPr>
        <w:t>1.名称与编号</w:t>
      </w:r>
    </w:p>
    <w:p>
      <w:pPr>
        <w:ind w:firstLine="480"/>
      </w:pPr>
      <w:r>
        <w:rPr/>
        <w:t>项目名称：</w:t>
      </w:r>
      <w:r>
        <w:rPr/>
        <w:t>天河区残联2024年社区精神康复综合服务项目</w:t>
      </w:r>
    </w:p>
    <w:p>
      <w:pPr>
        <w:ind w:firstLine="480"/>
      </w:pPr>
      <w:r>
        <w:rPr/>
        <w:t>采购计划编号：</w:t>
      </w:r>
      <w:r>
        <w:rPr/>
        <w:t>440106-2023-05798</w:t>
      </w:r>
    </w:p>
    <w:p>
      <w:pPr>
        <w:ind w:firstLine="480"/>
      </w:pPr>
      <w:r>
        <w:rPr/>
        <w:t>采购项目编号：</w:t>
      </w:r>
      <w:r>
        <w:rPr/>
        <w:t>GZGK23D313C0982Z</w:t>
      </w:r>
    </w:p>
    <w:p>
      <w:pPr>
        <w:ind w:firstLine="480"/>
      </w:pPr>
      <w:r>
        <w:rPr/>
        <w:t>采购方式：</w:t>
      </w:r>
      <w:r>
        <w:rPr/>
        <w:t>公开招标</w:t>
      </w:r>
    </w:p>
    <w:p>
      <w:pPr>
        <w:ind w:firstLine="480"/>
      </w:pPr>
      <w:r>
        <w:rPr/>
        <w:t>预算金额：</w:t>
      </w:r>
      <w:r>
        <w:rPr/>
        <w:t>3,456,000.00</w:t>
      </w:r>
      <w:r>
        <w:rPr/>
        <w:t>元</w:t>
      </w:r>
    </w:p>
    <w:p>
      <w:r>
        <w:rPr>
          <w:b/>
          <w:sz w:val="24"/>
        </w:rPr>
        <w:t>2.项目内容及需求情况（采购项目技术规格、参数及要求）</w:t>
      </w:r>
    </w:p>
    <w:p>
      <w:pPr>
        <w:ind w:firstLine="480"/>
      </w:pPr>
    </w:p>
    <w:p/>
    <w:p>
      <w:r>
        <w:rPr/>
        <w:t>采购包1(天河区残联2024年社区精神康复综合服务项目):</w:t>
      </w:r>
    </w:p>
    <w:p>
      <w:r>
        <w:rPr/>
        <w:t>采购包预算金额：3,456,000.00元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天河区残联2024年社区精神康复综合服务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采购包1（天河区残联2024年社区精神康复综合服务项目）：</w:t>
      </w:r>
      <w:r>
        <w:rPr/>
        <w:t>本采购包不属于专门面向中小企业采购的项目。</w:t>
      </w:r>
    </w:p>
    <w:p/>
    <w:p>
      <w:r>
        <w:rPr>
          <w:b/>
          <w:sz w:val="24"/>
        </w:rPr>
        <w:t>3.本项目特定的资格要求：</w:t>
      </w:r>
    </w:p>
    <w:p>
      <w:pPr>
        <w:ind w:firstLine="480"/>
      </w:pPr>
    </w:p>
    <w:p/>
    <w:p>
      <w:r>
        <w:rPr/>
        <w:t>采购包1（天河区残联2024年社区精神康复综合服务项目）：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广州市天河区残疾人联合会</w:t>
      </w:r>
    </w:p>
    <w:p>
      <w:pPr>
        <w:ind w:firstLine="480"/>
      </w:pPr>
      <w:r>
        <w:rPr/>
        <w:t>地址：</w:t>
      </w:r>
      <w:r>
        <w:rPr/>
        <w:t>广州市天河区天府路1号</w:t>
      </w:r>
    </w:p>
    <w:p>
      <w:pPr>
        <w:ind w:firstLine="480"/>
      </w:pPr>
      <w:r>
        <w:rPr/>
        <w:t>联系方式：</w:t>
      </w:r>
      <w:r>
        <w:rPr/>
        <w:t>020-38622331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020-87684726、020-87688049</w:t>
      </w:r>
    </w:p>
    <w:p>
      <w:r>
        <w:rPr>
          <w:b/>
          <w:sz w:val="24"/>
        </w:rPr>
        <w:t>3.项目联系方式</w:t>
      </w:r>
    </w:p>
    <w:p>
      <w:pPr>
        <w:ind w:firstLine="480"/>
      </w:pPr>
      <w:r>
        <w:rPr/>
        <w:t>项目联系人：</w:t>
      </w:r>
      <w:r>
        <w:rPr/>
        <w:t>李玉霜、陈蔚</w:t>
      </w:r>
    </w:p>
    <w:p>
      <w:pPr>
        <w:ind w:firstLine="480"/>
      </w:pPr>
      <w:r>
        <w:rPr/>
        <w:t>电话：</w:t>
      </w:r>
      <w:r>
        <w:rPr/>
        <w:t>020-87684726、020-87688049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GZGK23D313C0982Z</w:t>
      </w:r>
    </w:p>
    <w:p>
      <w:pPr>
        <w:jc w:val="both"/>
      </w:pPr>
      <w:r>
        <w:rPr>
          <w:b/>
          <w:sz w:val="21"/>
        </w:rPr>
        <w:t>（二）</w:t>
      </w:r>
      <w:r>
        <w:rPr>
          <w:b/>
          <w:sz w:val="21"/>
        </w:rPr>
        <w:t>项目名称：</w:t>
      </w:r>
      <w:r>
        <w:rPr>
          <w:sz w:val="21"/>
        </w:rPr>
        <w:t>天河区残联</w:t>
      </w:r>
      <w:r>
        <w:rPr>
          <w:sz w:val="21"/>
        </w:rPr>
        <w:t>2024年社区精神康复综合服务项目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投标人应对采购需求中的服务指标在响应详细内容中明确承诺。如果投标人只注明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3、</w:t>
      </w:r>
      <w:r>
        <w:rPr>
          <w:sz w:val="21"/>
        </w:rPr>
        <w:t>投标人没有在投标文件中注明偏离（文字说明或在响应表注明）的参数、配置、条款视为被投标人完全接受。</w:t>
      </w:r>
    </w:p>
    <w:p>
      <w:pPr>
        <w:jc w:val="both"/>
      </w:pPr>
      <w:r>
        <w:rPr>
          <w:sz w:val="21"/>
        </w:rPr>
        <w:t>4、</w:t>
      </w:r>
      <w:r>
        <w:rPr>
          <w:sz w:val="21"/>
        </w:rPr>
        <w:t>投标人应保证，采购人在中华人民共和国使用该服务或服务的任何一部分时，免受第三方提出的侵犯其专利权、商标权、著作权或其它知识产权的起诉。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不允许中标供应商</w:t>
      </w:r>
      <w:r>
        <w:rPr>
          <w:sz w:val="21"/>
        </w:rPr>
        <w:t>转包、分包项目内容</w:t>
      </w:r>
      <w:r>
        <w:rPr>
          <w:sz w:val="21"/>
        </w:rPr>
        <w:t>。</w:t>
      </w:r>
    </w:p>
    <w:p>
      <w:pPr>
        <w:jc w:val="both"/>
      </w:pPr>
      <w:r>
        <w:rPr>
          <w:sz w:val="21"/>
        </w:rPr>
        <w:t>6、</w:t>
      </w:r>
      <w:r>
        <w:rPr>
          <w:sz w:val="21"/>
        </w:rPr>
        <w:t>小型和微型企业、监狱企业和残疾人福利性单位必须按照招标（采购）文件第三章内容提供相应的资料。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color w:val="333333"/>
          <w:sz w:val="21"/>
        </w:rPr>
        <w:t>8、</w:t>
      </w:r>
      <w:r>
        <w:rPr>
          <w:sz w:val="21"/>
        </w:rPr>
        <w:t>本项目符合《政府采购促进中小企业发展管理办法》第六条第（一）项、第（三）项的情形，故不专门面向中小企业</w:t>
      </w:r>
      <w:r>
        <w:rPr>
          <w:color w:val="333333"/>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1.投标报价包括：人员费用、服务质量保障费用及</w:t>
      </w:r>
      <w:r>
        <w:rPr>
          <w:sz w:val="21"/>
        </w:rPr>
        <w:t>中标供应商</w:t>
      </w:r>
      <w:r>
        <w:rPr>
          <w:sz w:val="21"/>
        </w:rPr>
        <w:t>管理费用等。</w:t>
      </w:r>
      <w:r>
        <w:rPr>
          <w:sz w:val="21"/>
        </w:rPr>
        <w:t>报价是固定唯一</w:t>
      </w:r>
      <w:r>
        <w:rPr>
          <w:sz w:val="21"/>
        </w:rPr>
        <w:t>的</w:t>
      </w:r>
      <w:r>
        <w:rPr>
          <w:sz w:val="21"/>
        </w:rPr>
        <w:t>。不允许有候选方案，不接受具有附加条件的报价。若关于本项目的购买经费标准有新规定的，按照有关规定执行。</w:t>
      </w:r>
    </w:p>
    <w:p>
      <w:pPr>
        <w:jc w:val="both"/>
      </w:pPr>
      <w:r>
        <w:rPr>
          <w:sz w:val="21"/>
        </w:rPr>
        <w:t>2.本项目为固定总价项目，投标人按照采购预算金额在投标客户端进行报价，价格分按照投标人服务总工时计算得分。</w:t>
      </w:r>
    </w:p>
    <w:p>
      <w:pPr>
        <w:jc w:val="both"/>
      </w:pPr>
      <w:r>
        <w:rPr>
          <w:sz w:val="21"/>
        </w:rPr>
        <w:t xml:space="preserve"> </w:t>
      </w:r>
      <w:r>
        <w:rPr>
          <w:sz w:val="21"/>
        </w:rPr>
        <w:t>★3.因招标文件中的格式为自动生成格式，与实际报价需求不符。为保证投标报价清晰合理，各投标人的《分项报价表》以下面格式为准。</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center"/>
            </w:pPr>
            <w:r>
              <w:rPr>
                <w:sz w:val="21"/>
              </w:rPr>
              <w:t>分项报价表</w:t>
            </w:r>
          </w:p>
        </w:tc>
      </w:tr>
      <w:tr>
        <w:tc>
          <w:tcPr>
            <w:tcW w:type="dxa" w:w="8306"/>
            <w:tcBorders>
              <w:top w:val="none" w:color="000000" w:sz="4"/>
              <w:left w:val="single" w:color="000000" w:sz="4"/>
              <w:bottom w:val="single" w:color="000000" w:sz="4"/>
              <w:right w:val="single" w:color="000000" w:sz="4"/>
            </w:tcBorders>
            <w:vAlign w:val="top"/>
          </w:tcPr>
          <w:p>
            <w:pPr>
              <w:jc w:val="both"/>
            </w:pPr>
            <w:r>
              <w:rPr>
                <w:sz w:val="21"/>
              </w:rPr>
              <w:t>项目编号：</w:t>
            </w:r>
          </w:p>
          <w:p>
            <w:pPr>
              <w:jc w:val="both"/>
            </w:pPr>
            <w:r>
              <w:rPr>
                <w:sz w:val="21"/>
              </w:rPr>
              <w:t>项目名称：</w:t>
            </w:r>
          </w:p>
          <w:p>
            <w:pPr>
              <w:jc w:val="both"/>
            </w:pPr>
            <w:r>
              <w:rPr>
                <w:sz w:val="21"/>
              </w:rPr>
              <w:t>投标人名称：</w:t>
            </w:r>
          </w:p>
          <w:tbl>
            <w:tblPr>
              <w:tblBorders>
                <w:top w:val="none" w:color="000000" w:sz="4"/>
                <w:left w:val="none" w:color="000000" w:sz="4"/>
                <w:bottom w:val="none" w:color="000000" w:sz="4"/>
                <w:right w:val="none" w:color="000000" w:sz="4"/>
                <w:insideH w:val="none"/>
                <w:insideV w:val="none"/>
              </w:tblBorders>
            </w:tblPr>
            <w:tblGrid>
              <w:gridCol w:w="2940"/>
              <w:gridCol w:w="2034"/>
              <w:gridCol w:w="1828"/>
              <w:gridCol w:w="1285"/>
            </w:tblGrid>
            <w:tr>
              <w:tc>
                <w:tcPr>
                  <w:tcW w:type="dxa" w:w="2940"/>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2034"/>
                  <w:tcBorders>
                    <w:top w:val="single" w:color="000000" w:sz="4"/>
                    <w:left w:val="none" w:color="000000" w:sz="4"/>
                    <w:bottom w:val="single" w:color="000000" w:sz="4"/>
                    <w:right w:val="single" w:color="000000" w:sz="4"/>
                  </w:tcBorders>
                  <w:vAlign w:val="top"/>
                </w:tcPr>
                <w:p>
                  <w:pPr>
                    <w:jc w:val="center"/>
                  </w:pPr>
                  <w:r>
                    <w:rPr>
                      <w:sz w:val="21"/>
                    </w:rPr>
                    <w:t>投标总价（元）</w:t>
                  </w:r>
                </w:p>
              </w:tc>
              <w:tc>
                <w:tcPr>
                  <w:tcW w:type="dxa" w:w="1828"/>
                  <w:tcBorders>
                    <w:top w:val="single" w:color="000000" w:sz="4"/>
                    <w:left w:val="none" w:color="000000" w:sz="4"/>
                    <w:bottom w:val="single" w:color="000000" w:sz="4"/>
                    <w:right w:val="single" w:color="000000" w:sz="4"/>
                  </w:tcBorders>
                  <w:vAlign w:val="top"/>
                </w:tcPr>
                <w:p>
                  <w:pPr>
                    <w:jc w:val="center"/>
                  </w:pPr>
                  <w:r>
                    <w:rPr>
                      <w:sz w:val="21"/>
                    </w:rPr>
                    <w:t>年度服务总工时</w:t>
                  </w:r>
                </w:p>
                <w:p>
                  <w:pPr>
                    <w:jc w:val="center"/>
                  </w:pPr>
                  <w:r>
                    <w:rPr>
                      <w:sz w:val="21"/>
                    </w:rPr>
                    <w:t>（小时</w:t>
                  </w:r>
                  <w:r>
                    <w:rPr>
                      <w:sz w:val="21"/>
                    </w:rPr>
                    <w:t>/年）</w:t>
                  </w:r>
                </w:p>
              </w:tc>
              <w:tc>
                <w:tcPr>
                  <w:tcW w:type="dxa" w:w="128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940"/>
                  <w:tcBorders>
                    <w:top w:val="none" w:color="000000" w:sz="4"/>
                    <w:left w:val="single" w:color="000000" w:sz="4"/>
                    <w:bottom w:val="single" w:color="000000" w:sz="4"/>
                    <w:right w:val="single" w:color="000000" w:sz="4"/>
                  </w:tcBorders>
                  <w:vAlign w:val="top"/>
                </w:tcPr>
                <w:p>
                  <w:pPr>
                    <w:jc w:val="center"/>
                  </w:pPr>
                  <w:r>
                    <w:rPr>
                      <w:sz w:val="21"/>
                    </w:rPr>
                    <w:t>天河区残联</w:t>
                  </w:r>
                  <w:r>
                    <w:rPr>
                      <w:sz w:val="21"/>
                    </w:rPr>
                    <w:t>2024年社区精神康复综合服务项目</w:t>
                  </w:r>
                </w:p>
              </w:tc>
              <w:tc>
                <w:tcPr>
                  <w:tcW w:type="dxa" w:w="2034"/>
                  <w:tcBorders>
                    <w:top w:val="none" w:color="000000" w:sz="4"/>
                    <w:left w:val="none" w:color="000000" w:sz="4"/>
                    <w:bottom w:val="single" w:color="000000" w:sz="4"/>
                    <w:right w:val="single" w:color="000000" w:sz="4"/>
                  </w:tcBorders>
                  <w:vAlign w:val="top"/>
                </w:tcPr>
                <w:p>
                  <w:pPr>
                    <w:jc w:val="center"/>
                  </w:pPr>
                  <w:r>
                    <w:rPr>
                      <w:sz w:val="21"/>
                    </w:rPr>
                    <w:t>3,456,000.00</w:t>
                  </w:r>
                </w:p>
              </w:tc>
              <w:tc>
                <w:tcPr>
                  <w:tcW w:type="dxa" w:w="1828"/>
                  <w:tcBorders>
                    <w:top w:val="none" w:color="000000" w:sz="4"/>
                    <w:left w:val="none" w:color="000000" w:sz="4"/>
                    <w:bottom w:val="single" w:color="000000" w:sz="4"/>
                    <w:right w:val="single" w:color="000000" w:sz="4"/>
                  </w:tcBorders>
                  <w:vAlign w:val="top"/>
                </w:tcPr>
                <w:p>
                  <w:pPr>
                    <w:jc w:val="center"/>
                  </w:pPr>
                </w:p>
              </w:tc>
              <w:tc>
                <w:tcPr>
                  <w:tcW w:type="dxa" w:w="1285"/>
                  <w:tcBorders>
                    <w:top w:val="none" w:color="000000" w:sz="4"/>
                    <w:left w:val="none" w:color="000000" w:sz="4"/>
                    <w:bottom w:val="single" w:color="000000" w:sz="4"/>
                    <w:right w:val="single" w:color="000000" w:sz="4"/>
                  </w:tcBorders>
                  <w:vAlign w:val="top"/>
                </w:tcPr>
                <w:p>
                  <w:pPr>
                    <w:jc w:val="center"/>
                  </w:pPr>
                </w:p>
              </w:tc>
            </w:tr>
          </w:tbl>
          <w:p>
            <w:pPr>
              <w:jc w:val="both"/>
            </w:pPr>
            <w:r>
              <w:rPr>
                <w:sz w:val="21"/>
              </w:rPr>
              <w:t>备注：</w:t>
            </w:r>
            <w:r>
              <w:rPr>
                <w:sz w:val="21"/>
              </w:rPr>
              <w:t>投标人所报的服务工时须按照《广州市残疾人联合会</w:t>
            </w:r>
            <w:r>
              <w:rPr>
                <w:sz w:val="21"/>
              </w:rPr>
              <w:t>广州市卫生健康委员会</w:t>
            </w:r>
            <w:r>
              <w:rPr>
                <w:sz w:val="21"/>
              </w:rPr>
              <w:t>广州市民政局</w:t>
            </w:r>
            <w:r>
              <w:rPr>
                <w:sz w:val="21"/>
              </w:rPr>
              <w:t>广州市财政局关于印发广州市</w:t>
            </w:r>
            <w:r>
              <w:rPr>
                <w:sz w:val="21"/>
              </w:rPr>
              <w:t>社区精神康复综合服务中心管理办法的通知》（穗残联规字</w:t>
            </w:r>
            <w:r>
              <w:rPr>
                <w:sz w:val="21"/>
              </w:rPr>
              <w:t>[2020]1 号）</w:t>
            </w:r>
            <w:r>
              <w:rPr>
                <w:sz w:val="21"/>
              </w:rPr>
              <w:t>要求设计。年度最低服务工时为</w:t>
            </w:r>
            <w:r>
              <w:rPr>
                <w:sz w:val="21"/>
              </w:rPr>
              <w:t>22222.5小时，年度最高总服务工时为2</w:t>
            </w:r>
            <w:r>
              <w:rPr>
                <w:sz w:val="21"/>
              </w:rPr>
              <w:t>5480</w:t>
            </w:r>
            <w:r>
              <w:rPr>
                <w:sz w:val="21"/>
              </w:rPr>
              <w:t>小时，投标人的年度</w:t>
            </w:r>
            <w:r>
              <w:rPr>
                <w:sz w:val="21"/>
              </w:rPr>
              <w:t>投标服务工时（每年</w:t>
            </w:r>
            <w:r>
              <w:rPr>
                <w:sz w:val="21"/>
              </w:rPr>
              <w:t>计划投入本项目的专业服务总工时</w:t>
            </w:r>
            <w:r>
              <w:rPr>
                <w:sz w:val="21"/>
              </w:rPr>
              <w:t>）须在</w:t>
            </w:r>
            <w:r>
              <w:rPr>
                <w:sz w:val="21"/>
              </w:rPr>
              <w:t>[</w:t>
            </w:r>
            <w:r>
              <w:rPr>
                <w:sz w:val="21"/>
              </w:rPr>
              <w:t>22222.5，</w:t>
            </w:r>
            <w:r>
              <w:rPr>
                <w:sz w:val="21"/>
              </w:rPr>
              <w:t>25480</w:t>
            </w:r>
            <w:r>
              <w:rPr>
                <w:sz w:val="21"/>
              </w:rPr>
              <w:t>]之间</w:t>
            </w:r>
            <w:r>
              <w:rPr>
                <w:sz w:val="21"/>
              </w:rPr>
              <w:t>，否则为无效报价。</w:t>
            </w:r>
          </w:p>
          <w:p>
            <w:pPr>
              <w:ind w:firstLine="420"/>
              <w:jc w:val="both"/>
            </w:pPr>
          </w:p>
          <w:p>
            <w:pPr>
              <w:jc w:val="both"/>
            </w:pPr>
            <w:r>
              <w:rPr>
                <w:sz w:val="21"/>
              </w:rPr>
              <w:t>投标人签章：</w:t>
            </w:r>
            <w:r>
              <w:rPr>
                <w:sz w:val="21"/>
              </w:rPr>
              <w:t>__________________</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ind w:firstLine="420"/>
        <w:jc w:val="both"/>
      </w:pPr>
    </w:p>
    <w:p>
      <w:pPr>
        <w:jc w:val="both"/>
      </w:pPr>
      <w:r>
        <w:rPr>
          <w:b/>
          <w:sz w:val="21"/>
        </w:rPr>
        <w:t>（六）</w:t>
      </w:r>
      <w:r>
        <w:rPr>
          <w:b/>
          <w:sz w:val="21"/>
        </w:rPr>
        <w:t>实现的目标</w:t>
      </w:r>
    </w:p>
    <w:p>
      <w:pPr>
        <w:ind w:firstLine="420"/>
        <w:jc w:val="both"/>
      </w:pPr>
      <w:r>
        <w:rPr>
          <w:sz w:val="21"/>
        </w:rPr>
        <w:t>采购人通过政府购买服务形式由社会工作服务机构承接运营广州市天河区社区精神康复综合服务中心，中心运用社会工作的方法，通过专职社工，为精神残疾人、精神病康复者、社会心理障碍人士及他们的家属或者照顾者，提供社区精神康复服务，包括康复训练、心理疏导、事前预防、危机介入、实时支援，以及个案跟进等专业社工服务，从个人、家庭、社区三个层面介入，坚持</w:t>
      </w:r>
      <w:r>
        <w:rPr>
          <w:sz w:val="21"/>
        </w:rPr>
        <w:t>“加强经济保障、立足个体发展、促进家庭和谐、推动社区共融”的服务理念，保障精神障碍者生存、参与和发展的权利。</w:t>
      </w:r>
    </w:p>
    <w:p>
      <w:pPr>
        <w:jc w:val="both"/>
      </w:pPr>
      <w:r>
        <w:rPr>
          <w:b/>
          <w:sz w:val="21"/>
        </w:rPr>
        <w:t>（七）</w:t>
      </w:r>
      <w:r>
        <w:rPr>
          <w:b/>
          <w:sz w:val="21"/>
        </w:rPr>
        <w:t>需执行国家相关标准、行业标准、地方标准或者其他标准、规范</w:t>
      </w:r>
    </w:p>
    <w:p/>
    <w:p>
      <w:pPr>
        <w:ind w:firstLine="480"/>
      </w:pPr>
    </w:p>
    <w:p/>
    <w:p>
      <w:r>
        <w:rPr/>
        <w:t>采购包1（天河区残联2024年社区精神康复综合服务项目）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服务期限：合同签订之日起至2024年12月31日。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1期：支付比例55%,1.第一笔：合同签订生效之日起30个工作日内拨付，额度为年度服务经费总额的55%；</w:t>
            </w:r>
          </w:p>
          <w:p/>
          <w:p>
            <w:r>
              <w:rPr/>
              <w:t>2期：支付比例25%,2.第二笔：在年度中期服务质量督导评估合格后30个工作日内拨付，额度为年度服务经费总额的25%。中期评估结果为基本合格的，中标供应商根据评估意见进行整改，采购人认可整改结果后，在15个工作日内拨付相应的服务经费；采购人不认可整改结果的，第二笔服务经费暂缓支付，直至中标供应商完成整改后才予以支付；中期评估评估结果为不合格的，服务经费不予支付并终止合同。</w:t>
            </w:r>
          </w:p>
          <w:p/>
          <w:p>
            <w:r>
              <w:rPr/>
              <w:t>3期：支付比例20%,3. 第三笔：在年度末期服务质量督导评估合格后30个工作日内拨付，额度为年度服务经费总额的20%。末期评估结果为基本合格的，中标供应商根据评估意见进行整改，采购人认可整改结果后，在当年拨付剩余购买服务经费；采购人不认可整改结果的，第三笔购买服务经费暂缓支付，直至中标供应商完成整改后才予以支付；末期评估结果为不合格的，剩余购买服务经费不予支付并终止合同。 4.中标供应商未按照合同在中期评估和末期评估前完成相应的工时，应当把其未完成的工时按照当年经费总额除以总工时时数乘以所欠工时数折算出清算额，分别在第二笔和第三笔购买服务经费中进行扣减。中标供应商工时的完成情况按直接专业服务工时、间接专业服务工时和辅助性服务工时进行分类统计，不同种类的工时不能互为抵扣。各项工时应当按时达到年度工时标准要求才能支付全款。</w:t>
            </w:r>
          </w:p>
        </w:tc>
      </w:tr>
      <w:tr>
        <w:tc>
          <w:tcPr>
            <w:tcW w:type="dxa" w:w="4153"/>
          </w:tcPr>
          <w:p>
            <w:r>
              <w:rPr/>
              <w:t>验收要求</w:t>
            </w:r>
          </w:p>
        </w:tc>
        <w:tc>
          <w:tcPr>
            <w:tcW w:type="dxa" w:w="4153"/>
          </w:tcPr>
          <w:p/>
          <w:p/>
          <w:p/>
          <w:p>
            <w:r>
              <w:rPr/>
              <w:t>1期：1、采购人按照《广州市残疾人联合会 广州市卫生计生委 广州市民政局 广州市财政局关于印发&lt;广州市社区精神康复综合服务中心管理办法&gt;的通知》（穗残联规字[2020]1号）、《广州市残疾人联合会关于印发&lt;广州市社区精神康复综合服务中心服务质量评估办法》的通知（穗残联[2019]172号），以及本项目招标文件的相关规定及评估标准执行。  2、采购人服务期内进行中期、末期评估，同时全过程不定期进行抽查。中标供应商须无条件配合采购人及第三方的考核，如遇采购人上级新文件下发或不可抗力因素，则按上级文件执行，其他另行协商处理。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天河区残联2024年社区精神康复综合服务</w:t>
            </w:r>
          </w:p>
        </w:tc>
        <w:tc>
          <w:tcPr>
            <w:tcW w:type="dxa" w:w="933"/>
          </w:tcPr>
          <w:p>
            <w:pPr>
              <w:jc w:val="left"/>
            </w:pPr>
            <w:r>
              <w:rPr/>
              <w:t>年</w:t>
            </w:r>
          </w:p>
        </w:tc>
        <w:tc>
          <w:tcPr>
            <w:tcW w:type="dxa" w:w="933"/>
          </w:tcPr>
          <w:p>
            <w:pPr>
              <w:jc w:val="right"/>
            </w:pPr>
            <w:r>
              <w:rPr/>
              <w:t>1.00</w:t>
            </w:r>
          </w:p>
        </w:tc>
        <w:tc>
          <w:tcPr>
            <w:tcW w:type="dxa" w:w="933"/>
          </w:tcPr>
          <w:p>
            <w:pPr>
              <w:jc w:val="right"/>
            </w:pPr>
            <w:r>
              <w:rPr/>
              <w:t>3,456,000.00</w:t>
            </w:r>
          </w:p>
        </w:tc>
        <w:tc>
          <w:tcPr>
            <w:tcW w:type="dxa" w:w="933"/>
          </w:tcPr>
          <w:p>
            <w:pPr>
              <w:jc w:val="right"/>
            </w:pPr>
            <w:r>
              <w:rPr/>
              <w:t>3,456,000.00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天河区残联2024年社区精神康复综合服务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w:t>
            </w:r>
            <w:r>
              <w:rPr>
                <w:b/>
                <w:sz w:val="21"/>
              </w:rPr>
              <w:t>概况</w:t>
            </w:r>
          </w:p>
          <w:p>
            <w:pPr>
              <w:ind w:firstLine="420"/>
              <w:jc w:val="both"/>
            </w:pPr>
            <w:r>
              <w:rPr>
                <w:sz w:val="21"/>
              </w:rPr>
              <w:t>天河区残疾人联合会通过政府购买服务形式由社会工作服务机构承接运营广州市天河区社区精神康复综合服务中心，中心运用社会工作的方法，通过专职社工，为精神残疾人、精神病康复者、社会心理障碍人士及他们的家属或者照顾者，提供社区精神康复服务，包括康复训练、心理疏导、事前预防、危机介入、实时支援，以及个案跟进等专业社工服务，从个人、家庭、社区三个层面介入，坚持</w:t>
            </w:r>
            <w:r>
              <w:rPr>
                <w:sz w:val="21"/>
              </w:rPr>
              <w:t>“加强经济保障、立足个体发展、促进家庭和谐、推动社区共融”的服务理念，保障精神障碍者生存、参与和发展的权利。</w:t>
            </w:r>
          </w:p>
          <w:p>
            <w:pPr>
              <w:jc w:val="both"/>
            </w:pPr>
            <w:r>
              <w:rPr>
                <w:b/>
                <w:sz w:val="21"/>
              </w:rPr>
              <w:t>二、</w:t>
            </w:r>
            <w:r>
              <w:rPr>
                <w:b/>
                <w:sz w:val="21"/>
              </w:rPr>
              <w:t>服务对象</w:t>
            </w:r>
          </w:p>
          <w:p>
            <w:pPr>
              <w:ind w:firstLine="420"/>
              <w:jc w:val="both"/>
            </w:pPr>
            <w:r>
              <w:rPr>
                <w:sz w:val="21"/>
              </w:rPr>
              <w:t>项目面向居住地在广州市天河区且具有广州市户籍的持有《中华人民共和国残疾人证》或纳入卫生部门《广州市精神疾病社区防治与康复信息管理系统》、公安部门《全国重性精神病人信息管理系统》管理的精神障碍者。</w:t>
            </w:r>
          </w:p>
          <w:p>
            <w:pPr>
              <w:ind w:firstLine="420"/>
              <w:jc w:val="both"/>
            </w:pPr>
            <w:r>
              <w:rPr>
                <w:sz w:val="21"/>
              </w:rPr>
              <w:t>本项目服务期内接受中心服务的固定对象为</w:t>
            </w:r>
            <w:r>
              <w:rPr>
                <w:sz w:val="21"/>
              </w:rPr>
              <w:t>400</w:t>
            </w:r>
            <w:r>
              <w:rPr>
                <w:sz w:val="21"/>
              </w:rPr>
              <w:t>人，服务对象不能与由残联部门提供经费在民办残疾人服务机构、康园工疗站服务中心接受社工服务的对象重复。本项目的服务对象年更新率不低于</w:t>
            </w:r>
            <w:r>
              <w:rPr>
                <w:sz w:val="21"/>
              </w:rPr>
              <w:t>10%</w:t>
            </w:r>
            <w:r>
              <w:rPr>
                <w:sz w:val="21"/>
              </w:rPr>
              <w:t>，即年度新的服务对象人数占上一年总服务人数的比例不低于</w:t>
            </w:r>
            <w:r>
              <w:rPr>
                <w:sz w:val="21"/>
              </w:rPr>
              <w:t>10%</w:t>
            </w:r>
            <w:r>
              <w:rPr>
                <w:sz w:val="21"/>
              </w:rPr>
              <w:t>。</w:t>
            </w:r>
          </w:p>
          <w:p>
            <w:pPr>
              <w:jc w:val="both"/>
            </w:pPr>
            <w:r>
              <w:rPr>
                <w:b/>
                <w:sz w:val="21"/>
              </w:rPr>
              <w:t>三、</w:t>
            </w:r>
            <w:r>
              <w:rPr>
                <w:b/>
                <w:sz w:val="21"/>
              </w:rPr>
              <w:t>服务内容</w:t>
            </w:r>
          </w:p>
          <w:p>
            <w:pPr>
              <w:ind w:firstLine="420"/>
              <w:jc w:val="both"/>
            </w:pPr>
            <w:r>
              <w:rPr>
                <w:sz w:val="21"/>
              </w:rPr>
              <w:t>社区精神康复综合服务中心针对精神障碍患者的社区康复需求，以一对一、小组（不少于</w:t>
            </w:r>
            <w:r>
              <w:rPr>
                <w:sz w:val="21"/>
              </w:rPr>
              <w:t>6 名服务对象参与）、活动（不少于 10 名服务对象参与）的形式开展以下服务：</w:t>
            </w:r>
          </w:p>
          <w:p>
            <w:pPr>
              <w:ind w:firstLine="420"/>
              <w:jc w:val="both"/>
            </w:pPr>
            <w:r>
              <w:rPr>
                <w:sz w:val="21"/>
              </w:rPr>
              <w:t>1、基础服务：组织开展为掌握服务对象基本情况及需求情况的基础性服务，包含：建档、入户探访、电话探访、个案服务等。</w:t>
            </w:r>
          </w:p>
          <w:p>
            <w:pPr>
              <w:ind w:firstLine="420"/>
              <w:jc w:val="both"/>
            </w:pPr>
            <w:r>
              <w:rPr>
                <w:sz w:val="21"/>
              </w:rPr>
              <w:t>2、社会保障资源链接服务：为服务对象及家庭提供涉及社会救助、就业支持、职业技能培训等的资源连接服务，在政府保障其生活、就业、医疗、教育、住房等方面的基本生存状态方面提供协助和支持。</w:t>
            </w:r>
          </w:p>
          <w:p>
            <w:pPr>
              <w:ind w:firstLine="420"/>
              <w:jc w:val="both"/>
            </w:pPr>
            <w:r>
              <w:rPr>
                <w:sz w:val="21"/>
              </w:rPr>
              <w:t>3、个人发展服务：为服务对象提供心理情绪辅导服务、知识分享服务、技能培训服务等，促进其在态度、知识、技能等方面的成长和发展。</w:t>
            </w:r>
          </w:p>
          <w:p>
            <w:pPr>
              <w:ind w:firstLine="420"/>
              <w:jc w:val="both"/>
            </w:pPr>
            <w:r>
              <w:rPr>
                <w:sz w:val="21"/>
              </w:rPr>
              <w:t>4、家属服务：为服务对象的照顾者提供减压互助服务、照顾技能提升服务、改善家庭关系服务等，促进服务对象的家庭和谐，提高家属对服务对象的理解和支持。</w:t>
            </w:r>
          </w:p>
          <w:p>
            <w:pPr>
              <w:ind w:firstLine="420"/>
              <w:jc w:val="both"/>
            </w:pPr>
            <w:r>
              <w:rPr>
                <w:sz w:val="21"/>
              </w:rPr>
              <w:t>5、社区共融服务：为服务对象居住的社区开展社区康乐服务、社区宣传服务、社区志愿服务等，促进社区居民与精神病康复者及其家庭的互动和融合。</w:t>
            </w:r>
          </w:p>
          <w:p>
            <w:pPr>
              <w:ind w:firstLine="420"/>
              <w:jc w:val="both"/>
            </w:pPr>
            <w:r>
              <w:rPr>
                <w:sz w:val="21"/>
              </w:rPr>
              <w:t>6、双向转介服务：与精神卫生机构达成业务指导关系，为服务对象提供康复评估服务，并为有需求的服务对象提供社区—医院、医院—社区的双向转介服务。</w:t>
            </w:r>
          </w:p>
          <w:p>
            <w:pPr>
              <w:ind w:firstLine="420"/>
              <w:jc w:val="both"/>
            </w:pPr>
            <w:r>
              <w:rPr>
                <w:sz w:val="21"/>
              </w:rPr>
              <w:t>7、特色服务：结合社区天河区内资源情况，以及服务对象的实际需求情况，创新开展特色服务或更具探索性的深度服务，服务场地和设施由中标供应商提供，费用包含在投标报价中。</w:t>
            </w:r>
          </w:p>
          <w:p>
            <w:pPr>
              <w:jc w:val="both"/>
            </w:pPr>
            <w:r>
              <w:rPr>
                <w:b/>
                <w:sz w:val="21"/>
              </w:rPr>
              <w:t>四、</w:t>
            </w:r>
            <w:r>
              <w:rPr>
                <w:b/>
                <w:sz w:val="21"/>
              </w:rPr>
              <w:t>服务工时</w:t>
            </w:r>
          </w:p>
          <w:p>
            <w:pPr>
              <w:jc w:val="both"/>
            </w:pPr>
            <w:r>
              <w:rPr>
                <w:sz w:val="21"/>
              </w:rPr>
              <w:t>服务工时一览表（年度标准）</w:t>
            </w:r>
          </w:p>
          <w:tbl>
            <w:tblPr>
              <w:tblBorders>
                <w:top w:val="none" w:color="000000" w:sz="4"/>
                <w:left w:val="none" w:color="000000" w:sz="4"/>
                <w:bottom w:val="none" w:color="000000" w:sz="4"/>
                <w:right w:val="none" w:color="000000" w:sz="4"/>
                <w:insideH w:val="none"/>
                <w:insideV w:val="none"/>
              </w:tblBorders>
            </w:tblPr>
            <w:tblGrid>
              <w:gridCol w:w="578"/>
              <w:gridCol w:w="811"/>
              <w:gridCol w:w="811"/>
              <w:gridCol w:w="887"/>
              <w:gridCol w:w="734"/>
              <w:gridCol w:w="965"/>
              <w:gridCol w:w="811"/>
            </w:tblGrid>
            <w:tr>
              <w:tc>
                <w:tcPr>
                  <w:tcW w:type="dxa" w:w="578"/>
                  <w:vMerge w:val="restart"/>
                  <w:tcBorders>
                    <w:top w:val="single" w:color="000000" w:sz="4"/>
                    <w:left w:val="single" w:color="000000" w:sz="4"/>
                    <w:bottom w:val="single" w:color="000000" w:sz="4"/>
                    <w:right w:val="single" w:color="000000" w:sz="4"/>
                  </w:tcBorders>
                  <w:vAlign w:val="top"/>
                </w:tcPr>
                <w:p>
                  <w:pPr>
                    <w:jc w:val="center"/>
                  </w:pPr>
                  <w:r>
                    <w:rPr>
                      <w:sz w:val="21"/>
                    </w:rPr>
                    <w:t>时间</w:t>
                  </w:r>
                </w:p>
              </w:tc>
              <w:tc>
                <w:tcPr>
                  <w:tcW w:type="dxa" w:w="1622"/>
                  <w:gridSpan w:val="2"/>
                  <w:tcBorders>
                    <w:top w:val="single" w:color="000000" w:sz="4"/>
                    <w:left w:val="single" w:color="000000" w:sz="4"/>
                    <w:bottom w:val="single" w:color="000000" w:sz="4"/>
                    <w:right w:val="single" w:color="000000" w:sz="4"/>
                  </w:tcBorders>
                  <w:vAlign w:val="top"/>
                </w:tcPr>
                <w:p>
                  <w:pPr>
                    <w:jc w:val="center"/>
                  </w:pPr>
                  <w:r>
                    <w:rPr>
                      <w:sz w:val="21"/>
                    </w:rPr>
                    <w:t>专业工时</w:t>
                  </w:r>
                </w:p>
              </w:tc>
              <w:tc>
                <w:tcPr>
                  <w:tcW w:type="dxa" w:w="1621"/>
                  <w:gridSpan w:val="2"/>
                  <w:tcBorders>
                    <w:top w:val="single" w:color="000000" w:sz="4"/>
                    <w:left w:val="single" w:color="000000" w:sz="4"/>
                    <w:bottom w:val="single" w:color="000000" w:sz="4"/>
                    <w:right w:val="single" w:color="000000" w:sz="4"/>
                  </w:tcBorders>
                  <w:vAlign w:val="top"/>
                </w:tcPr>
                <w:p>
                  <w:pPr>
                    <w:jc w:val="center"/>
                  </w:pPr>
                  <w:r>
                    <w:rPr>
                      <w:sz w:val="21"/>
                    </w:rPr>
                    <w:t>辅助工时</w:t>
                  </w:r>
                </w:p>
              </w:tc>
              <w:tc>
                <w:tcPr>
                  <w:tcW w:type="dxa" w:w="1776"/>
                  <w:gridSpan w:val="2"/>
                  <w:tcBorders>
                    <w:top w:val="single" w:color="000000" w:sz="4"/>
                    <w:left w:val="single" w:color="000000" w:sz="4"/>
                    <w:bottom w:val="single" w:color="000000" w:sz="4"/>
                    <w:right w:val="single" w:color="000000" w:sz="4"/>
                  </w:tcBorders>
                  <w:vAlign w:val="top"/>
                </w:tcPr>
                <w:p>
                  <w:pPr>
                    <w:jc w:val="center"/>
                  </w:pPr>
                  <w:r>
                    <w:rPr>
                      <w:sz w:val="21"/>
                    </w:rPr>
                    <w:t>总服务工时</w:t>
                  </w:r>
                </w:p>
              </w:tc>
            </w:tr>
            <w:tr>
              <w:tc>
                <w:tcPr>
                  <w:tcW w:type="dxa" w:w="578"/>
                  <w:vMerge/>
                  <w:tcBorders>
                    <w:top w:val="single" w:color="000000" w:sz="4"/>
                    <w:left w:val="single" w:color="000000" w:sz="4"/>
                    <w:bottom w:val="single" w:color="000000" w:sz="4"/>
                    <w:right w:val="single" w:color="000000" w:sz="4"/>
                  </w:tcBorders>
                </w:tcPr>
                <w:p/>
              </w:tc>
              <w:tc>
                <w:tcPr>
                  <w:tcW w:type="dxa" w:w="811"/>
                  <w:tcBorders>
                    <w:top w:val="none" w:color="000000" w:sz="4"/>
                    <w:left w:val="single" w:color="000000" w:sz="4"/>
                    <w:bottom w:val="single" w:color="000000" w:sz="4"/>
                    <w:right w:val="single" w:color="000000" w:sz="4"/>
                  </w:tcBorders>
                  <w:vAlign w:val="top"/>
                </w:tcPr>
                <w:p>
                  <w:pPr>
                    <w:jc w:val="center"/>
                  </w:pPr>
                  <w:r>
                    <w:rPr>
                      <w:sz w:val="21"/>
                    </w:rPr>
                    <w:t>最低专业工时</w:t>
                  </w:r>
                </w:p>
              </w:tc>
              <w:tc>
                <w:tcPr>
                  <w:tcW w:type="dxa" w:w="811"/>
                  <w:tcBorders>
                    <w:top w:val="none" w:color="000000" w:sz="4"/>
                    <w:left w:val="single" w:color="000000" w:sz="4"/>
                    <w:bottom w:val="single" w:color="000000" w:sz="4"/>
                    <w:right w:val="single" w:color="000000" w:sz="4"/>
                  </w:tcBorders>
                  <w:vAlign w:val="top"/>
                </w:tcPr>
                <w:p>
                  <w:pPr>
                    <w:jc w:val="center"/>
                  </w:pPr>
                  <w:r>
                    <w:rPr>
                      <w:sz w:val="21"/>
                    </w:rPr>
                    <w:t>最高专业工时</w:t>
                  </w:r>
                </w:p>
              </w:tc>
              <w:tc>
                <w:tcPr>
                  <w:tcW w:type="dxa" w:w="887"/>
                  <w:tcBorders>
                    <w:top w:val="none" w:color="000000" w:sz="4"/>
                    <w:left w:val="single" w:color="000000" w:sz="4"/>
                    <w:bottom w:val="single" w:color="000000" w:sz="4"/>
                    <w:right w:val="single" w:color="000000" w:sz="4"/>
                  </w:tcBorders>
                  <w:vAlign w:val="top"/>
                </w:tcPr>
                <w:p>
                  <w:pPr>
                    <w:jc w:val="center"/>
                  </w:pPr>
                  <w:r>
                    <w:rPr>
                      <w:sz w:val="21"/>
                    </w:rPr>
                    <w:t>最低辅助工时</w:t>
                  </w:r>
                </w:p>
              </w:tc>
              <w:tc>
                <w:tcPr>
                  <w:tcW w:type="dxa" w:w="734"/>
                  <w:tcBorders>
                    <w:top w:val="single" w:color="000000" w:sz="4"/>
                    <w:left w:val="single" w:color="000000" w:sz="4"/>
                    <w:bottom w:val="single" w:color="000000" w:sz="4"/>
                    <w:right w:val="single" w:color="000000" w:sz="4"/>
                  </w:tcBorders>
                  <w:vAlign w:val="top"/>
                </w:tcPr>
                <w:p>
                  <w:pPr>
                    <w:jc w:val="center"/>
                  </w:pPr>
                  <w:r>
                    <w:rPr>
                      <w:sz w:val="21"/>
                    </w:rPr>
                    <w:t>最高辅助工时</w:t>
                  </w:r>
                </w:p>
              </w:tc>
              <w:tc>
                <w:tcPr>
                  <w:tcW w:type="dxa" w:w="965"/>
                  <w:tcBorders>
                    <w:top w:val="single" w:color="000000" w:sz="4"/>
                    <w:left w:val="single" w:color="000000" w:sz="4"/>
                    <w:bottom w:val="single" w:color="000000" w:sz="4"/>
                    <w:right w:val="single" w:color="000000" w:sz="4"/>
                  </w:tcBorders>
                  <w:vAlign w:val="top"/>
                </w:tcPr>
                <w:p>
                  <w:pPr>
                    <w:jc w:val="center"/>
                  </w:pPr>
                  <w:r>
                    <w:rPr>
                      <w:sz w:val="21"/>
                    </w:rPr>
                    <w:t>最低总服务工时</w:t>
                  </w:r>
                </w:p>
              </w:tc>
              <w:tc>
                <w:tcPr>
                  <w:tcW w:type="dxa" w:w="811"/>
                  <w:tcBorders>
                    <w:top w:val="single" w:color="000000" w:sz="4"/>
                    <w:left w:val="single" w:color="000000" w:sz="4"/>
                    <w:bottom w:val="single" w:color="000000" w:sz="4"/>
                    <w:right w:val="single" w:color="000000" w:sz="4"/>
                  </w:tcBorders>
                  <w:vAlign w:val="top"/>
                </w:tcPr>
                <w:p>
                  <w:pPr>
                    <w:jc w:val="center"/>
                  </w:pPr>
                  <w:r>
                    <w:rPr>
                      <w:sz w:val="21"/>
                    </w:rPr>
                    <w:t>最高总服务工时</w:t>
                  </w:r>
                </w:p>
              </w:tc>
            </w:tr>
            <w:tr>
              <w:tc>
                <w:tcPr>
                  <w:tcW w:type="dxa" w:w="578"/>
                  <w:tcBorders>
                    <w:top w:val="none" w:color="000000" w:sz="4"/>
                    <w:left w:val="single" w:color="000000" w:sz="4"/>
                    <w:bottom w:val="single" w:color="000000" w:sz="4"/>
                    <w:right w:val="single" w:color="000000" w:sz="4"/>
                  </w:tcBorders>
                  <w:vAlign w:val="top"/>
                </w:tcPr>
                <w:p>
                  <w:pPr>
                    <w:jc w:val="center"/>
                  </w:pPr>
                  <w:r>
                    <w:rPr>
                      <w:sz w:val="21"/>
                    </w:rPr>
                    <w:t>12个月</w:t>
                  </w:r>
                </w:p>
              </w:tc>
              <w:tc>
                <w:tcPr>
                  <w:tcW w:type="dxa" w:w="811"/>
                  <w:tcBorders>
                    <w:top w:val="none" w:color="000000" w:sz="4"/>
                    <w:left w:val="single" w:color="000000" w:sz="4"/>
                    <w:bottom w:val="single" w:color="000000" w:sz="4"/>
                    <w:right w:val="single" w:color="000000" w:sz="4"/>
                  </w:tcBorders>
                  <w:vAlign w:val="top"/>
                </w:tcPr>
                <w:p>
                  <w:pPr>
                    <w:jc w:val="center"/>
                  </w:pPr>
                  <w:r>
                    <w:rPr>
                      <w:sz w:val="21"/>
                    </w:rPr>
                    <w:t>17778</w:t>
                  </w:r>
                </w:p>
              </w:tc>
              <w:tc>
                <w:tcPr>
                  <w:tcW w:type="dxa" w:w="811"/>
                  <w:tcBorders>
                    <w:top w:val="none" w:color="000000" w:sz="4"/>
                    <w:left w:val="single" w:color="000000" w:sz="4"/>
                    <w:bottom w:val="single" w:color="000000" w:sz="4"/>
                    <w:right w:val="single" w:color="000000" w:sz="4"/>
                  </w:tcBorders>
                  <w:vAlign w:val="top"/>
                </w:tcPr>
                <w:p>
                  <w:pPr>
                    <w:jc w:val="center"/>
                  </w:pPr>
                  <w:r>
                    <w:rPr>
                      <w:sz w:val="21"/>
                    </w:rPr>
                    <w:t>20384</w:t>
                  </w:r>
                </w:p>
              </w:tc>
              <w:tc>
                <w:tcPr>
                  <w:tcW w:type="dxa" w:w="887"/>
                  <w:tcBorders>
                    <w:top w:val="none" w:color="000000" w:sz="4"/>
                    <w:left w:val="single" w:color="000000" w:sz="4"/>
                    <w:bottom w:val="single" w:color="000000" w:sz="4"/>
                    <w:right w:val="single" w:color="000000" w:sz="4"/>
                  </w:tcBorders>
                  <w:vAlign w:val="top"/>
                </w:tcPr>
                <w:p>
                  <w:pPr>
                    <w:jc w:val="center"/>
                  </w:pPr>
                  <w:r>
                    <w:rPr>
                      <w:sz w:val="21"/>
                    </w:rPr>
                    <w:t>4444.5</w:t>
                  </w:r>
                </w:p>
              </w:tc>
              <w:tc>
                <w:tcPr>
                  <w:tcW w:type="dxa" w:w="734"/>
                  <w:tcBorders>
                    <w:top w:val="none" w:color="000000" w:sz="4"/>
                    <w:left w:val="single" w:color="000000" w:sz="4"/>
                    <w:bottom w:val="single" w:color="000000" w:sz="4"/>
                    <w:right w:val="single" w:color="000000" w:sz="4"/>
                  </w:tcBorders>
                  <w:vAlign w:val="top"/>
                </w:tcPr>
                <w:p>
                  <w:pPr>
                    <w:jc w:val="center"/>
                  </w:pPr>
                  <w:r>
                    <w:rPr>
                      <w:sz w:val="21"/>
                    </w:rPr>
                    <w:t>5096</w:t>
                  </w:r>
                </w:p>
              </w:tc>
              <w:tc>
                <w:tcPr>
                  <w:tcW w:type="dxa" w:w="965"/>
                  <w:tcBorders>
                    <w:top w:val="none" w:color="000000" w:sz="4"/>
                    <w:left w:val="single" w:color="000000" w:sz="4"/>
                    <w:bottom w:val="single" w:color="000000" w:sz="4"/>
                    <w:right w:val="single" w:color="000000" w:sz="4"/>
                  </w:tcBorders>
                  <w:vAlign w:val="top"/>
                </w:tcPr>
                <w:p>
                  <w:pPr>
                    <w:jc w:val="center"/>
                  </w:pPr>
                  <w:r>
                    <w:rPr>
                      <w:sz w:val="21"/>
                    </w:rPr>
                    <w:t>22222.5</w:t>
                  </w:r>
                </w:p>
              </w:tc>
              <w:tc>
                <w:tcPr>
                  <w:tcW w:type="dxa" w:w="811"/>
                  <w:tcBorders>
                    <w:top w:val="none" w:color="000000" w:sz="4"/>
                    <w:left w:val="single" w:color="000000" w:sz="4"/>
                    <w:bottom w:val="single" w:color="000000" w:sz="4"/>
                    <w:right w:val="single" w:color="000000" w:sz="4"/>
                  </w:tcBorders>
                  <w:vAlign w:val="top"/>
                </w:tcPr>
                <w:p>
                  <w:pPr>
                    <w:jc w:val="center"/>
                  </w:pPr>
                  <w:r>
                    <w:rPr>
                      <w:sz w:val="21"/>
                    </w:rPr>
                    <w:t>25480</w:t>
                  </w:r>
                </w:p>
              </w:tc>
            </w:tr>
          </w:tbl>
          <w:p>
            <w:r>
              <w:rPr/>
              <w:t xml:space="preserve"> </w:t>
            </w:r>
            <w:r>
              <w:rPr>
                <w:sz w:val="21"/>
              </w:rPr>
              <w:t>工时标准及释义表（年）</w:t>
            </w:r>
          </w:p>
          <w:tbl>
            <w:tblPr>
              <w:tblInd w:type="dxa" w:w="90"/>
              <w:tblBorders>
                <w:top w:val="none" w:color="000000" w:sz="4"/>
                <w:left w:val="none" w:color="000000" w:sz="4"/>
                <w:bottom w:val="none" w:color="000000" w:sz="4"/>
                <w:right w:val="none" w:color="000000" w:sz="4"/>
                <w:insideH w:val="none"/>
                <w:insideV w:val="none"/>
              </w:tblBorders>
            </w:tblPr>
            <w:tblGrid>
              <w:gridCol w:w="515"/>
              <w:gridCol w:w="544"/>
              <w:gridCol w:w="694"/>
              <w:gridCol w:w="545"/>
              <w:gridCol w:w="1866"/>
              <w:gridCol w:w="715"/>
              <w:gridCol w:w="715"/>
            </w:tblGrid>
            <w:tr>
              <w:tc>
                <w:tcPr>
                  <w:tcW w:type="dxa" w:w="2298"/>
                  <w:gridSpan w:val="4"/>
                  <w:tcBorders>
                    <w:top w:val="single" w:color="000000" w:sz="4"/>
                    <w:left w:val="single" w:color="000000" w:sz="4"/>
                    <w:bottom w:val="single" w:color="000000" w:sz="4"/>
                    <w:right w:val="single" w:color="000000" w:sz="4"/>
                  </w:tcBorders>
                  <w:vAlign w:val="top"/>
                </w:tcPr>
                <w:p>
                  <w:pPr>
                    <w:jc w:val="center"/>
                  </w:pPr>
                  <w:r>
                    <w:rPr>
                      <w:b/>
                      <w:sz w:val="21"/>
                    </w:rPr>
                    <w:t>服务指标</w:t>
                  </w:r>
                </w:p>
              </w:tc>
              <w:tc>
                <w:tcPr>
                  <w:tcW w:type="dxa" w:w="1866"/>
                  <w:tcBorders>
                    <w:top w:val="single" w:color="000000" w:sz="4"/>
                    <w:left w:val="none" w:color="000000" w:sz="4"/>
                    <w:bottom w:val="single" w:color="000000" w:sz="4"/>
                    <w:right w:val="single" w:color="000000" w:sz="4"/>
                  </w:tcBorders>
                  <w:vAlign w:val="top"/>
                </w:tcPr>
                <w:p>
                  <w:pPr>
                    <w:jc w:val="center"/>
                  </w:pPr>
                  <w:r>
                    <w:rPr>
                      <w:b/>
                      <w:sz w:val="21"/>
                    </w:rPr>
                    <w:t>协议内容</w:t>
                  </w:r>
                </w:p>
              </w:tc>
              <w:tc>
                <w:tcPr>
                  <w:tcW w:type="dxa" w:w="715"/>
                  <w:tcBorders>
                    <w:top w:val="single" w:color="000000" w:sz="4"/>
                    <w:left w:val="none" w:color="000000" w:sz="4"/>
                    <w:bottom w:val="single" w:color="000000" w:sz="4"/>
                    <w:right w:val="single" w:color="000000" w:sz="4"/>
                  </w:tcBorders>
                  <w:vAlign w:val="top"/>
                </w:tcPr>
                <w:p>
                  <w:pPr>
                    <w:jc w:val="center"/>
                  </w:pPr>
                  <w:r>
                    <w:rPr>
                      <w:b/>
                      <w:sz w:val="21"/>
                    </w:rPr>
                    <w:t>单项基础工时数</w:t>
                  </w:r>
                </w:p>
              </w:tc>
              <w:tc>
                <w:tcPr>
                  <w:tcW w:type="dxa" w:w="715"/>
                  <w:tcBorders>
                    <w:top w:val="single" w:color="000000" w:sz="4"/>
                    <w:left w:val="none" w:color="000000" w:sz="4"/>
                    <w:bottom w:val="single" w:color="000000" w:sz="4"/>
                    <w:right w:val="single" w:color="000000" w:sz="4"/>
                  </w:tcBorders>
                  <w:vAlign w:val="top"/>
                </w:tcPr>
                <w:p>
                  <w:pPr>
                    <w:jc w:val="center"/>
                  </w:pPr>
                  <w:r>
                    <w:rPr>
                      <w:b/>
                      <w:sz w:val="21"/>
                    </w:rPr>
                    <w:t>最低服</w:t>
                  </w:r>
                </w:p>
                <w:p>
                  <w:pPr>
                    <w:jc w:val="center"/>
                  </w:pPr>
                  <w:r>
                    <w:rPr>
                      <w:b/>
                      <w:sz w:val="21"/>
                    </w:rPr>
                    <w:t>务工时工时</w:t>
                  </w:r>
                </w:p>
              </w:tc>
            </w:tr>
            <w:tr>
              <w:tc>
                <w:tcPr>
                  <w:tcW w:type="dxa" w:w="515"/>
                  <w:vMerge w:val="restart"/>
                  <w:tcBorders>
                    <w:top w:val="none" w:color="000000" w:sz="4"/>
                    <w:left w:val="single" w:color="000000" w:sz="4"/>
                    <w:bottom w:val="single" w:color="000000" w:sz="4"/>
                    <w:right w:val="single" w:color="000000" w:sz="4"/>
                  </w:tcBorders>
                  <w:vAlign w:val="top"/>
                </w:tcPr>
                <w:p>
                  <w:pPr>
                    <w:jc w:val="center"/>
                  </w:pPr>
                  <w:r>
                    <w:rPr>
                      <w:sz w:val="21"/>
                    </w:rPr>
                    <w:t>专业服务（占总工时</w:t>
                  </w:r>
                  <w:r>
                    <w:rPr>
                      <w:sz w:val="21"/>
                    </w:rPr>
                    <w:t>80%）</w:t>
                  </w:r>
                </w:p>
              </w:tc>
              <w:tc>
                <w:tcPr>
                  <w:tcW w:type="dxa" w:w="544"/>
                  <w:vMerge w:val="restart"/>
                  <w:tcBorders>
                    <w:top w:val="none" w:color="000000" w:sz="4"/>
                    <w:left w:val="none" w:color="000000" w:sz="4"/>
                    <w:bottom w:val="single" w:color="000000" w:sz="4"/>
                    <w:right w:val="single" w:color="000000" w:sz="4"/>
                  </w:tcBorders>
                  <w:vAlign w:val="top"/>
                </w:tcPr>
                <w:p>
                  <w:pPr>
                    <w:jc w:val="center"/>
                  </w:pPr>
                  <w:r>
                    <w:rPr>
                      <w:sz w:val="21"/>
                    </w:rPr>
                    <w:t>直接专业服务（每名服务对象每人接受服务不少于</w:t>
                  </w:r>
                  <w:r>
                    <w:rPr>
                      <w:sz w:val="21"/>
                    </w:rPr>
                    <w:t>40小时）</w:t>
                  </w:r>
                </w:p>
              </w:tc>
              <w:tc>
                <w:tcPr>
                  <w:tcW w:type="dxa" w:w="694"/>
                  <w:vMerge w:val="restart"/>
                  <w:tcBorders>
                    <w:top w:val="none" w:color="000000" w:sz="4"/>
                    <w:left w:val="none" w:color="000000" w:sz="4"/>
                    <w:bottom w:val="single" w:color="000000" w:sz="4"/>
                    <w:right w:val="single" w:color="000000" w:sz="4"/>
                  </w:tcBorders>
                  <w:vAlign w:val="top"/>
                </w:tcPr>
                <w:p>
                  <w:pPr>
                    <w:jc w:val="center"/>
                  </w:pPr>
                  <w:r>
                    <w:rPr>
                      <w:sz w:val="21"/>
                    </w:rPr>
                    <w:t>基础服务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档案记录</w:t>
                  </w:r>
                </w:p>
              </w:tc>
              <w:tc>
                <w:tcPr>
                  <w:tcW w:type="dxa" w:w="1866"/>
                  <w:tcBorders>
                    <w:top w:val="single" w:color="000000" w:sz="4"/>
                    <w:left w:val="none" w:color="000000" w:sz="4"/>
                    <w:bottom w:val="single" w:color="000000" w:sz="4"/>
                    <w:right w:val="single" w:color="000000" w:sz="4"/>
                  </w:tcBorders>
                  <w:vAlign w:val="top"/>
                </w:tcPr>
                <w:p>
                  <w:pPr>
                    <w:jc w:val="left"/>
                  </w:pPr>
                  <w:r>
                    <w:rPr>
                      <w:sz w:val="21"/>
                    </w:rPr>
                    <w:t>为</w:t>
                  </w:r>
                  <w:r>
                    <w:rPr>
                      <w:sz w:val="21"/>
                    </w:rPr>
                    <w:t>400名</w:t>
                  </w:r>
                  <w:r>
                    <w:rPr>
                      <w:sz w:val="21"/>
                    </w:rPr>
                    <w:t>服务对象建档及档案维护，更新服务记录等，按</w:t>
                  </w:r>
                  <w:r>
                    <w:rPr>
                      <w:sz w:val="21"/>
                    </w:rPr>
                    <w:t>2.5工时</w:t>
                  </w:r>
                  <w:r>
                    <w:rPr>
                      <w:sz w:val="21"/>
                    </w:rPr>
                    <w:t>/人计算。</w:t>
                  </w:r>
                </w:p>
              </w:tc>
              <w:tc>
                <w:tcPr>
                  <w:tcW w:type="dxa" w:w="715"/>
                  <w:tcBorders>
                    <w:top w:val="single" w:color="000000" w:sz="4"/>
                    <w:left w:val="none" w:color="000000" w:sz="4"/>
                    <w:bottom w:val="single" w:color="000000" w:sz="4"/>
                    <w:right w:val="single" w:color="000000" w:sz="4"/>
                  </w:tcBorders>
                  <w:vAlign w:val="top"/>
                </w:tcPr>
                <w:p>
                  <w:pPr>
                    <w:jc w:val="center"/>
                  </w:pPr>
                  <w:r>
                    <w:rPr>
                      <w:sz w:val="21"/>
                    </w:rPr>
                    <w:t>1</w:t>
                  </w:r>
                  <w:r>
                    <w:rPr>
                      <w:sz w:val="21"/>
                    </w:rPr>
                    <w:t>0</w:t>
                  </w:r>
                  <w:r>
                    <w:rPr>
                      <w:sz w:val="21"/>
                    </w:rPr>
                    <w:t>00</w:t>
                  </w:r>
                </w:p>
              </w:tc>
              <w:tc>
                <w:tcPr>
                  <w:tcW w:type="dxa" w:w="715"/>
                  <w:vMerge w:val="restart"/>
                  <w:tcBorders>
                    <w:top w:val="single" w:color="000000" w:sz="4"/>
                    <w:left w:val="none" w:color="000000" w:sz="4"/>
                    <w:bottom w:val="single" w:color="000000" w:sz="4"/>
                    <w:right w:val="single" w:color="000000" w:sz="4"/>
                  </w:tcBorders>
                  <w:vAlign w:val="top"/>
                </w:tcPr>
                <w:p>
                  <w:pPr>
                    <w:jc w:val="center"/>
                  </w:pPr>
                  <w:r>
                    <w:rPr>
                      <w:sz w:val="21"/>
                    </w:rPr>
                    <w:t>3200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康复评估</w:t>
                  </w:r>
                </w:p>
              </w:tc>
              <w:tc>
                <w:tcPr>
                  <w:tcW w:type="dxa" w:w="1866"/>
                  <w:tcBorders>
                    <w:top w:val="none" w:color="000000" w:sz="4"/>
                    <w:left w:val="none" w:color="000000" w:sz="4"/>
                    <w:bottom w:val="single" w:color="000000" w:sz="4"/>
                    <w:right w:val="single" w:color="000000" w:sz="4"/>
                  </w:tcBorders>
                  <w:vAlign w:val="top"/>
                </w:tcPr>
                <w:p>
                  <w:pPr>
                    <w:jc w:val="left"/>
                  </w:pPr>
                  <w:r>
                    <w:rPr>
                      <w:sz w:val="21"/>
                    </w:rPr>
                    <w:t>精神卫生专业机构为</w:t>
                  </w:r>
                  <w:r>
                    <w:rPr>
                      <w:sz w:val="21"/>
                    </w:rPr>
                    <w:t>400名</w:t>
                  </w:r>
                  <w:r>
                    <w:rPr>
                      <w:sz w:val="21"/>
                    </w:rPr>
                    <w:t>服务对象开展前期、期末两次康复评估，每人每次计</w:t>
                  </w:r>
                  <w:r>
                    <w:rPr>
                      <w:sz w:val="21"/>
                    </w:rPr>
                    <w:t>0.5个工时。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入户探访</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为</w:t>
                  </w:r>
                  <w:r>
                    <w:rPr>
                      <w:sz w:val="21"/>
                    </w:rPr>
                    <w:t>400名</w:t>
                  </w:r>
                  <w:r>
                    <w:rPr>
                      <w:sz w:val="21"/>
                    </w:rPr>
                    <w:t>服务对象提供入户探访不少于</w:t>
                  </w:r>
                  <w:r>
                    <w:rPr>
                      <w:sz w:val="21"/>
                    </w:rPr>
                    <w:t>1次，每次计</w:t>
                  </w:r>
                  <w:r>
                    <w:rPr>
                      <w:sz w:val="21"/>
                    </w:rPr>
                    <w:t>2.5个工时。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电话探访</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为</w:t>
                  </w:r>
                  <w:r>
                    <w:rPr>
                      <w:sz w:val="21"/>
                    </w:rPr>
                    <w:t>400名</w:t>
                  </w:r>
                  <w:r>
                    <w:rPr>
                      <w:sz w:val="21"/>
                    </w:rPr>
                    <w:t>服务对象提供电话探访不少于</w:t>
                  </w:r>
                  <w:r>
                    <w:rPr>
                      <w:sz w:val="21"/>
                    </w:rPr>
                    <w:t>8次，每人每次计</w:t>
                  </w:r>
                  <w:r>
                    <w:rPr>
                      <w:sz w:val="21"/>
                    </w:rPr>
                    <w:t>0.25个工时。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tcBorders>
                    <w:top w:val="none" w:color="000000" w:sz="4"/>
                    <w:left w:val="none" w:color="000000" w:sz="4"/>
                    <w:bottom w:val="single" w:color="000000" w:sz="4"/>
                    <w:right w:val="single" w:color="000000" w:sz="4"/>
                  </w:tcBorders>
                  <w:vAlign w:val="top"/>
                </w:tcPr>
                <w:p>
                  <w:pPr>
                    <w:jc w:val="center"/>
                  </w:pPr>
                  <w:r>
                    <w:rPr>
                      <w:sz w:val="21"/>
                    </w:rPr>
                    <w:t>社会保障资源链接服务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社会保障资源链接服务</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为服务对象及其家属提供涉及社会救助、就业支持、职业技能培训等资源链接服务，在政府保障其生活、就业、医疗、教育、住房等方面的基本生存状况方面提供协助和支持。服务形式包括一对一链接，以及小组活动等形式。</w:t>
                  </w:r>
                </w:p>
              </w:tc>
              <w:tc>
                <w:tcPr>
                  <w:tcW w:type="dxa" w:w="715"/>
                  <w:tcBorders>
                    <w:top w:val="none" w:color="000000" w:sz="4"/>
                    <w:left w:val="none" w:color="000000" w:sz="4"/>
                    <w:bottom w:val="single" w:color="000000" w:sz="4"/>
                    <w:right w:val="single" w:color="000000" w:sz="4"/>
                  </w:tcBorders>
                  <w:vAlign w:val="top"/>
                </w:tcPr>
                <w:p>
                  <w:pPr>
                    <w:jc w:val="center"/>
                  </w:pPr>
                  <w:r>
                    <w:rPr>
                      <w:sz w:val="21"/>
                    </w:rPr>
                    <w:t>3200</w:t>
                  </w:r>
                </w:p>
              </w:tc>
              <w:tc>
                <w:tcPr>
                  <w:tcW w:type="dxa" w:w="715"/>
                  <w:tcBorders>
                    <w:top w:val="none" w:color="000000" w:sz="4"/>
                    <w:left w:val="none" w:color="000000" w:sz="4"/>
                    <w:bottom w:val="single" w:color="000000" w:sz="4"/>
                    <w:right w:val="single" w:color="000000" w:sz="4"/>
                  </w:tcBorders>
                  <w:vAlign w:val="top"/>
                </w:tcPr>
                <w:p>
                  <w:pPr>
                    <w:jc w:val="center"/>
                  </w:pPr>
                  <w:r>
                    <w:rPr>
                      <w:sz w:val="21"/>
                    </w:rPr>
                    <w:t>3200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val="restart"/>
                  <w:tcBorders>
                    <w:top w:val="none" w:color="000000" w:sz="4"/>
                    <w:left w:val="none" w:color="000000" w:sz="4"/>
                    <w:bottom w:val="single" w:color="000000" w:sz="4"/>
                    <w:right w:val="single" w:color="000000" w:sz="4"/>
                  </w:tcBorders>
                  <w:vAlign w:val="top"/>
                </w:tcPr>
                <w:p>
                  <w:pPr>
                    <w:jc w:val="center"/>
                  </w:pPr>
                  <w:r>
                    <w:rPr>
                      <w:sz w:val="21"/>
                    </w:rPr>
                    <w:t>个人发展服务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心理、情绪辅导</w:t>
                  </w:r>
                </w:p>
              </w:tc>
              <w:tc>
                <w:tcPr>
                  <w:tcW w:type="dxa" w:w="1866"/>
                  <w:tcBorders>
                    <w:top w:val="none" w:color="000000" w:sz="4"/>
                    <w:left w:val="none" w:color="000000" w:sz="4"/>
                    <w:bottom w:val="single" w:color="000000" w:sz="4"/>
                    <w:right w:val="single" w:color="000000" w:sz="4"/>
                  </w:tcBorders>
                  <w:vAlign w:val="top"/>
                </w:tcPr>
                <w:p>
                  <w:pPr>
                    <w:jc w:val="left"/>
                  </w:pPr>
                  <w:r>
                    <w:rPr>
                      <w:sz w:val="21"/>
                    </w:rPr>
                    <w:t>开展情绪管理、心理辅导、药物管理、康复者互助等服务，促进服务对象个人成长，提升自我效能。形式包括一对一、小组活动等形式。</w:t>
                  </w:r>
                </w:p>
              </w:tc>
              <w:tc>
                <w:tcPr>
                  <w:tcW w:type="dxa" w:w="715"/>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715"/>
                  <w:vMerge w:val="restart"/>
                  <w:tcBorders>
                    <w:top w:val="none" w:color="000000" w:sz="4"/>
                    <w:left w:val="none" w:color="000000" w:sz="4"/>
                    <w:bottom w:val="single" w:color="000000" w:sz="4"/>
                    <w:right w:val="single" w:color="000000" w:sz="4"/>
                  </w:tcBorders>
                  <w:vAlign w:val="top"/>
                </w:tcPr>
                <w:p>
                  <w:pPr>
                    <w:jc w:val="center"/>
                  </w:pPr>
                  <w:r>
                    <w:rPr>
                      <w:sz w:val="21"/>
                    </w:rPr>
                    <w:t>4800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职业技能培训</w:t>
                  </w:r>
                </w:p>
              </w:tc>
              <w:tc>
                <w:tcPr>
                  <w:tcW w:type="dxa" w:w="1866"/>
                  <w:tcBorders>
                    <w:top w:val="none" w:color="000000" w:sz="4"/>
                    <w:left w:val="none" w:color="000000" w:sz="4"/>
                    <w:bottom w:val="single" w:color="000000" w:sz="4"/>
                    <w:right w:val="single" w:color="000000" w:sz="4"/>
                  </w:tcBorders>
                  <w:vAlign w:val="top"/>
                </w:tcPr>
                <w:p>
                  <w:pPr>
                    <w:jc w:val="left"/>
                  </w:pPr>
                  <w:r>
                    <w:rPr>
                      <w:sz w:val="21"/>
                    </w:rPr>
                    <w:t>开展知识分享、技能培训等活动，促进其在知识、技能等方面的成长和发展，服务形式包括一对一、小组活动等形式。</w:t>
                  </w:r>
                </w:p>
              </w:tc>
              <w:tc>
                <w:tcPr>
                  <w:tcW w:type="dxa" w:w="715"/>
                  <w:tcBorders>
                    <w:top w:val="none" w:color="000000" w:sz="4"/>
                    <w:left w:val="none" w:color="000000" w:sz="4"/>
                    <w:bottom w:val="single" w:color="000000" w:sz="4"/>
                    <w:right w:val="single" w:color="000000" w:sz="4"/>
                  </w:tcBorders>
                  <w:vAlign w:val="top"/>
                </w:tcPr>
                <w:p>
                  <w:pPr>
                    <w:jc w:val="center"/>
                  </w:pPr>
                  <w:r>
                    <w:rPr>
                      <w:sz w:val="21"/>
                    </w:rPr>
                    <w:t>2800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val="restart"/>
                  <w:tcBorders>
                    <w:top w:val="none" w:color="000000" w:sz="4"/>
                    <w:left w:val="none" w:color="000000" w:sz="4"/>
                    <w:bottom w:val="single" w:color="000000" w:sz="4"/>
                    <w:right w:val="single" w:color="000000" w:sz="4"/>
                  </w:tcBorders>
                  <w:vAlign w:val="top"/>
                </w:tcPr>
                <w:p>
                  <w:pPr>
                    <w:jc w:val="center"/>
                  </w:pPr>
                  <w:r>
                    <w:rPr>
                      <w:sz w:val="21"/>
                    </w:rPr>
                    <w:t>家属服务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照顾者减压互助</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为服务对象家属、照顾者举办小组减压互助活动，按小组活动计算工时。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715"/>
                  <w:vMerge w:val="restart"/>
                  <w:tcBorders>
                    <w:top w:val="none" w:color="000000" w:sz="4"/>
                    <w:left w:val="none" w:color="000000" w:sz="4"/>
                    <w:bottom w:val="single" w:color="000000" w:sz="4"/>
                    <w:right w:val="single" w:color="000000" w:sz="4"/>
                  </w:tcBorders>
                  <w:vAlign w:val="top"/>
                </w:tcPr>
                <w:p>
                  <w:pPr>
                    <w:jc w:val="center"/>
                  </w:pPr>
                  <w:r>
                    <w:rPr>
                      <w:sz w:val="21"/>
                    </w:rPr>
                    <w:t>4800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精神康复知识普及</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为服务对象家属、照顾者提供知识宣教、照顾技能提升等活动，服务形式包括一对一、小组活动等形式。</w:t>
                  </w:r>
                </w:p>
              </w:tc>
              <w:tc>
                <w:tcPr>
                  <w:tcW w:type="dxa" w:w="715"/>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vAlign w:val="top"/>
                </w:tcPr>
                <w:p>
                  <w:pPr>
                    <w:jc w:val="center"/>
                  </w:pPr>
                  <w:r>
                    <w:rPr>
                      <w:sz w:val="21"/>
                    </w:rPr>
                    <w:t>亲情辅导</w:t>
                  </w:r>
                </w:p>
              </w:tc>
              <w:tc>
                <w:tcPr>
                  <w:tcW w:type="dxa" w:w="1866"/>
                  <w:tcBorders>
                    <w:top w:val="none" w:color="000000" w:sz="4"/>
                    <w:left w:val="none" w:color="000000" w:sz="4"/>
                    <w:bottom w:val="single" w:color="000000" w:sz="4"/>
                    <w:right w:val="single" w:color="000000" w:sz="4"/>
                  </w:tcBorders>
                  <w:vAlign w:val="top"/>
                </w:tcPr>
                <w:p>
                  <w:pPr>
                    <w:jc w:val="left"/>
                  </w:pPr>
                  <w:r>
                    <w:rPr>
                      <w:sz w:val="21"/>
                    </w:rPr>
                    <w:t>提供亲情辅导，改善服务对象家庭关系。促进服务对象的家庭和谐，提高家属对服务对象的理解和支持，服务形式包括一对一、小组活动等形式。</w:t>
                  </w:r>
                </w:p>
              </w:tc>
              <w:tc>
                <w:tcPr>
                  <w:tcW w:type="dxa" w:w="715"/>
                  <w:tcBorders>
                    <w:top w:val="none" w:color="000000" w:sz="4"/>
                    <w:left w:val="none" w:color="000000" w:sz="4"/>
                    <w:bottom w:val="single" w:color="000000" w:sz="4"/>
                    <w:right w:val="single" w:color="000000" w:sz="4"/>
                  </w:tcBorders>
                  <w:vAlign w:val="top"/>
                </w:tcPr>
                <w:p>
                  <w:pPr>
                    <w:jc w:val="center"/>
                  </w:pPr>
                  <w:r>
                    <w:rPr>
                      <w:sz w:val="21"/>
                    </w:rPr>
                    <w:t>2000</w:t>
                  </w:r>
                </w:p>
              </w:tc>
            </w:tr>
            <w:tr>
              <w:tc>
                <w:tcPr>
                  <w:tcW w:type="dxa" w:w="515"/>
                  <w:vMerge/>
                  <w:tcBorders>
                    <w:top w:val="none" w:color="000000" w:sz="4"/>
                    <w:left w:val="single" w:color="000000" w:sz="4"/>
                    <w:bottom w:val="single" w:color="000000" w:sz="4"/>
                    <w:right w:val="single" w:color="000000" w:sz="4"/>
                  </w:tcBorders>
                </w:tcPr>
                <w:p/>
              </w:tc>
              <w:tc>
                <w:tcPr>
                  <w:tcW w:type="dxa" w:w="544"/>
                  <w:vMerge w:val="restart"/>
                  <w:tcBorders>
                    <w:top w:val="none" w:color="000000" w:sz="4"/>
                    <w:left w:val="none" w:color="000000" w:sz="4"/>
                    <w:bottom w:val="single" w:color="000000" w:sz="4"/>
                    <w:right w:val="single" w:color="000000" w:sz="4"/>
                  </w:tcBorders>
                  <w:vAlign w:val="top"/>
                </w:tcPr>
                <w:p>
                  <w:pPr>
                    <w:jc w:val="center"/>
                  </w:pPr>
                  <w:r>
                    <w:rPr>
                      <w:sz w:val="21"/>
                    </w:rPr>
                    <w:t>间接专业服务</w:t>
                  </w:r>
                </w:p>
              </w:tc>
              <w:tc>
                <w:tcPr>
                  <w:tcW w:type="dxa" w:w="694"/>
                  <w:tcBorders>
                    <w:top w:val="none" w:color="000000" w:sz="4"/>
                    <w:left w:val="none" w:color="000000" w:sz="4"/>
                    <w:bottom w:val="single" w:color="000000" w:sz="4"/>
                    <w:right w:val="single" w:color="000000" w:sz="4"/>
                  </w:tcBorders>
                  <w:vAlign w:val="top"/>
                </w:tcPr>
                <w:p>
                  <w:pPr>
                    <w:jc w:val="center"/>
                  </w:pPr>
                  <w:r>
                    <w:rPr>
                      <w:sz w:val="21"/>
                    </w:rPr>
                    <w:t>社区共融服务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社区服务</w:t>
                  </w:r>
                </w:p>
              </w:tc>
              <w:tc>
                <w:tcPr>
                  <w:tcW w:type="dxa" w:w="1866"/>
                  <w:tcBorders>
                    <w:top w:val="none" w:color="000000" w:sz="4"/>
                    <w:left w:val="none" w:color="000000" w:sz="4"/>
                    <w:bottom w:val="single" w:color="000000" w:sz="4"/>
                    <w:right w:val="single" w:color="000000" w:sz="4"/>
                  </w:tcBorders>
                  <w:vAlign w:val="top"/>
                </w:tcPr>
                <w:p>
                  <w:pPr>
                    <w:jc w:val="left"/>
                  </w:pPr>
                  <w:r>
                    <w:rPr>
                      <w:sz w:val="21"/>
                    </w:rPr>
                    <w:t>组织社区居民、服务对象开展知识讲座、宣传咨询、志愿服务或社区康乐活动，促进社区居民与精神病康复者及其家庭的互动和融合。按集体活动计算工时。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889</w:t>
                  </w:r>
                </w:p>
              </w:tc>
              <w:tc>
                <w:tcPr>
                  <w:tcW w:type="dxa" w:w="715"/>
                  <w:vMerge w:val="restart"/>
                  <w:tcBorders>
                    <w:top w:val="none" w:color="000000" w:sz="4"/>
                    <w:left w:val="none" w:color="000000" w:sz="4"/>
                    <w:bottom w:val="single" w:color="000000" w:sz="4"/>
                    <w:right w:val="single" w:color="000000" w:sz="4"/>
                  </w:tcBorders>
                  <w:vAlign w:val="top"/>
                </w:tcPr>
                <w:p>
                  <w:pPr>
                    <w:jc w:val="center"/>
                  </w:pPr>
                  <w:r>
                    <w:rPr>
                      <w:sz w:val="21"/>
                    </w:rPr>
                    <w:t>1778</w:t>
                  </w:r>
                </w:p>
              </w:tc>
            </w:tr>
            <w:tr>
              <w:tc>
                <w:tcPr>
                  <w:tcW w:type="dxa" w:w="515"/>
                  <w:vMerge/>
                  <w:tcBorders>
                    <w:top w:val="none" w:color="000000" w:sz="4"/>
                    <w:left w:val="singl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694"/>
                  <w:tcBorders>
                    <w:top w:val="none" w:color="000000" w:sz="4"/>
                    <w:left w:val="none" w:color="000000" w:sz="4"/>
                    <w:bottom w:val="single" w:color="000000" w:sz="4"/>
                    <w:right w:val="single" w:color="000000" w:sz="4"/>
                  </w:tcBorders>
                  <w:vAlign w:val="top"/>
                </w:tcPr>
                <w:p>
                  <w:pPr>
                    <w:jc w:val="left"/>
                  </w:pPr>
                  <w:r>
                    <w:rPr>
                      <w:sz w:val="21"/>
                    </w:rPr>
                    <w:t>特色服务</w:t>
                  </w:r>
                </w:p>
              </w:tc>
              <w:tc>
                <w:tcPr>
                  <w:tcW w:type="dxa" w:w="545"/>
                  <w:tcBorders>
                    <w:top w:val="none" w:color="000000" w:sz="4"/>
                    <w:left w:val="none" w:color="000000" w:sz="4"/>
                    <w:bottom w:val="single" w:color="000000" w:sz="4"/>
                    <w:right w:val="single" w:color="000000" w:sz="4"/>
                  </w:tcBorders>
                  <w:vAlign w:val="top"/>
                </w:tcPr>
                <w:p>
                  <w:pPr>
                    <w:jc w:val="center"/>
                  </w:pPr>
                  <w:r>
                    <w:rPr>
                      <w:sz w:val="21"/>
                    </w:rPr>
                    <w:t>特色服务</w:t>
                  </w:r>
                </w:p>
              </w:tc>
              <w:tc>
                <w:tcPr>
                  <w:tcW w:type="dxa" w:w="1866"/>
                  <w:tcBorders>
                    <w:top w:val="none" w:color="000000" w:sz="4"/>
                    <w:left w:val="none" w:color="000000" w:sz="4"/>
                    <w:bottom w:val="single" w:color="000000" w:sz="4"/>
                    <w:right w:val="single" w:color="000000" w:sz="4"/>
                  </w:tcBorders>
                  <w:vAlign w:val="top"/>
                </w:tcPr>
                <w:p>
                  <w:pPr>
                    <w:jc w:val="left"/>
                  </w:pPr>
                  <w:r>
                    <w:rPr>
                      <w:sz w:val="21"/>
                    </w:rPr>
                    <w:t>结合天河区精神康复的实际，创新开展特色服务或</w:t>
                  </w:r>
                  <w:r>
                    <w:rPr>
                      <w:sz w:val="21"/>
                    </w:rPr>
                    <w:t>具有</w:t>
                  </w:r>
                  <w:r>
                    <w:rPr>
                      <w:sz w:val="21"/>
                    </w:rPr>
                    <w:t>探索性的深度服务，中标供应商自行组织场地和设施。</w:t>
                  </w:r>
                </w:p>
              </w:tc>
              <w:tc>
                <w:tcPr>
                  <w:tcW w:type="dxa" w:w="715"/>
                  <w:tcBorders>
                    <w:top w:val="none" w:color="000000" w:sz="4"/>
                    <w:left w:val="none" w:color="000000" w:sz="4"/>
                    <w:bottom w:val="single" w:color="000000" w:sz="4"/>
                    <w:right w:val="single" w:color="000000" w:sz="4"/>
                  </w:tcBorders>
                  <w:vAlign w:val="top"/>
                </w:tcPr>
                <w:p>
                  <w:pPr>
                    <w:jc w:val="center"/>
                  </w:pPr>
                  <w:r>
                    <w:rPr>
                      <w:sz w:val="21"/>
                    </w:rPr>
                    <w:t>889</w:t>
                  </w:r>
                </w:p>
              </w:tc>
            </w:tr>
            <w:tr>
              <w:tc>
                <w:tcPr>
                  <w:tcW w:type="dxa" w:w="515"/>
                  <w:vMerge w:val="restart"/>
                  <w:tcBorders>
                    <w:top w:val="none" w:color="000000" w:sz="4"/>
                    <w:left w:val="single" w:color="000000" w:sz="4"/>
                    <w:bottom w:val="single" w:color="000000" w:sz="4"/>
                    <w:right w:val="single" w:color="000000" w:sz="4"/>
                  </w:tcBorders>
                  <w:vAlign w:val="top"/>
                </w:tcPr>
                <w:p>
                  <w:pPr>
                    <w:jc w:val="center"/>
                  </w:pPr>
                  <w:r>
                    <w:rPr>
                      <w:sz w:val="21"/>
                    </w:rPr>
                    <w:t>辅助服务（占总工时</w:t>
                  </w:r>
                  <w:r>
                    <w:rPr>
                      <w:sz w:val="21"/>
                    </w:rPr>
                    <w:t>20%）</w:t>
                  </w:r>
                </w:p>
              </w:tc>
              <w:tc>
                <w:tcPr>
                  <w:tcW w:type="dxa" w:w="1783"/>
                  <w:gridSpan w:val="3"/>
                  <w:tcBorders>
                    <w:top w:val="none" w:color="000000" w:sz="4"/>
                    <w:left w:val="none" w:color="000000" w:sz="4"/>
                    <w:bottom w:val="single" w:color="000000" w:sz="4"/>
                    <w:right w:val="single" w:color="000000" w:sz="4"/>
                  </w:tcBorders>
                  <w:vAlign w:val="top"/>
                </w:tcPr>
                <w:p>
                  <w:pPr>
                    <w:jc w:val="center"/>
                  </w:pPr>
                  <w:r>
                    <w:rPr>
                      <w:sz w:val="21"/>
                    </w:rPr>
                    <w:t>社区走访</w:t>
                  </w:r>
                </w:p>
              </w:tc>
              <w:tc>
                <w:tcPr>
                  <w:tcW w:type="dxa" w:w="1866"/>
                  <w:tcBorders>
                    <w:top w:val="none" w:color="000000" w:sz="4"/>
                    <w:left w:val="none" w:color="000000" w:sz="4"/>
                    <w:bottom w:val="single" w:color="000000" w:sz="4"/>
                    <w:right w:val="single" w:color="000000" w:sz="4"/>
                  </w:tcBorders>
                  <w:vAlign w:val="top"/>
                </w:tcPr>
                <w:p>
                  <w:pPr>
                    <w:jc w:val="left"/>
                  </w:pPr>
                  <w:r>
                    <w:rPr>
                      <w:sz w:val="21"/>
                    </w:rPr>
                    <w:t>走访社区居委会、社区卫生服务中心、社工站、工疗站、物业等相关部门机构，挖掘社区资源，每月不少于</w:t>
                  </w:r>
                  <w:r>
                    <w:rPr>
                      <w:sz w:val="21"/>
                    </w:rPr>
                    <w:t>7次，每次不少于2人，每次按4.4个工时计算。</w:t>
                  </w:r>
                </w:p>
              </w:tc>
              <w:tc>
                <w:tcPr>
                  <w:tcW w:type="dxa" w:w="715"/>
                  <w:tcBorders>
                    <w:top w:val="none" w:color="000000" w:sz="4"/>
                    <w:left w:val="none" w:color="000000" w:sz="4"/>
                    <w:bottom w:val="single" w:color="000000" w:sz="4"/>
                    <w:right w:val="single" w:color="000000" w:sz="4"/>
                  </w:tcBorders>
                  <w:vAlign w:val="top"/>
                </w:tcPr>
                <w:p>
                  <w:pPr>
                    <w:jc w:val="center"/>
                  </w:pPr>
                  <w:r>
                    <w:rPr>
                      <w:sz w:val="21"/>
                    </w:rPr>
                    <w:t>740</w:t>
                  </w:r>
                </w:p>
              </w:tc>
              <w:tc>
                <w:tcPr>
                  <w:tcW w:type="dxa" w:w="715"/>
                  <w:vMerge w:val="restart"/>
                  <w:tcBorders>
                    <w:top w:val="none" w:color="000000" w:sz="4"/>
                    <w:left w:val="none" w:color="000000" w:sz="4"/>
                    <w:bottom w:val="single" w:color="000000" w:sz="4"/>
                    <w:right w:val="single" w:color="000000" w:sz="4"/>
                  </w:tcBorders>
                  <w:vAlign w:val="top"/>
                </w:tcPr>
                <w:p>
                  <w:pPr>
                    <w:jc w:val="center"/>
                  </w:pPr>
                  <w:r>
                    <w:rPr>
                      <w:sz w:val="21"/>
                    </w:rPr>
                    <w:t>4444.5</w:t>
                  </w:r>
                </w:p>
              </w:tc>
            </w:tr>
            <w:tr>
              <w:tc>
                <w:tcPr>
                  <w:tcW w:type="dxa" w:w="515"/>
                  <w:vMerge/>
                  <w:tcBorders>
                    <w:top w:val="none" w:color="000000" w:sz="4"/>
                    <w:left w:val="single" w:color="000000" w:sz="4"/>
                    <w:bottom w:val="single" w:color="000000" w:sz="4"/>
                    <w:right w:val="single" w:color="000000" w:sz="4"/>
                  </w:tcBorders>
                </w:tcPr>
                <w:p/>
              </w:tc>
              <w:tc>
                <w:tcPr>
                  <w:tcW w:type="dxa" w:w="1783"/>
                  <w:gridSpan w:val="3"/>
                  <w:tcBorders>
                    <w:top w:val="none" w:color="000000" w:sz="4"/>
                    <w:left w:val="none" w:color="000000" w:sz="4"/>
                    <w:bottom w:val="single" w:color="000000" w:sz="4"/>
                    <w:right w:val="single" w:color="000000" w:sz="4"/>
                  </w:tcBorders>
                  <w:vAlign w:val="top"/>
                </w:tcPr>
                <w:p>
                  <w:pPr>
                    <w:jc w:val="center"/>
                  </w:pPr>
                  <w:r>
                    <w:rPr>
                      <w:sz w:val="21"/>
                    </w:rPr>
                    <w:t>月度沟通</w:t>
                  </w:r>
                </w:p>
              </w:tc>
              <w:tc>
                <w:tcPr>
                  <w:tcW w:type="dxa" w:w="1866"/>
                  <w:tcBorders>
                    <w:top w:val="none" w:color="000000" w:sz="4"/>
                    <w:left w:val="none" w:color="000000" w:sz="4"/>
                    <w:bottom w:val="single" w:color="000000" w:sz="4"/>
                    <w:right w:val="single" w:color="000000" w:sz="4"/>
                  </w:tcBorders>
                  <w:vAlign w:val="top"/>
                </w:tcPr>
                <w:p>
                  <w:pPr>
                    <w:jc w:val="left"/>
                  </w:pPr>
                  <w:r>
                    <w:rPr>
                      <w:sz w:val="21"/>
                    </w:rPr>
                    <w:t>与区残联、区精神康复管理机构、精神科医疗机构、各街道等进行沟通，月平均不少于</w:t>
                  </w:r>
                  <w:r>
                    <w:rPr>
                      <w:sz w:val="21"/>
                    </w:rPr>
                    <w:t>7次，每次不少于2人，每次每人按4.4个工时计算。</w:t>
                  </w:r>
                </w:p>
              </w:tc>
              <w:tc>
                <w:tcPr>
                  <w:tcW w:type="dxa" w:w="715"/>
                  <w:tcBorders>
                    <w:top w:val="none" w:color="000000" w:sz="4"/>
                    <w:left w:val="none" w:color="000000" w:sz="4"/>
                    <w:bottom w:val="single" w:color="000000" w:sz="4"/>
                    <w:right w:val="single" w:color="000000" w:sz="4"/>
                  </w:tcBorders>
                  <w:vAlign w:val="top"/>
                </w:tcPr>
                <w:p>
                  <w:pPr>
                    <w:jc w:val="center"/>
                  </w:pPr>
                  <w:r>
                    <w:rPr>
                      <w:sz w:val="21"/>
                    </w:rPr>
                    <w:t>740</w:t>
                  </w:r>
                </w:p>
              </w:tc>
            </w:tr>
            <w:tr>
              <w:tc>
                <w:tcPr>
                  <w:tcW w:type="dxa" w:w="515"/>
                  <w:vMerge/>
                  <w:tcBorders>
                    <w:top w:val="none" w:color="000000" w:sz="4"/>
                    <w:left w:val="single" w:color="000000" w:sz="4"/>
                    <w:bottom w:val="single" w:color="000000" w:sz="4"/>
                    <w:right w:val="single" w:color="000000" w:sz="4"/>
                  </w:tcBorders>
                </w:tcPr>
                <w:p/>
              </w:tc>
              <w:tc>
                <w:tcPr>
                  <w:tcW w:type="dxa" w:w="1783"/>
                  <w:gridSpan w:val="3"/>
                  <w:tcBorders>
                    <w:top w:val="none" w:color="000000" w:sz="4"/>
                    <w:left w:val="none" w:color="000000" w:sz="4"/>
                    <w:bottom w:val="single" w:color="000000" w:sz="4"/>
                    <w:right w:val="single" w:color="000000" w:sz="4"/>
                  </w:tcBorders>
                  <w:vAlign w:val="top"/>
                </w:tcPr>
                <w:p>
                  <w:pPr>
                    <w:jc w:val="center"/>
                  </w:pPr>
                  <w:r>
                    <w:rPr>
                      <w:sz w:val="21"/>
                    </w:rPr>
                    <w:t>督导</w:t>
                  </w:r>
                </w:p>
              </w:tc>
              <w:tc>
                <w:tcPr>
                  <w:tcW w:type="dxa" w:w="1866"/>
                  <w:tcBorders>
                    <w:top w:val="none" w:color="000000" w:sz="4"/>
                    <w:left w:val="none" w:color="000000" w:sz="4"/>
                    <w:bottom w:val="single" w:color="000000" w:sz="4"/>
                    <w:right w:val="single" w:color="000000" w:sz="4"/>
                  </w:tcBorders>
                  <w:vAlign w:val="top"/>
                </w:tcPr>
                <w:p>
                  <w:pPr>
                    <w:jc w:val="left"/>
                  </w:pPr>
                  <w:r>
                    <w:rPr>
                      <w:sz w:val="21"/>
                    </w:rPr>
                    <w:t>聘请督导对工作人员开展的内部督导，按</w:t>
                  </w:r>
                  <w:r>
                    <w:rPr>
                      <w:sz w:val="21"/>
                    </w:rPr>
                    <w:t>13人计算，每人每年不少于60小时。</w:t>
                  </w:r>
                </w:p>
              </w:tc>
              <w:tc>
                <w:tcPr>
                  <w:tcW w:type="dxa" w:w="715"/>
                  <w:tcBorders>
                    <w:top w:val="none" w:color="000000" w:sz="4"/>
                    <w:left w:val="none" w:color="000000" w:sz="4"/>
                    <w:bottom w:val="single" w:color="000000" w:sz="4"/>
                    <w:right w:val="single" w:color="000000" w:sz="4"/>
                  </w:tcBorders>
                  <w:vAlign w:val="top"/>
                </w:tcPr>
                <w:p>
                  <w:pPr>
                    <w:jc w:val="center"/>
                  </w:pPr>
                  <w:r>
                    <w:rPr>
                      <w:sz w:val="21"/>
                    </w:rPr>
                    <w:t>780</w:t>
                  </w:r>
                </w:p>
              </w:tc>
            </w:tr>
            <w:tr>
              <w:tc>
                <w:tcPr>
                  <w:tcW w:type="dxa" w:w="515"/>
                  <w:vMerge/>
                  <w:tcBorders>
                    <w:top w:val="none" w:color="000000" w:sz="4"/>
                    <w:left w:val="single" w:color="000000" w:sz="4"/>
                    <w:bottom w:val="single" w:color="000000" w:sz="4"/>
                    <w:right w:val="single" w:color="000000" w:sz="4"/>
                  </w:tcBorders>
                </w:tcPr>
                <w:p/>
              </w:tc>
              <w:tc>
                <w:tcPr>
                  <w:tcW w:type="dxa" w:w="1783"/>
                  <w:gridSpan w:val="3"/>
                  <w:tcBorders>
                    <w:top w:val="none" w:color="000000" w:sz="4"/>
                    <w:left w:val="none" w:color="000000" w:sz="4"/>
                    <w:bottom w:val="single" w:color="000000" w:sz="4"/>
                    <w:right w:val="single" w:color="000000" w:sz="4"/>
                  </w:tcBorders>
                  <w:vAlign w:val="top"/>
                </w:tcPr>
                <w:p>
                  <w:pPr>
                    <w:jc w:val="center"/>
                  </w:pPr>
                  <w:r>
                    <w:rPr>
                      <w:sz w:val="21"/>
                    </w:rPr>
                    <w:t>培训</w:t>
                  </w:r>
                </w:p>
              </w:tc>
              <w:tc>
                <w:tcPr>
                  <w:tcW w:type="dxa" w:w="1866"/>
                  <w:tcBorders>
                    <w:top w:val="none" w:color="000000" w:sz="4"/>
                    <w:left w:val="none" w:color="000000" w:sz="4"/>
                    <w:bottom w:val="single" w:color="000000" w:sz="4"/>
                    <w:right w:val="single" w:color="000000" w:sz="4"/>
                  </w:tcBorders>
                  <w:vAlign w:val="top"/>
                </w:tcPr>
                <w:p>
                  <w:pPr>
                    <w:jc w:val="left"/>
                  </w:pPr>
                  <w:r>
                    <w:rPr>
                      <w:sz w:val="21"/>
                    </w:rPr>
                    <w:t>工作人员开展业务培训、团队建设，每月不少于</w:t>
                  </w:r>
                  <w:r>
                    <w:rPr>
                      <w:sz w:val="21"/>
                    </w:rPr>
                    <w:t>1次，每人每月不少于8小时，按13人计算。</w:t>
                  </w:r>
                </w:p>
              </w:tc>
              <w:tc>
                <w:tcPr>
                  <w:tcW w:type="dxa" w:w="715"/>
                  <w:tcBorders>
                    <w:top w:val="none" w:color="000000" w:sz="4"/>
                    <w:left w:val="none" w:color="000000" w:sz="4"/>
                    <w:bottom w:val="single" w:color="000000" w:sz="4"/>
                    <w:right w:val="single" w:color="000000" w:sz="4"/>
                  </w:tcBorders>
                  <w:vAlign w:val="top"/>
                </w:tcPr>
                <w:p>
                  <w:pPr>
                    <w:jc w:val="center"/>
                  </w:pPr>
                  <w:r>
                    <w:rPr>
                      <w:sz w:val="21"/>
                    </w:rPr>
                    <w:t>1248.5</w:t>
                  </w:r>
                </w:p>
              </w:tc>
            </w:tr>
            <w:tr>
              <w:tc>
                <w:tcPr>
                  <w:tcW w:type="dxa" w:w="515"/>
                  <w:vMerge/>
                  <w:tcBorders>
                    <w:top w:val="none" w:color="000000" w:sz="4"/>
                    <w:left w:val="single" w:color="000000" w:sz="4"/>
                    <w:bottom w:val="single" w:color="000000" w:sz="4"/>
                    <w:right w:val="single" w:color="000000" w:sz="4"/>
                  </w:tcBorders>
                </w:tcPr>
                <w:p/>
              </w:tc>
              <w:tc>
                <w:tcPr>
                  <w:tcW w:type="dxa" w:w="1783"/>
                  <w:gridSpan w:val="3"/>
                  <w:tcBorders>
                    <w:top w:val="none" w:color="000000" w:sz="4"/>
                    <w:left w:val="none" w:color="000000" w:sz="4"/>
                    <w:bottom w:val="single" w:color="000000" w:sz="4"/>
                    <w:right w:val="single" w:color="000000" w:sz="4"/>
                  </w:tcBorders>
                  <w:vAlign w:val="top"/>
                </w:tcPr>
                <w:p>
                  <w:pPr>
                    <w:jc w:val="center"/>
                  </w:pPr>
                  <w:r>
                    <w:rPr>
                      <w:sz w:val="21"/>
                    </w:rPr>
                    <w:t>个案讨论或日常会议</w:t>
                  </w:r>
                </w:p>
              </w:tc>
              <w:tc>
                <w:tcPr>
                  <w:tcW w:type="dxa" w:w="1866"/>
                  <w:tcBorders>
                    <w:top w:val="none" w:color="000000" w:sz="4"/>
                    <w:left w:val="none" w:color="000000" w:sz="4"/>
                    <w:bottom w:val="single" w:color="000000" w:sz="4"/>
                    <w:right w:val="single" w:color="000000" w:sz="4"/>
                  </w:tcBorders>
                  <w:vAlign w:val="top"/>
                </w:tcPr>
                <w:p>
                  <w:pPr>
                    <w:jc w:val="left"/>
                  </w:pPr>
                  <w:r>
                    <w:rPr>
                      <w:sz w:val="21"/>
                    </w:rPr>
                    <w:t>月度工作例会或进行个案讨论会议，每月不少于</w:t>
                  </w:r>
                  <w:r>
                    <w:rPr>
                      <w:sz w:val="21"/>
                    </w:rPr>
                    <w:t>1次，每人每月不少于6小时，按13人计算。</w:t>
                  </w:r>
                </w:p>
              </w:tc>
              <w:tc>
                <w:tcPr>
                  <w:tcW w:type="dxa" w:w="715"/>
                  <w:tcBorders>
                    <w:top w:val="none" w:color="000000" w:sz="4"/>
                    <w:left w:val="none" w:color="000000" w:sz="4"/>
                    <w:bottom w:val="single" w:color="000000" w:sz="4"/>
                    <w:right w:val="single" w:color="000000" w:sz="4"/>
                  </w:tcBorders>
                  <w:vAlign w:val="top"/>
                </w:tcPr>
                <w:p>
                  <w:pPr>
                    <w:jc w:val="center"/>
                  </w:pPr>
                  <w:r>
                    <w:rPr>
                      <w:sz w:val="21"/>
                    </w:rPr>
                    <w:t>936</w:t>
                  </w:r>
                </w:p>
              </w:tc>
            </w:tr>
            <w:tr>
              <w:tc>
                <w:tcPr>
                  <w:tcW w:type="dxa" w:w="4164"/>
                  <w:gridSpan w:val="5"/>
                  <w:tcBorders>
                    <w:top w:val="none" w:color="000000" w:sz="4"/>
                    <w:left w:val="single" w:color="000000" w:sz="4"/>
                    <w:bottom w:val="single" w:color="000000" w:sz="4"/>
                    <w:right w:val="single" w:color="000000" w:sz="4"/>
                  </w:tcBorders>
                  <w:vAlign w:val="top"/>
                </w:tcPr>
                <w:p>
                  <w:pPr>
                    <w:jc w:val="center"/>
                  </w:pPr>
                  <w:r>
                    <w:rPr>
                      <w:b/>
                      <w:sz w:val="21"/>
                    </w:rPr>
                    <w:t>工时数合计</w:t>
                  </w:r>
                </w:p>
              </w:tc>
              <w:tc>
                <w:tcPr>
                  <w:tcW w:type="dxa" w:w="715"/>
                  <w:tcBorders>
                    <w:top w:val="none" w:color="000000" w:sz="4"/>
                    <w:left w:val="none" w:color="000000" w:sz="4"/>
                    <w:bottom w:val="single" w:color="000000" w:sz="4"/>
                    <w:right w:val="single" w:color="000000" w:sz="4"/>
                  </w:tcBorders>
                  <w:vAlign w:val="top"/>
                </w:tcPr>
                <w:p>
                  <w:pPr>
                    <w:jc w:val="center"/>
                  </w:pPr>
                  <w:r>
                    <w:rPr>
                      <w:b/>
                      <w:sz w:val="21"/>
                    </w:rPr>
                    <w:t>22222.5</w:t>
                  </w:r>
                </w:p>
              </w:tc>
              <w:tc>
                <w:tcPr>
                  <w:tcW w:type="dxa" w:w="715"/>
                  <w:tcBorders>
                    <w:top w:val="none" w:color="000000" w:sz="4"/>
                    <w:left w:val="none" w:color="000000" w:sz="4"/>
                    <w:bottom w:val="single" w:color="000000" w:sz="4"/>
                    <w:right w:val="single" w:color="000000" w:sz="4"/>
                  </w:tcBorders>
                  <w:vAlign w:val="top"/>
                </w:tcPr>
                <w:p>
                  <w:pPr>
                    <w:jc w:val="center"/>
                  </w:pPr>
                  <w:r>
                    <w:rPr>
                      <w:b/>
                      <w:sz w:val="21"/>
                    </w:rPr>
                    <w:t>22222.5</w:t>
                  </w:r>
                </w:p>
              </w:tc>
            </w:tr>
          </w:tbl>
          <w:p>
            <w:r>
              <w:rPr/>
              <w:t xml:space="preserve"> </w:t>
            </w:r>
          </w:p>
          <w:p>
            <w:pPr>
              <w:jc w:val="both"/>
            </w:pPr>
            <w:r>
              <w:rPr>
                <w:b/>
                <w:sz w:val="21"/>
              </w:rPr>
              <w:t>1、</w:t>
            </w:r>
            <w:r>
              <w:rPr>
                <w:b/>
                <w:sz w:val="21"/>
              </w:rPr>
              <w:t>投标人所报的每项工时数不得低于上表中每项所对应的</w:t>
            </w:r>
            <w:r>
              <w:rPr>
                <w:b/>
                <w:sz w:val="21"/>
              </w:rPr>
              <w:t>“单项工时数”。</w:t>
            </w:r>
          </w:p>
          <w:p>
            <w:pPr>
              <w:jc w:val="both"/>
            </w:pPr>
            <w:r>
              <w:rPr>
                <w:b/>
                <w:sz w:val="21"/>
              </w:rPr>
              <w:t>2、</w:t>
            </w:r>
            <w:r>
              <w:rPr>
                <w:b/>
                <w:sz w:val="21"/>
              </w:rPr>
              <w:t>投标人所报的服务工时须按照《广州市残疾人联合会</w:t>
            </w:r>
            <w:r>
              <w:rPr>
                <w:b/>
                <w:sz w:val="21"/>
              </w:rPr>
              <w:t>广州市卫生健康委员会</w:t>
            </w:r>
            <w:r>
              <w:rPr>
                <w:b/>
                <w:sz w:val="21"/>
              </w:rPr>
              <w:t>广州市民政局</w:t>
            </w:r>
            <w:r>
              <w:rPr>
                <w:b/>
                <w:sz w:val="21"/>
              </w:rPr>
              <w:t>广州市财政局关于印发广州市</w:t>
            </w:r>
            <w:r>
              <w:rPr>
                <w:b/>
                <w:sz w:val="21"/>
              </w:rPr>
              <w:t>社区精神康复综合服务中心管理办法的通知》（穗残联规字</w:t>
            </w:r>
            <w:r>
              <w:rPr>
                <w:b/>
                <w:sz w:val="21"/>
              </w:rPr>
              <w:t>[2020]1 号）</w:t>
            </w:r>
            <w:r>
              <w:rPr>
                <w:b/>
                <w:sz w:val="21"/>
              </w:rPr>
              <w:t>要求设计。年度最低服务工时为</w:t>
            </w:r>
            <w:r>
              <w:rPr>
                <w:b/>
                <w:sz w:val="21"/>
              </w:rPr>
              <w:t>22222.5小时，年度最高总服务工时为2</w:t>
            </w:r>
            <w:r>
              <w:rPr>
                <w:b/>
                <w:sz w:val="21"/>
              </w:rPr>
              <w:t>5480</w:t>
            </w:r>
            <w:r>
              <w:rPr>
                <w:b/>
                <w:sz w:val="21"/>
              </w:rPr>
              <w:t>小时。</w:t>
            </w:r>
          </w:p>
          <w:p>
            <w:pPr>
              <w:jc w:val="both"/>
            </w:pPr>
            <w:r>
              <w:rPr>
                <w:b/>
                <w:sz w:val="21"/>
              </w:rPr>
              <w:t>五、</w:t>
            </w:r>
            <w:r>
              <w:rPr>
                <w:b/>
                <w:sz w:val="21"/>
              </w:rPr>
              <w:t>人员配置</w:t>
            </w:r>
          </w:p>
          <w:p>
            <w:pPr>
              <w:ind w:firstLine="420"/>
              <w:jc w:val="both"/>
            </w:pPr>
            <w:r>
              <w:rPr>
                <w:sz w:val="21"/>
              </w:rPr>
              <w:t>本项目全职人员配置不少于</w:t>
            </w:r>
            <w:r>
              <w:rPr>
                <w:sz w:val="21"/>
              </w:rPr>
              <w:t>16人，其中社会工作者岗位不少于13人，精神康复工作从业人员不少于2人（其中1名心理学相关专业教育背景或心理咨询师，1名精神科医护人员），行政人员岗位不多于1人。在社会工作者岗位人员中，社会工作专业人员不少于11人。社会工作辅助人员不多于2人。专业人员与服务对象比为1:30，中心每增加服务对象30人，应当增加1名社会工作专业人员。聘请社工督导2名、精神科专家1名（其中社工督导须为大学社工专业老师、精神科专家为精神专科主治医生或以上职称）作为项目督导，定期提供专业指导。</w:t>
            </w:r>
          </w:p>
          <w:p>
            <w:pPr>
              <w:jc w:val="both"/>
            </w:pPr>
            <w:r>
              <w:rPr>
                <w:b/>
                <w:sz w:val="21"/>
              </w:rPr>
              <w:t>六、</w:t>
            </w:r>
            <w:r>
              <w:rPr>
                <w:b/>
                <w:sz w:val="21"/>
              </w:rPr>
              <w:t>场地设施要求</w:t>
            </w:r>
          </w:p>
          <w:p>
            <w:pPr>
              <w:ind w:firstLine="420"/>
              <w:jc w:val="both"/>
            </w:pPr>
            <w:r>
              <w:rPr>
                <w:sz w:val="21"/>
              </w:rPr>
              <w:t>社区精神康复服务中心场地由采购人提供；根据服务需求中标供应商需要自设场地，为残疾人提供便利的服务。服务环境和办公设施设备、相关办公费用由中标供应商自行解决，费用包含在投标报价中。</w:t>
            </w:r>
          </w:p>
          <w:p>
            <w:pPr>
              <w:jc w:val="both"/>
            </w:pPr>
            <w:r>
              <w:rPr>
                <w:b/>
                <w:sz w:val="21"/>
              </w:rPr>
              <w:t>七、</w:t>
            </w:r>
            <w:r>
              <w:rPr>
                <w:b/>
                <w:sz w:val="21"/>
              </w:rPr>
              <w:t>投标人的投标要求</w:t>
            </w:r>
          </w:p>
          <w:p>
            <w:pPr>
              <w:ind w:firstLine="420"/>
              <w:jc w:val="both"/>
            </w:pPr>
            <w:r>
              <w:rPr>
                <w:sz w:val="21"/>
              </w:rPr>
              <w:t>投标人必须对本项目整体服务内容进行投标，只对本项目部分服务内容进行投标的将被视为无效投标。投标人的计划服务总工时低于本项目规定的最低服务工时或高于本项目规定的最高服务工时将视为无效投标；各分项服务工时需满足本项目规定的最低标准；专业服务工时（直接专业服务工时和间接专业服务工时）和辅助性服务工时升幅不得高于</w:t>
            </w:r>
            <w:r>
              <w:rPr>
                <w:sz w:val="21"/>
              </w:rPr>
              <w:t>10%</w:t>
            </w:r>
            <w:r>
              <w:rPr>
                <w:sz w:val="21"/>
              </w:rPr>
              <w:t>。</w:t>
            </w:r>
          </w:p>
          <w:p>
            <w:pPr>
              <w:ind w:firstLine="420"/>
              <w:jc w:val="both"/>
            </w:pPr>
            <w:r>
              <w:rPr>
                <w:sz w:val="21"/>
              </w:rPr>
              <w:t>1</w:t>
            </w:r>
            <w:r>
              <w:rPr>
                <w:sz w:val="21"/>
              </w:rPr>
              <w:t>、投标人有残疾人专项服务经验，需书面承诺派遣不少于</w:t>
            </w:r>
            <w:r>
              <w:rPr>
                <w:sz w:val="21"/>
              </w:rPr>
              <w:t>16</w:t>
            </w:r>
            <w:r>
              <w:rPr>
                <w:sz w:val="21"/>
              </w:rPr>
              <w:t>名专职工作人员实施本项目；</w:t>
            </w:r>
          </w:p>
          <w:p>
            <w:pPr>
              <w:ind w:firstLine="420"/>
              <w:jc w:val="both"/>
            </w:pPr>
            <w:r>
              <w:rPr>
                <w:sz w:val="21"/>
              </w:rPr>
              <w:t>2</w:t>
            </w:r>
            <w:r>
              <w:rPr>
                <w:sz w:val="21"/>
              </w:rPr>
              <w:t>、投标人需配置与项目计划内容相匹配的设施设备，承担办公、保洁、安保、水电、物业管理等开展项目所产生的一切费用；</w:t>
            </w:r>
          </w:p>
          <w:p>
            <w:pPr>
              <w:ind w:firstLine="420"/>
              <w:jc w:val="both"/>
            </w:pPr>
            <w:r>
              <w:rPr>
                <w:sz w:val="21"/>
              </w:rPr>
              <w:t>3</w:t>
            </w:r>
            <w:r>
              <w:rPr>
                <w:sz w:val="21"/>
              </w:rPr>
              <w:t>、投标人应当具备一定的服务总结和创新能力，能够创造社会服务效益，并获得认可；</w:t>
            </w:r>
          </w:p>
          <w:p>
            <w:pPr>
              <w:ind w:firstLine="420"/>
              <w:jc w:val="both"/>
            </w:pPr>
            <w:r>
              <w:rPr>
                <w:sz w:val="21"/>
              </w:rPr>
              <w:t>4</w:t>
            </w:r>
            <w:r>
              <w:rPr>
                <w:sz w:val="21"/>
              </w:rPr>
              <w:t>、投标人应按采购人要求，不断改善服务水准，提升服务质量，按相关规定做好财务管理和购买服务经费的使用，具有</w:t>
            </w:r>
            <w:r>
              <w:rPr>
                <w:sz w:val="21"/>
              </w:rPr>
              <w:t>项目经费预算保障计划</w:t>
            </w:r>
            <w:r>
              <w:rPr>
                <w:sz w:val="21"/>
              </w:rPr>
              <w:t>；</w:t>
            </w:r>
          </w:p>
          <w:p>
            <w:pPr>
              <w:ind w:firstLine="420"/>
              <w:jc w:val="both"/>
            </w:pPr>
            <w:r>
              <w:rPr>
                <w:sz w:val="21"/>
              </w:rPr>
              <w:t>5</w:t>
            </w:r>
            <w:r>
              <w:rPr>
                <w:sz w:val="21"/>
              </w:rPr>
              <w:t>、投标人应当具备相应的管理能力和制度保障措施（</w:t>
            </w:r>
            <w:r>
              <w:rPr>
                <w:sz w:val="21"/>
              </w:rPr>
              <w:t>包括但不限于内部管理制度、人员培训制度、摸查建档计划、应急处置方案、服务评估方案</w:t>
            </w:r>
            <w:r>
              <w:rPr>
                <w:sz w:val="21"/>
              </w:rPr>
              <w:t>），保证本项目的顺利实施。</w:t>
            </w:r>
          </w:p>
          <w:p>
            <w:pPr>
              <w:jc w:val="both"/>
            </w:pPr>
            <w:r>
              <w:rPr>
                <w:b/>
                <w:sz w:val="21"/>
              </w:rPr>
              <w:t>八、</w:t>
            </w:r>
            <w:r>
              <w:rPr>
                <w:b/>
                <w:sz w:val="21"/>
              </w:rPr>
              <w:t>对中标供应商执行协议情况的监督管理要求</w:t>
            </w:r>
          </w:p>
          <w:p>
            <w:pPr>
              <w:ind w:firstLine="420"/>
              <w:jc w:val="both"/>
            </w:pPr>
            <w:r>
              <w:rPr>
                <w:sz w:val="21"/>
              </w:rPr>
              <w:t>1</w:t>
            </w:r>
            <w:r>
              <w:rPr>
                <w:sz w:val="21"/>
              </w:rPr>
              <w:t>、为保证评审工作质量，减少风险，采购人在协议期内对中标供应商执行协议情况进行跟踪核查。</w:t>
            </w:r>
          </w:p>
          <w:p>
            <w:pPr>
              <w:ind w:firstLine="420"/>
              <w:jc w:val="both"/>
            </w:pPr>
            <w:r>
              <w:rPr>
                <w:sz w:val="21"/>
              </w:rPr>
              <w:t>2</w:t>
            </w:r>
            <w:r>
              <w:rPr>
                <w:sz w:val="21"/>
              </w:rPr>
              <w:t>、中标供应商在协议执行期内如被发现存在以下问题</w:t>
            </w:r>
            <w:r>
              <w:rPr>
                <w:sz w:val="21"/>
              </w:rPr>
              <w:t>,</w:t>
            </w:r>
            <w:r>
              <w:rPr>
                <w:sz w:val="21"/>
              </w:rPr>
              <w:t>通过有关部门查处核实，采购人有权终止服务协议，采购人保留停止支付或追回已支付的费用和追究其法律责任的权利，并将有关情况向政府采购监管部门和民办非企业登记管理部门反映，并送有关部门处理：</w:t>
            </w:r>
          </w:p>
          <w:p>
            <w:pPr>
              <w:ind w:firstLine="420"/>
              <w:jc w:val="both"/>
            </w:pPr>
            <w:r>
              <w:rPr>
                <w:sz w:val="21"/>
              </w:rPr>
              <w:t>（</w:t>
            </w:r>
            <w:r>
              <w:rPr>
                <w:sz w:val="21"/>
              </w:rPr>
              <w:t>1</w:t>
            </w:r>
            <w:r>
              <w:rPr>
                <w:sz w:val="21"/>
              </w:rPr>
              <w:t>）违反有关法律、法规和政策规定，造成采购人及相关单位损失的；</w:t>
            </w:r>
          </w:p>
          <w:p>
            <w:pPr>
              <w:ind w:firstLine="420"/>
              <w:jc w:val="both"/>
            </w:pPr>
            <w:r>
              <w:rPr>
                <w:sz w:val="21"/>
              </w:rPr>
              <w:t>（</w:t>
            </w:r>
            <w:r>
              <w:rPr>
                <w:sz w:val="21"/>
              </w:rPr>
              <w:t>2</w:t>
            </w:r>
            <w:r>
              <w:rPr>
                <w:sz w:val="21"/>
              </w:rPr>
              <w:t>）通过提供虚假信息、误导或欺骗等方式，以谋取非法利益的；</w:t>
            </w:r>
          </w:p>
          <w:p>
            <w:pPr>
              <w:ind w:firstLine="420"/>
              <w:jc w:val="both"/>
            </w:pPr>
            <w:r>
              <w:rPr>
                <w:sz w:val="21"/>
              </w:rPr>
              <w:t>（</w:t>
            </w:r>
            <w:r>
              <w:rPr>
                <w:sz w:val="21"/>
              </w:rPr>
              <w:t>3</w:t>
            </w:r>
            <w:r>
              <w:rPr>
                <w:sz w:val="21"/>
              </w:rPr>
              <w:t>）采用非法手段进行不正当竞争的，构成恶劣影响的；</w:t>
            </w:r>
          </w:p>
          <w:p>
            <w:pPr>
              <w:ind w:firstLine="420"/>
              <w:jc w:val="both"/>
            </w:pPr>
            <w:r>
              <w:rPr>
                <w:sz w:val="21"/>
              </w:rPr>
              <w:t>（</w:t>
            </w:r>
            <w:r>
              <w:rPr>
                <w:sz w:val="21"/>
              </w:rPr>
              <w:t>4</w:t>
            </w:r>
            <w:r>
              <w:rPr>
                <w:sz w:val="21"/>
              </w:rPr>
              <w:t>）无正当理由拒绝委托或未经采购人书面同意擅自将受托项目转委托给第三方的；</w:t>
            </w:r>
          </w:p>
          <w:p>
            <w:pPr>
              <w:ind w:firstLine="420"/>
              <w:jc w:val="both"/>
            </w:pPr>
            <w:r>
              <w:rPr>
                <w:sz w:val="21"/>
              </w:rPr>
              <w:t>（</w:t>
            </w:r>
            <w:r>
              <w:rPr>
                <w:sz w:val="21"/>
              </w:rPr>
              <w:t>5</w:t>
            </w:r>
            <w:r>
              <w:rPr>
                <w:sz w:val="21"/>
              </w:rPr>
              <w:t>）拒绝接受采购人监督检查的；</w:t>
            </w:r>
          </w:p>
          <w:p>
            <w:pPr>
              <w:ind w:firstLine="420"/>
              <w:jc w:val="both"/>
            </w:pPr>
            <w:r>
              <w:rPr>
                <w:sz w:val="21"/>
              </w:rPr>
              <w:t>（</w:t>
            </w:r>
            <w:r>
              <w:rPr>
                <w:sz w:val="21"/>
              </w:rPr>
              <w:t>6</w:t>
            </w:r>
            <w:r>
              <w:rPr>
                <w:sz w:val="21"/>
              </w:rPr>
              <w:t>）不按要求制作保管服务档案资料的；</w:t>
            </w:r>
          </w:p>
          <w:p>
            <w:pPr>
              <w:ind w:firstLine="420"/>
              <w:jc w:val="both"/>
            </w:pPr>
            <w:r>
              <w:rPr>
                <w:sz w:val="21"/>
              </w:rPr>
              <w:t>（</w:t>
            </w:r>
            <w:r>
              <w:rPr>
                <w:sz w:val="21"/>
              </w:rPr>
              <w:t>7</w:t>
            </w:r>
            <w:r>
              <w:rPr>
                <w:sz w:val="21"/>
              </w:rPr>
              <w:t>）服务质量不符合要求的；</w:t>
            </w:r>
          </w:p>
          <w:p>
            <w:pPr>
              <w:ind w:firstLine="420"/>
              <w:jc w:val="both"/>
            </w:pPr>
            <w:r>
              <w:rPr>
                <w:sz w:val="21"/>
              </w:rPr>
              <w:t>（</w:t>
            </w:r>
            <w:r>
              <w:rPr>
                <w:sz w:val="21"/>
              </w:rPr>
              <w:t>8</w:t>
            </w:r>
            <w:r>
              <w:rPr>
                <w:sz w:val="21"/>
              </w:rPr>
              <w:t>）不按规定使用购买服务经费的。</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广州市天河区残疾人联合会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标准的80%（即下浮20%）收取。招标代理服务费由中标供应商在领取《中标通知书》前一次性向采购代理机构交纳以下金额： ￥27,718.00元（大写：人民币贰万柒仟柒佰壹拾捌元整）。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李玉霜、陈蔚</w:t>
      </w:r>
    </w:p>
    <w:p>
      <w:pPr>
        <w:ind w:firstLine="480"/>
      </w:pPr>
      <w:r>
        <w:rPr/>
        <w:t>电话：</w:t>
      </w:r>
      <w:r>
        <w:rPr/>
        <w:t>020-87684726、020-87688049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政府采购监督管理机构名称：广州市天河区财政局(政府采购事务中心）</w:t>
      </w:r>
    </w:p>
    <w:p>
      <w:r>
        <w:rPr/>
        <w:t>地  址：广州市天河区建华路7号</w:t>
      </w:r>
    </w:p>
    <w:p>
      <w:r>
        <w:rPr/>
        <w:t>电  话：020-85538381、020-85550609、020-85577291、020-85570876</w:t>
      </w:r>
    </w:p>
    <w:p>
      <w:r>
        <w:rPr/>
        <w:t>邮  编：510630</w:t>
      </w:r>
    </w:p>
    <w:p>
      <w:r>
        <w:rPr/>
        <w:t>传  真：</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天河区残联2024年社区精神康复综合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采购包1（天河区残联2024年社区精神康复综合服务项目）：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采购包1（天河区残联2024年社区精神康复综合服务项目）：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采购包1（天河区残联2024年社区精神康复综合服务项目）：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投标服务工时</w:t>
            </w:r>
          </w:p>
        </w:tc>
        <w:tc>
          <w:tcPr>
            <w:tcW w:type="dxa" w:w="4238"/>
          </w:tcPr>
          <w:p>
            <w:r>
              <w:rPr/>
              <w:t>计划投入本项目的年度服务总工时在规定的范围内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采购包1(天河区残联2024年社区精神康复综合服务项目):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技术部分45.0分</w:t>
            </w:r>
          </w:p>
          <w:p>
            <w:r>
              <w:rPr/>
              <w:t>综合信用分5.0分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服务项目总体构想（一） (1.5分)</w:t>
            </w:r>
          </w:p>
        </w:tc>
        <w:tc>
          <w:tcPr>
            <w:tcW w:type="dxa" w:w="5076"/>
          </w:tcPr>
          <w:p>
            <w:pPr>
              <w:jc w:val="left"/>
            </w:pPr>
            <w:r>
              <w:rPr/>
              <w:t>根据投标人提供的服务项目总体构想（一）进行综合评审，构想应包括： 1. 总体服务构想； 2. 服务区域服务对象特点； 3. 服务准则。 提供全部内容得1.5分，每缺1项扣0.5分。</w:t>
            </w:r>
          </w:p>
        </w:tc>
      </w:tr>
      <w:tr>
        <w:tc>
          <w:tcPr>
            <w:tcW w:type="dxa" w:w="922"/>
            <w:gridSpan w:val="2"/>
            <w:vMerge/>
          </w:tcPr>
          <w:p/>
        </w:tc>
        <w:tc>
          <w:tcPr>
            <w:tcW w:type="dxa" w:w="2307"/>
          </w:tcPr>
          <w:p>
            <w:pPr>
              <w:jc w:val="left"/>
            </w:pPr>
            <w:r>
              <w:rPr/>
              <w:t>服务项目总体构想（二） (3.5分)</w:t>
            </w:r>
            <w:r>
              <w:rPr/>
              <w:t>，（等次分值选择：</w:t>
            </w:r>
            <w:r>
              <w:rPr/>
              <w:t>0.0;</w:t>
            </w:r>
            <w:r>
              <w:rPr/>
              <w:t>1.0;</w:t>
            </w:r>
            <w:r>
              <w:rPr/>
              <w:t>3.5;</w:t>
            </w:r>
            <w:r>
              <w:rPr/>
              <w:t>）</w:t>
            </w:r>
          </w:p>
        </w:tc>
        <w:tc>
          <w:tcPr>
            <w:tcW w:type="dxa" w:w="5076"/>
          </w:tcPr>
          <w:p>
            <w:pPr>
              <w:jc w:val="left"/>
            </w:pPr>
            <w:r>
              <w:rPr/>
              <w:t>根据投标人提供服务项目总体构想（一）的详细内容进行综合评审： 1.总体构想合理，能准确描述服务对象特点，有根据服务区域服务对象特点制定服务准则，有效保障本项目实施，有利于实现服务效果的，得3.5分； 2.有服务构想，但对服务对象的特点了解有偏差，制定的服务准则和服务区域对象特点不相符，基本保障本项目实施，基本满足服务效果的，得1分； 3.未提供相关内容，得0 分。</w:t>
            </w:r>
          </w:p>
        </w:tc>
      </w:tr>
      <w:tr>
        <w:tc>
          <w:tcPr>
            <w:tcW w:type="dxa" w:w="922"/>
            <w:gridSpan w:val="2"/>
            <w:vMerge/>
          </w:tcPr>
          <w:p/>
        </w:tc>
        <w:tc>
          <w:tcPr>
            <w:tcW w:type="dxa" w:w="2307"/>
          </w:tcPr>
          <w:p>
            <w:pPr>
              <w:jc w:val="left"/>
            </w:pPr>
            <w:r>
              <w:rPr/>
              <w:t>服务质量保障方案（一） (1.5分)</w:t>
            </w:r>
          </w:p>
        </w:tc>
        <w:tc>
          <w:tcPr>
            <w:tcW w:type="dxa" w:w="5076"/>
          </w:tcPr>
          <w:p>
            <w:pPr>
              <w:jc w:val="left"/>
            </w:pPr>
            <w:r>
              <w:rPr/>
              <w:t>根据投标人提供的服务质量保障方案（一）进行综合评审，方案应包括： 1. 管理架构； 2. 服务指标； 3. 服务质量标准。 提供全部内容得1.5分，每缺1项扣0.5分。</w:t>
            </w:r>
          </w:p>
        </w:tc>
      </w:tr>
      <w:tr>
        <w:tc>
          <w:tcPr>
            <w:tcW w:type="dxa" w:w="922"/>
            <w:gridSpan w:val="2"/>
            <w:vMerge/>
          </w:tcPr>
          <w:p/>
        </w:tc>
        <w:tc>
          <w:tcPr>
            <w:tcW w:type="dxa" w:w="2307"/>
          </w:tcPr>
          <w:p>
            <w:pPr>
              <w:jc w:val="left"/>
            </w:pPr>
            <w:r>
              <w:rPr/>
              <w:t>服务质量保障方案（二） (3.5分)</w:t>
            </w:r>
            <w:r>
              <w:rPr/>
              <w:t>，（等次分值选择：</w:t>
            </w:r>
            <w:r>
              <w:rPr/>
              <w:t>0.0;</w:t>
            </w:r>
            <w:r>
              <w:rPr/>
              <w:t>1.0;</w:t>
            </w:r>
            <w:r>
              <w:rPr/>
              <w:t>3.5;</w:t>
            </w:r>
            <w:r>
              <w:rPr/>
              <w:t>）</w:t>
            </w:r>
          </w:p>
        </w:tc>
        <w:tc>
          <w:tcPr>
            <w:tcW w:type="dxa" w:w="5076"/>
          </w:tcPr>
          <w:p>
            <w:pPr>
              <w:jc w:val="left"/>
            </w:pPr>
            <w:r>
              <w:rPr/>
              <w:t>根据投标人提供服务质量保障方案（一）的详细内容进行综合评审： 1.有明确的管理架构和合理的服务指标以及有与服务指标相一致的服务质量标准的，有效保障本项目实施，有利于实现服务效果，得3.5分； 2.管理架构或服务指标、服务质量标准简单的，基本保障本项目实施，基本满足服务效果，得1分； 3.未提供相关内容，得0 分。</w:t>
            </w:r>
          </w:p>
        </w:tc>
      </w:tr>
      <w:tr>
        <w:tc>
          <w:tcPr>
            <w:tcW w:type="dxa" w:w="922"/>
            <w:gridSpan w:val="2"/>
            <w:vMerge/>
          </w:tcPr>
          <w:p/>
        </w:tc>
        <w:tc>
          <w:tcPr>
            <w:tcW w:type="dxa" w:w="2307"/>
          </w:tcPr>
          <w:p>
            <w:pPr>
              <w:jc w:val="left"/>
            </w:pPr>
            <w:r>
              <w:rPr/>
              <w:t>服务详细计划内容情况 (5.0分)</w:t>
            </w:r>
            <w:r>
              <w:rPr/>
              <w:t>，（等次分值选择：</w:t>
            </w:r>
            <w:r>
              <w:rPr/>
              <w:t>0.0;</w:t>
            </w:r>
            <w:r>
              <w:rPr/>
              <w:t>1.0;</w:t>
            </w:r>
            <w:r>
              <w:rPr/>
              <w:t>3.0;</w:t>
            </w:r>
            <w:r>
              <w:rPr/>
              <w:t>5.0;</w:t>
            </w:r>
            <w:r>
              <w:rPr/>
              <w:t>）</w:t>
            </w:r>
          </w:p>
        </w:tc>
        <w:tc>
          <w:tcPr>
            <w:tcW w:type="dxa" w:w="5076"/>
          </w:tcPr>
          <w:p>
            <w:pPr>
              <w:jc w:val="left"/>
            </w:pPr>
            <w:r>
              <w:rPr/>
              <w:t>投标人根据“技术参数和性能指标”中的“三、服务内容”提供响应方案，评标委员会根据投标人的响应方案进行评审： 1.服务方案具体详细，完全满足且优于采购需求各项服务内容要求，并有明确承诺严格遵守本次委托人对服务的各项要求和规定的，得5分； 2.服务方案可行，基本满足采购需求要求的，得3分； 3.服务方案说明不全面，未能满足采购需求各项要求的，得1分； 4.不提供的，得0分</w:t>
            </w:r>
          </w:p>
        </w:tc>
      </w:tr>
      <w:tr>
        <w:tc>
          <w:tcPr>
            <w:tcW w:type="dxa" w:w="922"/>
            <w:gridSpan w:val="2"/>
            <w:vMerge/>
          </w:tcPr>
          <w:p/>
        </w:tc>
        <w:tc>
          <w:tcPr>
            <w:tcW w:type="dxa" w:w="2307"/>
          </w:tcPr>
          <w:p>
            <w:pPr>
              <w:jc w:val="left"/>
            </w:pPr>
            <w:r>
              <w:rPr/>
              <w:t>团队配置及专业实力情况1 (8.0分)</w:t>
            </w:r>
          </w:p>
        </w:tc>
        <w:tc>
          <w:tcPr>
            <w:tcW w:type="dxa" w:w="5076"/>
          </w:tcPr>
          <w:p>
            <w:pPr>
              <w:jc w:val="left"/>
            </w:pPr>
            <w:r>
              <w:rPr/>
              <w:t>项目需配置社会工作人员： 1.具备持社会工作师证人员13名（含）（至少含中级社工师1名）或以上，得8分； 2. 具备持社会工作师证人员8名（含）-12名（含），得5分； 3. 具备持社会工作师证人员3名（含）-7名（含），得2分； 4. 具备持社会工作师证人员3名（不含）以下，得0分。 注：需同时提供人员劳动合同、社工证书复印件、在本单位购买近6个月内任意一个月的社保或代缴个人所得税证明文件。</w:t>
            </w:r>
          </w:p>
        </w:tc>
      </w:tr>
      <w:tr>
        <w:tc>
          <w:tcPr>
            <w:tcW w:type="dxa" w:w="922"/>
            <w:gridSpan w:val="2"/>
            <w:vMerge/>
          </w:tcPr>
          <w:p/>
        </w:tc>
        <w:tc>
          <w:tcPr>
            <w:tcW w:type="dxa" w:w="2307"/>
          </w:tcPr>
          <w:p>
            <w:pPr>
              <w:jc w:val="left"/>
            </w:pPr>
            <w:r>
              <w:rPr/>
              <w:t>团队配置及专业实力情况2 (5.0分)</w:t>
            </w:r>
          </w:p>
        </w:tc>
        <w:tc>
          <w:tcPr>
            <w:tcW w:type="dxa" w:w="5076"/>
          </w:tcPr>
          <w:p>
            <w:pPr>
              <w:jc w:val="left"/>
            </w:pPr>
            <w:r>
              <w:rPr/>
              <w:t>投标人配置有1名具有心理咨询师证或具有心理学专业本科或以上学历，且从事社会工作两年（含）以上的，得5分；无得0分。 注：需同时提供人员劳动合同、相关资格或学历证书复印件、在本单位购买近6个月内任意一个月的社保或代缴个人所得税证明文件。</w:t>
            </w:r>
          </w:p>
        </w:tc>
      </w:tr>
      <w:tr>
        <w:tc>
          <w:tcPr>
            <w:tcW w:type="dxa" w:w="922"/>
            <w:gridSpan w:val="2"/>
            <w:vMerge/>
          </w:tcPr>
          <w:p/>
        </w:tc>
        <w:tc>
          <w:tcPr>
            <w:tcW w:type="dxa" w:w="2307"/>
          </w:tcPr>
          <w:p>
            <w:pPr>
              <w:jc w:val="left"/>
            </w:pPr>
            <w:r>
              <w:rPr/>
              <w:t>团队配置及专业实力情况3 (5.0分)</w:t>
            </w:r>
          </w:p>
        </w:tc>
        <w:tc>
          <w:tcPr>
            <w:tcW w:type="dxa" w:w="5076"/>
          </w:tcPr>
          <w:p>
            <w:pPr>
              <w:jc w:val="left"/>
            </w:pPr>
            <w:r>
              <w:rPr/>
              <w:t>投标人配置有精神科护士经验的或者从事精神科资质的医务人员1名，得5分；无得0分。 注：需同时提供人员劳动合同、相关资格证书或从业经验证明文件、在本单位购买近6个月内任意一个月的社保或代缴个人所得税证明文件。</w:t>
            </w:r>
          </w:p>
        </w:tc>
      </w:tr>
      <w:tr>
        <w:tc>
          <w:tcPr>
            <w:tcW w:type="dxa" w:w="922"/>
            <w:gridSpan w:val="2"/>
            <w:vMerge/>
          </w:tcPr>
          <w:p/>
        </w:tc>
        <w:tc>
          <w:tcPr>
            <w:tcW w:type="dxa" w:w="2307"/>
          </w:tcPr>
          <w:p>
            <w:pPr>
              <w:jc w:val="left"/>
            </w:pPr>
            <w:r>
              <w:rPr/>
              <w:t>团队配置及专业实力情况4 (6.0分)</w:t>
            </w:r>
          </w:p>
        </w:tc>
        <w:tc>
          <w:tcPr>
            <w:tcW w:type="dxa" w:w="5076"/>
          </w:tcPr>
          <w:p>
            <w:pPr>
              <w:jc w:val="left"/>
            </w:pPr>
            <w:r>
              <w:rPr/>
              <w:t>项目需聘请专业督导，要求为： 1.社工专家（大学社工学科教师且具有社工督导资质）2名，每提供一名得1.5分，最高得3分； 2.精神专科主治医生或以上职称1名，得3分； 本项最高得6分 注：需提供人员聘请证书或在本单位购买近6个月内任意一个月的社保或代缴个人所得税证明文件；人员相关资质证书复印件。</w:t>
            </w:r>
          </w:p>
        </w:tc>
      </w:tr>
      <w:tr>
        <w:tc>
          <w:tcPr>
            <w:tcW w:type="dxa" w:w="922"/>
            <w:gridSpan w:val="2"/>
            <w:vMerge/>
          </w:tcPr>
          <w:p/>
        </w:tc>
        <w:tc>
          <w:tcPr>
            <w:tcW w:type="dxa" w:w="2307"/>
          </w:tcPr>
          <w:p>
            <w:pPr>
              <w:jc w:val="left"/>
            </w:pPr>
            <w:r>
              <w:rPr/>
              <w:t>专业支持要求 (6.0分)</w:t>
            </w:r>
          </w:p>
        </w:tc>
        <w:tc>
          <w:tcPr>
            <w:tcW w:type="dxa" w:w="5076"/>
          </w:tcPr>
          <w:p>
            <w:pPr>
              <w:jc w:val="left"/>
            </w:pPr>
            <w:r>
              <w:rPr/>
              <w:t>投标人有与精神卫生机构达成业务指导、康复评估服务关系，确保与精神卫生机构形成双向转介，为服务对象提供住院治疗绿色通道服务。完全符合，得6分；不符合，得0分。 注：需提供协议或其它证明材料，有效期到本项目服务终止期。</w:t>
            </w:r>
          </w:p>
        </w:tc>
      </w:tr>
      <w:tr>
        <w:tc>
          <w:tcPr>
            <w:tcW w:type="dxa" w:w="922"/>
            <w:gridSpan w:val="2"/>
            <w:vMerge w:val="restart"/>
          </w:tcPr>
          <w:p>
            <w:pPr>
              <w:jc w:val="center"/>
            </w:pPr>
            <w:r>
              <w:rPr/>
              <w:t>商务部分</w:t>
            </w:r>
          </w:p>
        </w:tc>
        <w:tc>
          <w:tcPr>
            <w:tcW w:type="dxa" w:w="2307"/>
          </w:tcPr>
          <w:p>
            <w:pPr>
              <w:jc w:val="left"/>
            </w:pPr>
            <w:r>
              <w:rPr/>
              <w:t>管理能力及制度保障（一） (2.5分)</w:t>
            </w:r>
          </w:p>
        </w:tc>
        <w:tc>
          <w:tcPr>
            <w:tcW w:type="dxa" w:w="5076"/>
          </w:tcPr>
          <w:p>
            <w:pPr>
              <w:jc w:val="left"/>
            </w:pPr>
            <w:r>
              <w:rPr/>
              <w:t>根据投标人提供的管理能力及制度保障（一）进行综合评审，方案应包括： 1. 内部管理制度； 2. 人员培训制度； 3. 摸查建档计划； 4. 应急处置方案； 5. 服务评估方案。 提供全部内容得2.5分，每缺1项扣0.5分。</w:t>
            </w:r>
          </w:p>
        </w:tc>
      </w:tr>
      <w:tr>
        <w:tc>
          <w:tcPr>
            <w:tcW w:type="dxa" w:w="922"/>
            <w:gridSpan w:val="2"/>
            <w:vMerge/>
          </w:tcPr>
          <w:p/>
        </w:tc>
        <w:tc>
          <w:tcPr>
            <w:tcW w:type="dxa" w:w="2307"/>
          </w:tcPr>
          <w:p>
            <w:pPr>
              <w:jc w:val="left"/>
            </w:pPr>
            <w:r>
              <w:rPr/>
              <w:t>管理能力及制度保障（二） (7.5分)</w:t>
            </w:r>
            <w:r>
              <w:rPr/>
              <w:t>，（等次分值选择：</w:t>
            </w:r>
            <w:r>
              <w:rPr/>
              <w:t>0.0;</w:t>
            </w:r>
            <w:r>
              <w:rPr/>
              <w:t>1.0;</w:t>
            </w:r>
            <w:r>
              <w:rPr/>
              <w:t>4.0;</w:t>
            </w:r>
            <w:r>
              <w:rPr/>
              <w:t>7.5;</w:t>
            </w:r>
            <w:r>
              <w:rPr/>
              <w:t>）</w:t>
            </w:r>
          </w:p>
        </w:tc>
        <w:tc>
          <w:tcPr>
            <w:tcW w:type="dxa" w:w="5076"/>
          </w:tcPr>
          <w:p>
            <w:pPr>
              <w:jc w:val="left"/>
            </w:pPr>
            <w:r>
              <w:rPr/>
              <w:t>根据投标人提供的关于本项目的管理能力及制度保障（一）的详细内容进行评审：  （1）管理能力及制度保障具有针对性，切实可行，能有效保障本项目实施，有利于实现服务效果，得7.5分； （2）管理能力及制度保障具有一定的针对性和可行性，基本保障本项目服务实施，基本满足服务效果，得4分； （3）管理能力及制度保障没有针对性或难以施行的，无法保障本项目服务实施，达不到服务效果，得1分； （4）无提供的得0分。</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投标人自2020年1月1日开展项目业绩，以购买方聘请第三方机构年度（末期）评估报告为依据： （1）提供一项同类项目年度评估90分或以上的，得3分； （2）提供一项同类项目年度评估80-89分的，得2分； （3）提供一项同类项目年度评估70-79分的，得1分； （4）提供一项同类项目年度评估69分以下得0分。 注: 本项累计最高分6分。同一购买方的同类项目只计一项，提供服务期自2020年1月1日以来项目业绩合同复印件，同时提供购买方或第三方年度（末期）评估报告复印件。</w:t>
            </w:r>
          </w:p>
        </w:tc>
      </w:tr>
      <w:tr>
        <w:tc>
          <w:tcPr>
            <w:tcW w:type="dxa" w:w="922"/>
            <w:gridSpan w:val="2"/>
            <w:vMerge/>
          </w:tcPr>
          <w:p/>
        </w:tc>
        <w:tc>
          <w:tcPr>
            <w:tcW w:type="dxa" w:w="2307"/>
          </w:tcPr>
          <w:p>
            <w:pPr>
              <w:jc w:val="left"/>
            </w:pPr>
            <w:r>
              <w:rPr/>
              <w:t>项目执行实力 (8.0分)</w:t>
            </w:r>
          </w:p>
        </w:tc>
        <w:tc>
          <w:tcPr>
            <w:tcW w:type="dxa" w:w="5076"/>
          </w:tcPr>
          <w:p>
            <w:pPr>
              <w:jc w:val="left"/>
            </w:pPr>
            <w:r>
              <w:rPr/>
              <w:t>项目执行实力 投标人提供自2020年以来开展服务的精神康复对象人员名单： （1）服务对象达到400人（含）以上，得8分； （2）服务对象300-399人得6分； （3）服务对象200-299人得3分； （4）服务对象100-199人得1分； （5）服务对象100人（不含）以下的，得0分。 注：所提供名单须由区、街道残联或卫健局精防管理部门或公安局治安管理部门盖章确认。</w:t>
            </w:r>
          </w:p>
        </w:tc>
      </w:tr>
      <w:tr>
        <w:tc>
          <w:tcPr>
            <w:tcW w:type="dxa" w:w="922"/>
            <w:gridSpan w:val="2"/>
            <w:vMerge/>
          </w:tcPr>
          <w:p/>
        </w:tc>
        <w:tc>
          <w:tcPr>
            <w:tcW w:type="dxa" w:w="2307"/>
          </w:tcPr>
          <w:p>
            <w:pPr>
              <w:jc w:val="left"/>
            </w:pPr>
            <w:r>
              <w:rPr/>
              <w:t>特色服务 (6.0分)</w:t>
            </w:r>
          </w:p>
        </w:tc>
        <w:tc>
          <w:tcPr>
            <w:tcW w:type="dxa" w:w="5076"/>
          </w:tcPr>
          <w:p>
            <w:pPr>
              <w:jc w:val="left"/>
            </w:pPr>
            <w:r>
              <w:rPr/>
              <w:t>1、根据项目内容，结合区域实际提供特色服务：（4分） （1）特色服务方案详细、合理、可操作性强的，得4分； （2）特色服务方案较详细、合理，有一定的操作性的，得2分； （3）特色服务方案简单、合理性差，操作性不强的，得1分； （4）无特色服务的，得0分。 2、投标人额外提供服务场地的：（2分） （1）有提供的，得2分； （2）不提供的，得0分。 注：提供相关证明材料，包括但不限于自有房产证明或有效期内的场地租赁合同或无偿提供的场地证明。</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统一采用量多优先法计算，即按采购文件要求且计划投入本项目的服务总工时数量最多的为评审基准工时，其服务总工时评审为满分。其他投标人服务总工时得分统一按照下列公式计算：响应服务总工时得分=（投入本项目的服务总工时量÷评审基准工时）×20。  评审过程中，不得去掉最高服务总工时和最低服务总工时。  因落实政府采购政策进行工时调整的，以调整后的评审基准工时和响应服务总工时为准。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420"/>
        <w:jc w:val="both"/>
      </w:pPr>
    </w:p>
    <w:p>
      <w:pPr>
        <w:jc w:val="right"/>
      </w:pPr>
      <w:r>
        <w:rPr>
          <w:sz w:val="28"/>
        </w:rPr>
        <w:t xml:space="preserve">        </w:t>
      </w:r>
      <w:r>
        <w:rPr>
          <w:sz w:val="28"/>
        </w:rPr>
        <w:t>合同编号：</w:t>
      </w:r>
      <w:r>
        <w:rPr>
          <w:sz w:val="21"/>
          <w:u w:val="single"/>
        </w:rPr>
        <w:t xml:space="preserve">                 </w:t>
      </w:r>
    </w:p>
    <w:p>
      <w:pPr>
        <w:jc w:val="center"/>
      </w:pPr>
      <w:r>
        <w:rPr/>
        <w:t xml:space="preserve"> </w:t>
      </w:r>
    </w:p>
    <w:p>
      <w:pPr>
        <w:jc w:val="left"/>
      </w:pPr>
    </w:p>
    <w:p>
      <w:pPr>
        <w:jc w:val="center"/>
      </w:pPr>
    </w:p>
    <w:p>
      <w:pPr>
        <w:jc w:val="center"/>
      </w:pPr>
      <w:r>
        <w:rPr>
          <w:b/>
          <w:sz w:val="84"/>
        </w:rPr>
        <w:t>合</w:t>
      </w:r>
      <w:r>
        <w:rPr>
          <w:b/>
          <w:sz w:val="84"/>
        </w:rPr>
        <w:t>同</w:t>
      </w:r>
      <w:r>
        <w:rPr>
          <w:b/>
          <w:sz w:val="84"/>
        </w:rPr>
        <w:t>书</w:t>
      </w:r>
    </w:p>
    <w:p>
      <w:pPr>
        <w:jc w:val="center"/>
      </w:pPr>
      <w:r>
        <w:rPr/>
        <w:t xml:space="preserve"> </w:t>
      </w:r>
    </w:p>
    <w:p>
      <w:pPr>
        <w:jc w:val="center"/>
      </w:pPr>
      <w:r>
        <w:rPr/>
        <w:t xml:space="preserve"> </w:t>
      </w:r>
    </w:p>
    <w:p>
      <w:pPr>
        <w:jc w:val="center"/>
      </w:pPr>
    </w:p>
    <w:p>
      <w:pPr>
        <w:jc w:val="both"/>
      </w:pPr>
    </w:p>
    <w:p>
      <w:pPr>
        <w:jc w:val="both"/>
      </w:pPr>
    </w:p>
    <w:p>
      <w:pPr>
        <w:ind w:firstLine="843"/>
        <w:jc w:val="both"/>
      </w:pPr>
      <w:r>
        <w:rPr>
          <w:b/>
          <w:sz w:val="28"/>
        </w:rPr>
        <w:t>项目名称：</w:t>
      </w:r>
      <w:r>
        <w:rPr>
          <w:b/>
          <w:sz w:val="28"/>
          <w:u w:val="single"/>
        </w:rPr>
        <w:t>天河区残联</w:t>
      </w:r>
      <w:r>
        <w:rPr>
          <w:b/>
          <w:sz w:val="28"/>
          <w:u w:val="single"/>
        </w:rPr>
        <w:t>2024年社区精神康复综合服务项目</w:t>
      </w:r>
    </w:p>
    <w:p>
      <w:pPr>
        <w:ind w:firstLine="843"/>
        <w:jc w:val="both"/>
      </w:pPr>
      <w:r>
        <w:rPr>
          <w:b/>
          <w:sz w:val="28"/>
        </w:rPr>
        <w:t>合同编号：</w:t>
      </w:r>
      <w:r>
        <w:rPr>
          <w:b/>
          <w:sz w:val="21"/>
          <w:u w:val="single"/>
        </w:rPr>
        <w:t xml:space="preserve">                                          </w:t>
      </w:r>
    </w:p>
    <w:p>
      <w:pPr>
        <w:ind w:firstLine="843"/>
        <w:jc w:val="both"/>
      </w:pPr>
      <w:r>
        <w:rPr>
          <w:b/>
          <w:sz w:val="28"/>
        </w:rPr>
        <w:t>签约地点：</w:t>
      </w:r>
      <w:r>
        <w:rPr>
          <w:b/>
          <w:sz w:val="21"/>
          <w:u w:val="single"/>
        </w:rPr>
        <w:t xml:space="preserve">                                          </w:t>
      </w:r>
    </w:p>
    <w:p>
      <w:pPr>
        <w:ind w:firstLine="843"/>
        <w:jc w:val="both"/>
      </w:pPr>
      <w:r>
        <w:rPr/>
        <w:t xml:space="preserve"> </w:t>
      </w:r>
    </w:p>
    <w:p>
      <w:pPr>
        <w:ind w:firstLine="843"/>
        <w:jc w:val="both"/>
      </w:pPr>
      <w:r>
        <w:rPr/>
        <w:t xml:space="preserve"> </w:t>
      </w:r>
    </w:p>
    <w:p>
      <w:pPr>
        <w:jc w:val="center"/>
      </w:pPr>
      <w:r>
        <w:rPr>
          <w:b/>
          <w:sz w:val="28"/>
        </w:rPr>
        <w:t>签订日期：二</w:t>
      </w:r>
      <w:r>
        <w:rPr>
          <w:b/>
          <w:sz w:val="28"/>
        </w:rPr>
        <w:t>○   年    月     日</w:t>
      </w:r>
    </w:p>
    <w:p>
      <w:pPr>
        <w:jc w:val="both"/>
      </w:pPr>
    </w:p>
    <w:p>
      <w:pPr>
        <w:jc w:val="both"/>
      </w:pPr>
      <w:r>
        <w:rPr/>
        <w:t xml:space="preserve"> </w:t>
      </w:r>
    </w:p>
    <w:p>
      <w:pPr>
        <w:jc w:val="both"/>
      </w:pPr>
      <w:r>
        <w:rPr/>
        <w:t xml:space="preserve"> </w:t>
      </w:r>
    </w:p>
    <w:p>
      <w:pPr>
        <w:jc w:val="both"/>
      </w:pPr>
      <w:r>
        <w:rPr/>
        <w:t xml:space="preserve"> </w:t>
      </w:r>
    </w:p>
    <w:p>
      <w:pPr>
        <w:jc w:val="both"/>
      </w:pPr>
      <w:r>
        <w:rPr>
          <w:b/>
          <w:sz w:val="22"/>
        </w:rPr>
        <w:t>甲方：广州市天河区残疾人联合会</w:t>
      </w:r>
      <w:r>
        <w:rPr>
          <w:b/>
          <w:sz w:val="22"/>
        </w:rPr>
        <w:t xml:space="preserve">         </w:t>
      </w:r>
      <w:r>
        <w:rPr>
          <w:b/>
          <w:sz w:val="22"/>
        </w:rPr>
        <w:t>（以下简称甲方）</w:t>
      </w:r>
    </w:p>
    <w:p>
      <w:pPr>
        <w:jc w:val="both"/>
      </w:pPr>
    </w:p>
    <w:p>
      <w:pPr>
        <w:jc w:val="both"/>
      </w:pPr>
      <w:r>
        <w:rPr>
          <w:b/>
          <w:sz w:val="22"/>
        </w:rPr>
        <w:t>乙方：</w:t>
      </w:r>
      <w:r>
        <w:rPr>
          <w:b/>
          <w:sz w:val="22"/>
        </w:rPr>
        <w:t xml:space="preserve">                                  </w:t>
      </w:r>
      <w:r>
        <w:rPr>
          <w:b/>
          <w:sz w:val="22"/>
        </w:rPr>
        <w:t>（以下简称乙方）</w:t>
      </w:r>
    </w:p>
    <w:p>
      <w:pPr>
        <w:ind w:firstLine="420"/>
        <w:jc w:val="both"/>
      </w:pPr>
      <w:r>
        <w:rPr>
          <w:sz w:val="21"/>
        </w:rPr>
        <w:t>根据《中华人民共和国政府采购法》、《中华人民共和国民法典》等相关法律法规及</w:t>
      </w:r>
      <w:r>
        <w:rPr>
          <w:sz w:val="21"/>
          <w:u w:val="single"/>
        </w:rPr>
        <w:t>天河区残联</w:t>
      </w:r>
      <w:r>
        <w:rPr>
          <w:sz w:val="21"/>
          <w:u w:val="single"/>
        </w:rPr>
        <w:t>2024年社区精神康复综合服务项目</w:t>
      </w:r>
      <w:r>
        <w:rPr>
          <w:sz w:val="21"/>
        </w:rPr>
        <w:t>招标文件（项目编号：</w:t>
      </w:r>
      <w:r>
        <w:rPr>
          <w:sz w:val="21"/>
        </w:rPr>
        <w:t>GZGK23D313C0982Z</w:t>
      </w:r>
      <w:r>
        <w:rPr>
          <w:sz w:val="21"/>
        </w:rPr>
        <w:t>）的要求，经双方协商，本着平等互利和诚实信用的原则，一致同意签订本合同。</w:t>
      </w:r>
    </w:p>
    <w:p>
      <w:pPr>
        <w:ind w:firstLine="422"/>
        <w:jc w:val="both"/>
      </w:pPr>
      <w:r>
        <w:rPr>
          <w:b/>
          <w:sz w:val="21"/>
        </w:rPr>
        <w:t>一、</w:t>
      </w:r>
      <w:r>
        <w:rPr>
          <w:b/>
          <w:sz w:val="21"/>
        </w:rPr>
        <w:t>项目概述：</w:t>
      </w:r>
    </w:p>
    <w:p>
      <w:pPr>
        <w:jc w:val="both"/>
      </w:pPr>
      <w:r>
        <w:rPr>
          <w:b/>
          <w:sz w:val="21"/>
        </w:rPr>
        <w:t>（一）项目介绍：</w:t>
      </w:r>
    </w:p>
    <w:p>
      <w:pPr>
        <w:ind w:firstLine="420"/>
        <w:jc w:val="both"/>
      </w:pPr>
      <w:r>
        <w:rPr>
          <w:sz w:val="21"/>
        </w:rPr>
        <w:t>甲方通过政府购买服务形式由乙方承接运营广州市天河区社区精神康复综合服务中心，中心运用社会工作的方法，通过专职社工，为精神残疾人、精神病康复者、社会心理障碍人士及他们的家属或者照顾者，提供社区精神康复服务，包括康复训练、心理疏导、事前预防、危机介入、实时支援，以及个案跟进等专业社工服务，从个人、家庭、社区三个层面介入，坚持</w:t>
      </w:r>
      <w:r>
        <w:rPr>
          <w:sz w:val="21"/>
        </w:rPr>
        <w:t>“加强经济保障、立足个体发展、促进家庭和谐、推动社区共融”的服务理念，保障精神障碍者生存、参与和发展的权利。</w:t>
      </w:r>
    </w:p>
    <w:p>
      <w:pPr>
        <w:ind w:firstLine="422"/>
        <w:jc w:val="both"/>
      </w:pPr>
      <w:r>
        <w:rPr>
          <w:b/>
          <w:sz w:val="21"/>
        </w:rPr>
        <w:t>（二）服务对象：</w:t>
      </w:r>
    </w:p>
    <w:p>
      <w:pPr>
        <w:ind w:firstLine="420"/>
        <w:jc w:val="both"/>
      </w:pPr>
      <w:r>
        <w:rPr>
          <w:sz w:val="21"/>
        </w:rPr>
        <w:t>项目面向居住地在广州市天河区且具有广州市户籍的持有《中华人民共和国残疾人证》或纳入卫生部门《广州市精神疾病社区防治与康复信息管理系统》、公安部门《全国重性精神病人信息管理系统》管理的精神障碍者。</w:t>
      </w:r>
    </w:p>
    <w:p>
      <w:pPr>
        <w:ind w:firstLine="420"/>
        <w:jc w:val="both"/>
      </w:pPr>
      <w:r>
        <w:rPr>
          <w:sz w:val="21"/>
        </w:rPr>
        <w:t>本项目服务期内接受中心服务的固定对象为</w:t>
      </w:r>
      <w:r>
        <w:rPr>
          <w:sz w:val="21"/>
        </w:rPr>
        <w:t>400人，服务对象不能与由甲方提供经费在民办残疾人服务机构、康园工疗站服务中心接受社工服务的对象重复。本项目的服务对象年更新率不低于10%，即年度新增的服务对象人数占上一年总服务人数的比例不低于10%。</w:t>
      </w:r>
    </w:p>
    <w:p>
      <w:pPr>
        <w:ind w:firstLine="420"/>
        <w:jc w:val="both"/>
      </w:pPr>
      <w:r>
        <w:rPr>
          <w:sz w:val="21"/>
        </w:rPr>
        <w:t>本项目为交钥匙承包项目，乙方承包及负责招标文件对乙方要求的一切事宜及责任。</w:t>
      </w:r>
    </w:p>
    <w:p>
      <w:pPr>
        <w:ind w:firstLine="422"/>
        <w:jc w:val="both"/>
      </w:pPr>
      <w:r>
        <w:rPr>
          <w:b/>
          <w:sz w:val="21"/>
        </w:rPr>
        <w:t>二、项目期限及执行</w:t>
      </w:r>
    </w:p>
    <w:p>
      <w:pPr>
        <w:ind w:firstLine="420"/>
        <w:jc w:val="both"/>
      </w:pPr>
      <w:r>
        <w:rPr>
          <w:sz w:val="21"/>
        </w:rPr>
        <w:t>本项目期限自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日止，合同期限</w:t>
      </w:r>
      <w:r>
        <w:rPr>
          <w:sz w:val="21"/>
          <w:u w:val="single"/>
        </w:rPr>
        <w:t xml:space="preserve">   </w:t>
      </w:r>
      <w:r>
        <w:rPr>
          <w:sz w:val="21"/>
        </w:rPr>
        <w:t>年，共计</w:t>
      </w:r>
      <w:r>
        <w:rPr>
          <w:sz w:val="21"/>
          <w:u w:val="single"/>
        </w:rPr>
        <w:t xml:space="preserve">    </w:t>
      </w:r>
      <w:r>
        <w:rPr>
          <w:sz w:val="21"/>
        </w:rPr>
        <w:t>万元。服务期限内均进行中期、末期服务质量督导评估。合同有效期随服务期结束而自然终止。</w:t>
      </w:r>
    </w:p>
    <w:p>
      <w:pPr>
        <w:ind w:firstLine="422"/>
        <w:jc w:val="both"/>
      </w:pPr>
      <w:r>
        <w:rPr>
          <w:b/>
          <w:sz w:val="21"/>
        </w:rPr>
        <w:t>三、服务内容</w:t>
      </w:r>
    </w:p>
    <w:p>
      <w:pPr>
        <w:ind w:firstLine="420"/>
        <w:jc w:val="both"/>
      </w:pPr>
      <w:r>
        <w:rPr>
          <w:sz w:val="21"/>
        </w:rPr>
        <w:t>社区精神康复综合服务中心针对精神障碍患者的社区康复需求，以一对一、小组（不少于</w:t>
      </w:r>
      <w:r>
        <w:rPr>
          <w:sz w:val="21"/>
        </w:rPr>
        <w:t>6 名服务对象参与）、活动（不少于 10 名服务对象参与）的形式开展以下服务：</w:t>
      </w:r>
    </w:p>
    <w:p>
      <w:pPr>
        <w:ind w:firstLine="420"/>
        <w:jc w:val="both"/>
      </w:pPr>
      <w:r>
        <w:rPr>
          <w:sz w:val="21"/>
        </w:rPr>
        <w:t>（一）基础服务：组织开展为掌握服务对象基本情况及需求情况的基础性服务，包含：建档、入户探访、电话探访、个案服务等。</w:t>
      </w:r>
    </w:p>
    <w:p>
      <w:pPr>
        <w:ind w:firstLine="420"/>
        <w:jc w:val="both"/>
      </w:pPr>
      <w:r>
        <w:rPr>
          <w:sz w:val="21"/>
        </w:rPr>
        <w:t>（二）社会保障资源链接服务：为服务对象及家庭提供涉及社会救助、就业支持、职业技能培训等的资源连接服务，在政府保障其生活、就业、医疗、教育、住房等方面的基本生存状态方面提供协助和支持。</w:t>
      </w:r>
    </w:p>
    <w:p>
      <w:pPr>
        <w:ind w:firstLine="420"/>
        <w:jc w:val="both"/>
      </w:pPr>
      <w:r>
        <w:rPr>
          <w:sz w:val="21"/>
        </w:rPr>
        <w:t>（三）个人发展服务：为服务对象提供心理情绪辅导服务、知识分享服务、技能培训服务等，促进其在态度、知识、技能等方面的成长和发展。</w:t>
      </w:r>
    </w:p>
    <w:p>
      <w:pPr>
        <w:ind w:firstLine="420"/>
        <w:jc w:val="both"/>
      </w:pPr>
      <w:r>
        <w:rPr>
          <w:sz w:val="21"/>
        </w:rPr>
        <w:t>（四）家属服务：为服务对象的照顾者提供减压互助服务、照顾技能提升服务、改善家庭关系服务等，促进服务对象的家庭和谐，提高家属对服务对象的理解和支持。</w:t>
      </w:r>
    </w:p>
    <w:p>
      <w:pPr>
        <w:ind w:firstLine="420"/>
        <w:jc w:val="both"/>
      </w:pPr>
      <w:r>
        <w:rPr>
          <w:sz w:val="21"/>
        </w:rPr>
        <w:t>（五）社区共融服务：为服务对象居住的社区开展社区康乐服务、社区宣传服务、社区志愿服务等，促进社区居民与精神病康复者及其家庭的互动和融合。</w:t>
      </w:r>
    </w:p>
    <w:p>
      <w:pPr>
        <w:ind w:firstLine="420"/>
        <w:jc w:val="both"/>
      </w:pPr>
      <w:r>
        <w:rPr>
          <w:sz w:val="21"/>
        </w:rPr>
        <w:t>（六）双向转介服务：与精神卫生机构达成业务指导关系，为服务对象提供康复评估服务，并为有需求的服务对象提供社区</w:t>
      </w:r>
      <w:r>
        <w:rPr>
          <w:sz w:val="21"/>
        </w:rPr>
        <w:t>—医院、医院—社区的双向转介服务。</w:t>
      </w:r>
    </w:p>
    <w:p>
      <w:pPr>
        <w:ind w:firstLine="420"/>
        <w:jc w:val="both"/>
      </w:pPr>
      <w:r>
        <w:rPr>
          <w:sz w:val="21"/>
        </w:rPr>
        <w:t>（七）特色服务：结合社区天河区内资源情况，以及服务对象的实际需求情况，创新开展特色服务或更具探索性的深度服务，服务场地和设施由乙方自行解决。</w:t>
      </w:r>
    </w:p>
    <w:p>
      <w:pPr>
        <w:ind w:firstLine="422"/>
        <w:jc w:val="both"/>
      </w:pPr>
      <w:r>
        <w:rPr>
          <w:b/>
          <w:sz w:val="21"/>
        </w:rPr>
        <w:t>四、服务工时</w:t>
      </w:r>
    </w:p>
    <w:p>
      <w:pPr>
        <w:ind w:firstLine="422"/>
        <w:jc w:val="both"/>
      </w:pPr>
      <w:r>
        <w:rPr>
          <w:b/>
          <w:sz w:val="21"/>
        </w:rPr>
        <w:t>按投标文件中</w:t>
      </w:r>
      <w:r>
        <w:rPr>
          <w:b/>
          <w:sz w:val="21"/>
        </w:rPr>
        <w:t>“计划投入本项目的专业服务总工时明细表”填写。</w:t>
      </w:r>
    </w:p>
    <w:p>
      <w:pPr>
        <w:ind w:firstLine="422"/>
        <w:jc w:val="both"/>
      </w:pPr>
      <w:r>
        <w:rPr>
          <w:b/>
          <w:sz w:val="21"/>
        </w:rPr>
        <w:t>五、人员要求</w:t>
      </w:r>
    </w:p>
    <w:p>
      <w:pPr>
        <w:ind w:firstLine="420"/>
        <w:jc w:val="both"/>
      </w:pPr>
      <w:r>
        <w:rPr>
          <w:sz w:val="21"/>
        </w:rPr>
        <w:t>本项目全职人员配置不少于</w:t>
      </w:r>
      <w:r>
        <w:rPr>
          <w:sz w:val="21"/>
        </w:rPr>
        <w:t>16人，其中社会工作者岗位不少于13人，社区精神康复工作从业人员不少于2人（其中可有1名心理学相关专业教育背景或心理咨询师，1名精神科医护人员），行政人员岗位不多于1人。在社会工作者岗位人员中，社会工作专业人员不少于11人。社会工作辅助人员不多于2人。专业人员与服务对象比为1:30，中心每增加服务对象30人，应当增加1名社会工作专业人员。聘请社工督导2名、精神科专家1名（其中社工督导须为大学社工专业老师、精神科专家为精神专科主治医生及以上）作为项目督导，定期提供专业指导。</w:t>
      </w:r>
    </w:p>
    <w:p>
      <w:pPr>
        <w:ind w:firstLine="422"/>
        <w:jc w:val="both"/>
      </w:pPr>
      <w:r>
        <w:rPr>
          <w:b/>
          <w:sz w:val="21"/>
        </w:rPr>
        <w:t>六、</w:t>
      </w:r>
      <w:r>
        <w:rPr>
          <w:b/>
          <w:sz w:val="21"/>
        </w:rPr>
        <w:t>评估考核：</w:t>
      </w:r>
    </w:p>
    <w:p>
      <w:pPr>
        <w:ind w:firstLine="210"/>
        <w:jc w:val="left"/>
      </w:pPr>
      <w:r>
        <w:rPr>
          <w:sz w:val="21"/>
        </w:rPr>
        <w:t>甲方参照《广州市残疾人联合会</w:t>
      </w:r>
      <w:r>
        <w:rPr>
          <w:sz w:val="21"/>
        </w:rPr>
        <w:t>广州市卫生健康委员会</w:t>
      </w:r>
      <w:r>
        <w:rPr>
          <w:sz w:val="21"/>
        </w:rPr>
        <w:t>广州市民政局</w:t>
      </w:r>
      <w:r>
        <w:rPr>
          <w:sz w:val="21"/>
        </w:rPr>
        <w:t>广州市财政局关于印发广州市社区精神康复综合服务中心管理办法的通知》（穗残规字﹝</w:t>
      </w:r>
      <w:r>
        <w:rPr>
          <w:sz w:val="21"/>
        </w:rPr>
        <w:t>2020﹞1号）、《广州市残疾人联合会关于印发广州市社区精神康复综合服务中心服务质量评估办法的通知》（穗残联[2019]172号），以及本项目协议内容，由甲方以及聘请第三方机构执行考核评估。</w:t>
      </w:r>
    </w:p>
    <w:p>
      <w:pPr>
        <w:ind w:firstLine="422"/>
        <w:jc w:val="both"/>
      </w:pPr>
      <w:r>
        <w:rPr>
          <w:b/>
          <w:sz w:val="21"/>
        </w:rPr>
        <w:t>七、付款方式</w:t>
      </w:r>
    </w:p>
    <w:p>
      <w:pPr>
        <w:ind w:firstLine="735"/>
        <w:jc w:val="both"/>
      </w:pPr>
      <w:r>
        <w:rPr>
          <w:sz w:val="21"/>
        </w:rPr>
        <w:t>（详见用户需求书）</w:t>
      </w:r>
    </w:p>
    <w:p>
      <w:pPr>
        <w:ind w:firstLine="422"/>
        <w:jc w:val="both"/>
      </w:pPr>
      <w:r>
        <w:rPr>
          <w:b/>
          <w:sz w:val="21"/>
        </w:rPr>
        <w:t>八、验收条款</w:t>
      </w:r>
    </w:p>
    <w:p>
      <w:pPr>
        <w:ind w:firstLine="420"/>
        <w:jc w:val="both"/>
      </w:pPr>
      <w:r>
        <w:rPr>
          <w:sz w:val="21"/>
        </w:rPr>
        <w:t>（详见用户需求书）</w:t>
      </w:r>
    </w:p>
    <w:p>
      <w:pPr>
        <w:ind w:firstLine="422"/>
        <w:jc w:val="both"/>
      </w:pPr>
      <w:r>
        <w:rPr>
          <w:b/>
          <w:sz w:val="21"/>
        </w:rPr>
        <w:t>九、双方的权利和义务</w:t>
      </w:r>
    </w:p>
    <w:p>
      <w:pPr>
        <w:ind w:firstLine="105"/>
        <w:jc w:val="left"/>
      </w:pPr>
      <w:r>
        <w:rPr>
          <w:sz w:val="21"/>
        </w:rPr>
        <w:t>（一）甲方的权利和义务</w:t>
      </w:r>
    </w:p>
    <w:p>
      <w:pPr>
        <w:ind w:firstLine="210"/>
        <w:jc w:val="left"/>
      </w:pPr>
      <w:r>
        <w:rPr>
          <w:sz w:val="21"/>
        </w:rPr>
        <w:t>1. 负责社区精神康复综合服务中心的场地安排。</w:t>
      </w:r>
    </w:p>
    <w:p>
      <w:pPr>
        <w:ind w:firstLine="210"/>
        <w:jc w:val="left"/>
      </w:pPr>
      <w:r>
        <w:rPr>
          <w:sz w:val="21"/>
        </w:rPr>
        <w:t>2. 负责乙方在开展本项目工作过程中与街道残联以及有关部门的协调工作。</w:t>
      </w:r>
    </w:p>
    <w:p>
      <w:pPr>
        <w:ind w:firstLine="315"/>
        <w:jc w:val="left"/>
      </w:pPr>
      <w:r>
        <w:rPr>
          <w:sz w:val="21"/>
        </w:rPr>
        <w:t>3. 对乙方开展服务提供必要的协助及便利，提供乙方社工及工作人员出入有关部门及场所的便利等。</w:t>
      </w:r>
    </w:p>
    <w:p>
      <w:pPr>
        <w:ind w:firstLine="315"/>
        <w:jc w:val="left"/>
      </w:pPr>
      <w:r>
        <w:rPr>
          <w:sz w:val="21"/>
        </w:rPr>
        <w:t>4. 负责委托第三方社会服务专业机构对乙方进行服务监督、质量监察。根据中心服务和管理情况进行中期、末期评估，同时全过程不定期进行抽查。</w:t>
      </w:r>
    </w:p>
    <w:p>
      <w:pPr>
        <w:ind w:firstLine="210"/>
        <w:jc w:val="left"/>
      </w:pPr>
      <w:r>
        <w:rPr>
          <w:sz w:val="21"/>
        </w:rPr>
        <w:t>5. 按照协议及时办理资金拨付手续。</w:t>
      </w:r>
    </w:p>
    <w:p>
      <w:pPr>
        <w:ind w:firstLine="105"/>
        <w:jc w:val="left"/>
      </w:pPr>
      <w:r>
        <w:rPr>
          <w:sz w:val="21"/>
        </w:rPr>
        <w:t>（二）乙方的权利和义务</w:t>
      </w:r>
    </w:p>
    <w:p>
      <w:pPr>
        <w:ind w:firstLine="525"/>
        <w:jc w:val="left"/>
      </w:pPr>
      <w:r>
        <w:rPr>
          <w:sz w:val="21"/>
        </w:rPr>
        <w:t>1. 乙方应对社工和其他工作人员建立劳动关系，订立和履行劳动合同，支付员工工资、交纳相关的社会保险金等费用。合同期间，乙方或其员工服务过程所引发的纠纷、法律和经济责任由乙方自行承担解决。</w:t>
      </w:r>
    </w:p>
    <w:p>
      <w:pPr>
        <w:ind w:firstLine="315"/>
        <w:jc w:val="left"/>
      </w:pPr>
      <w:r>
        <w:rPr>
          <w:sz w:val="21"/>
        </w:rPr>
        <w:t>2. 结合实际制订工作规划，以及特色服务的具体实施方案。该项计划及有关实施方案应报甲方认可、备案，如有改变，应征得甲方书面同意。如机构有重大事项变更，应及时向甲方报备。</w:t>
      </w:r>
    </w:p>
    <w:p>
      <w:pPr>
        <w:ind w:firstLine="315"/>
        <w:jc w:val="left"/>
      </w:pPr>
      <w:r>
        <w:rPr>
          <w:sz w:val="21"/>
        </w:rPr>
        <w:t>3. 遵守国家法律法规及社会工作伦理道德，无条件接受甲方的业务督导和服务质量监察，全面完成各项考核指标，为服务对象提供优质的服务。</w:t>
      </w:r>
    </w:p>
    <w:p>
      <w:pPr>
        <w:ind w:firstLine="315"/>
        <w:jc w:val="left"/>
      </w:pPr>
      <w:r>
        <w:rPr>
          <w:sz w:val="21"/>
        </w:rPr>
        <w:t>4. 每月向甲方书面报告本项目的执行情况及成效；在项目实施中期及期末评估前，对本项目进行自评并提供详实的自评报告，并积极配合甲方及其所委托的机构开展的督导、中期及期末评估考核。</w:t>
      </w:r>
    </w:p>
    <w:p>
      <w:pPr>
        <w:ind w:firstLine="315"/>
        <w:jc w:val="left"/>
      </w:pPr>
      <w:r>
        <w:rPr>
          <w:sz w:val="21"/>
        </w:rPr>
        <w:t>5. 根据</w:t>
      </w:r>
      <w:r>
        <w:rPr>
          <w:sz w:val="21"/>
        </w:rPr>
        <w:t>《广州市残疾人联合会</w:t>
      </w:r>
      <w:r>
        <w:rPr>
          <w:sz w:val="21"/>
        </w:rPr>
        <w:t>广州市卫生健康委员会</w:t>
      </w:r>
      <w:r>
        <w:rPr>
          <w:sz w:val="21"/>
        </w:rPr>
        <w:t>广州市民政局</w:t>
      </w:r>
      <w:r>
        <w:rPr>
          <w:sz w:val="21"/>
        </w:rPr>
        <w:t>广州市财政局关于印发广州市社区精神康复综合服务中心管理办法的通知》（穗残联规字</w:t>
      </w:r>
      <w:r>
        <w:rPr>
          <w:sz w:val="21"/>
        </w:rPr>
        <w:t>[2020]1</w:t>
      </w:r>
      <w:r>
        <w:rPr>
          <w:sz w:val="21"/>
        </w:rPr>
        <w:t>号）</w:t>
      </w:r>
      <w:r>
        <w:rPr>
          <w:sz w:val="21"/>
        </w:rPr>
        <w:t>文件关于服务经费使用的要求，严格按规定管理使用好资助经费及各项费用，专款专用，并接受甲方及第三方评估机构的监督。具体要求如下：</w:t>
      </w:r>
    </w:p>
    <w:p>
      <w:pPr>
        <w:ind w:firstLine="545"/>
        <w:jc w:val="left"/>
      </w:pPr>
      <w:r>
        <w:rPr>
          <w:sz w:val="21"/>
        </w:rPr>
        <w:t>（</w:t>
      </w:r>
      <w:r>
        <w:rPr>
          <w:sz w:val="21"/>
        </w:rPr>
        <w:t>1）</w:t>
      </w:r>
      <w:r>
        <w:rPr>
          <w:sz w:val="21"/>
        </w:rPr>
        <w:t>社区精神康复综合服务中心人员费用及服务质量保障费用，当不低于项目经费总额的</w:t>
      </w:r>
      <w:r>
        <w:rPr>
          <w:sz w:val="21"/>
        </w:rPr>
        <w:t>85％，项目承接机构运营管理费用应当不高于项目经费总额的15％。</w:t>
      </w:r>
    </w:p>
    <w:p>
      <w:pPr>
        <w:ind w:firstLine="545"/>
        <w:jc w:val="left"/>
      </w:pPr>
      <w:r>
        <w:rPr>
          <w:sz w:val="21"/>
        </w:rPr>
        <w:t>（</w:t>
      </w:r>
      <w:r>
        <w:rPr>
          <w:sz w:val="21"/>
        </w:rPr>
        <w:t>2）</w:t>
      </w:r>
      <w:r>
        <w:rPr>
          <w:sz w:val="21"/>
        </w:rPr>
        <w:t>社区精神康复综合服务中心人员费用包括：工资、奖金、五险一金和个人所得税。预算和支出应当不高于项目经费总额的</w:t>
      </w:r>
      <w:r>
        <w:rPr>
          <w:sz w:val="21"/>
        </w:rPr>
        <w:t>65％，并建立合理的人员薪酬调节机制。</w:t>
      </w:r>
    </w:p>
    <w:p>
      <w:pPr>
        <w:ind w:firstLine="545"/>
        <w:jc w:val="left"/>
      </w:pPr>
      <w:r>
        <w:rPr>
          <w:sz w:val="21"/>
        </w:rPr>
        <w:t>（</w:t>
      </w:r>
      <w:r>
        <w:rPr>
          <w:sz w:val="21"/>
        </w:rPr>
        <w:t>3）</w:t>
      </w:r>
      <w:r>
        <w:rPr>
          <w:sz w:val="21"/>
        </w:rPr>
        <w:t>社区精神康复综合服务中心服务质量保障费用包括：委托精神卫生专业机构提供技术支持和为服务对象进行康复评估的费用；外聘督导、本机构督导的岗位补贴、社工交流学习、专业提升等专业支持费用；服务和活动产生的物料、交通、误餐、组织义工等专业服务和活动费用；设备设施、办公耗材、保洁、安保、水电、物业管理、交通等费用。其中委托精神卫生专业机构提供技术支持和为服务对象进行康复评估的费用不低于项目经费总额的</w:t>
      </w:r>
      <w:r>
        <w:rPr>
          <w:sz w:val="21"/>
        </w:rPr>
        <w:t>2％。</w:t>
      </w:r>
    </w:p>
    <w:p>
      <w:pPr>
        <w:jc w:val="left"/>
      </w:pPr>
      <w:r>
        <w:rPr>
          <w:sz w:val="21"/>
        </w:rPr>
        <w:t>（</w:t>
      </w:r>
      <w:r>
        <w:rPr>
          <w:sz w:val="21"/>
        </w:rPr>
        <w:t>4）</w:t>
      </w:r>
      <w:r>
        <w:rPr>
          <w:sz w:val="21"/>
        </w:rPr>
        <w:t>项目承接机构运营管理费用包括：运营费、发展储备费、保险费、中标费、相关税费等。</w:t>
      </w:r>
    </w:p>
    <w:p>
      <w:pPr>
        <w:ind w:firstLine="105"/>
        <w:jc w:val="left"/>
      </w:pPr>
      <w:r>
        <w:rPr>
          <w:sz w:val="21"/>
        </w:rPr>
        <w:t>（</w:t>
      </w:r>
      <w:r>
        <w:rPr>
          <w:sz w:val="21"/>
        </w:rPr>
        <w:t>5）会计档案应当由项目承接机构长期保留。</w:t>
      </w:r>
    </w:p>
    <w:p>
      <w:pPr>
        <w:ind w:firstLine="315"/>
        <w:jc w:val="left"/>
      </w:pPr>
      <w:r>
        <w:rPr>
          <w:sz w:val="21"/>
        </w:rPr>
        <w:t>7. 在本项目运营服务过程中，由于乙方的违法违规或不当行为及过失所造成的损失及有关法律责任，由乙方承担。</w:t>
      </w:r>
    </w:p>
    <w:p>
      <w:pPr>
        <w:ind w:firstLine="315"/>
        <w:jc w:val="left"/>
      </w:pPr>
      <w:r>
        <w:rPr>
          <w:sz w:val="21"/>
        </w:rPr>
        <w:t>8. 在本项目运营服务过程中，提供安全的服务环境和服务方、提供与服务对象的精神状态相适应的服务，在服务过程中，服务对象发生的人身伤害、侵权等一切法律责任均由乙方承担并自行解决，乙方对此明确知晓并同意。</w:t>
      </w:r>
    </w:p>
    <w:p>
      <w:pPr>
        <w:ind w:firstLine="210"/>
        <w:jc w:val="left"/>
      </w:pPr>
      <w:r>
        <w:rPr>
          <w:sz w:val="21"/>
        </w:rPr>
        <w:t>9. 制定安全措施和应急预案，主动接受甲方和相关职能部门的检查监督和指导。</w:t>
      </w:r>
    </w:p>
    <w:p>
      <w:pPr>
        <w:ind w:firstLine="525"/>
        <w:jc w:val="left"/>
      </w:pPr>
      <w:r>
        <w:rPr>
          <w:sz w:val="21"/>
        </w:rPr>
        <w:t>10. 应当建立完善的服务档案保管制度，退出社区精神康复综合服务中心项目时，应当于退出之日起的30个工作日内及时向甲方移交服务档案（含个案、小组、社区服务、家访电访、服务对象建档、服务需求调研等与服务相关的档案资料），并列明移交资料清单和签订移交协议书，由甲方转交下一任机构使用。协议到期后15个工作日内，做好政府提供固定财产的交接工作，形成书面文件供甲方查验，如有因管理不善及过失所造成损坏、损失的物资由乙方负责修复或重新购置，修复的情况或购置的替代物须经甲方查验合格，设备折旧或自然损耗情况除外。</w:t>
      </w:r>
    </w:p>
    <w:p>
      <w:pPr>
        <w:ind w:firstLine="527"/>
        <w:jc w:val="left"/>
      </w:pPr>
      <w:r>
        <w:rPr>
          <w:b/>
          <w:sz w:val="21"/>
        </w:rPr>
        <w:t>十、</w:t>
      </w:r>
      <w:r>
        <w:rPr>
          <w:b/>
          <w:sz w:val="21"/>
        </w:rPr>
        <w:t>违约责任：</w:t>
      </w:r>
    </w:p>
    <w:p>
      <w:pPr>
        <w:ind w:firstLine="525"/>
        <w:jc w:val="left"/>
      </w:pPr>
      <w:r>
        <w:rPr>
          <w:sz w:val="21"/>
        </w:rPr>
        <w:t>1. 如乙方中途单方终止该服务协议，应向甲方全额赔付已支付款项并支付10%的违约金。如乙方工时未按协议规定完成的，未拨付的款项不足以抵扣的，乙方应在30个工作日内退回相关款项，并支付10%的违约金。</w:t>
      </w:r>
    </w:p>
    <w:p>
      <w:pPr>
        <w:ind w:firstLine="525"/>
        <w:jc w:val="left"/>
      </w:pPr>
      <w:r>
        <w:rPr>
          <w:sz w:val="21"/>
        </w:rPr>
        <w:t>2. 乙方出现以下情形的，甲方按合同约定即时终止与承办服务机构的合同，并将有关情况报区政府采购监督部门，依法处理：</w:t>
      </w:r>
    </w:p>
    <w:p>
      <w:pPr>
        <w:ind w:firstLine="315"/>
        <w:jc w:val="left"/>
      </w:pPr>
      <w:r>
        <w:rPr>
          <w:sz w:val="21"/>
        </w:rPr>
        <w:t>（</w:t>
      </w:r>
      <w:r>
        <w:rPr>
          <w:sz w:val="21"/>
        </w:rPr>
        <w:t>1）通过提供虚假服务、伪造服务资料等手段骗取服务经费的；</w:t>
      </w:r>
    </w:p>
    <w:p>
      <w:pPr>
        <w:ind w:firstLine="315"/>
        <w:jc w:val="left"/>
      </w:pPr>
      <w:r>
        <w:rPr>
          <w:sz w:val="21"/>
        </w:rPr>
        <w:t>（</w:t>
      </w:r>
      <w:r>
        <w:rPr>
          <w:sz w:val="21"/>
        </w:rPr>
        <w:t>2）服务质量中期或末期评价不合格的；</w:t>
      </w:r>
    </w:p>
    <w:p>
      <w:pPr>
        <w:ind w:firstLine="315"/>
        <w:jc w:val="left"/>
      </w:pPr>
      <w:r>
        <w:rPr>
          <w:sz w:val="21"/>
        </w:rPr>
        <w:t>（</w:t>
      </w:r>
      <w:r>
        <w:rPr>
          <w:sz w:val="21"/>
        </w:rPr>
        <w:t>3）协议服务期间收到购买方发出的本项目《服务质量问题整改通知》累计三次的；</w:t>
      </w:r>
    </w:p>
    <w:p>
      <w:pPr>
        <w:ind w:firstLine="315"/>
        <w:jc w:val="left"/>
      </w:pPr>
      <w:r>
        <w:rPr>
          <w:sz w:val="21"/>
        </w:rPr>
        <w:t>（</w:t>
      </w:r>
      <w:r>
        <w:rPr>
          <w:sz w:val="21"/>
        </w:rPr>
        <w:t>4）未完成合同规定工时，在约定整改的时间内，依旧不能完成工时的；</w:t>
      </w:r>
    </w:p>
    <w:p>
      <w:pPr>
        <w:ind w:firstLine="315"/>
        <w:jc w:val="left"/>
      </w:pPr>
      <w:r>
        <w:rPr>
          <w:sz w:val="21"/>
        </w:rPr>
        <w:t>（</w:t>
      </w:r>
      <w:r>
        <w:rPr>
          <w:sz w:val="21"/>
        </w:rPr>
        <w:t>5）服务期内未按合同提供服务被扣减服务经费的。</w:t>
      </w:r>
    </w:p>
    <w:p>
      <w:pPr>
        <w:ind w:firstLine="315"/>
        <w:jc w:val="left"/>
      </w:pPr>
      <w:r>
        <w:rPr>
          <w:sz w:val="21"/>
        </w:rPr>
        <w:t>（</w:t>
      </w:r>
      <w:r>
        <w:rPr>
          <w:sz w:val="21"/>
        </w:rPr>
        <w:t>6）服务项目被转包的。</w:t>
      </w:r>
    </w:p>
    <w:p>
      <w:pPr>
        <w:ind w:firstLine="422"/>
        <w:jc w:val="both"/>
      </w:pPr>
      <w:r>
        <w:rPr>
          <w:b/>
          <w:sz w:val="21"/>
        </w:rPr>
        <w:t>十一、合同组成</w:t>
      </w:r>
    </w:p>
    <w:p>
      <w:pPr>
        <w:ind w:firstLine="420"/>
        <w:jc w:val="both"/>
      </w:pPr>
      <w:r>
        <w:rPr>
          <w:sz w:val="21"/>
        </w:rPr>
        <w:t>详细价格、服务细则及其它有关合同的特定信息由合同附件说明。所有附件及本项目的招投标文件、会议纪要、协议等均为本合同不可分割之一部分。</w:t>
      </w:r>
    </w:p>
    <w:p>
      <w:pPr>
        <w:ind w:firstLine="422"/>
        <w:jc w:val="both"/>
      </w:pPr>
      <w:r>
        <w:rPr>
          <w:b/>
          <w:sz w:val="21"/>
        </w:rPr>
        <w:t>十二、合同终止</w:t>
      </w:r>
    </w:p>
    <w:p>
      <w:pPr>
        <w:ind w:firstLine="420"/>
        <w:jc w:val="both"/>
      </w:pPr>
      <w:r>
        <w:rPr>
          <w:sz w:val="21"/>
        </w:rPr>
        <w:t>乙方在甲方末期服务质量督导评估为合格，甲方按期拨付服务费，合同终止。</w:t>
      </w:r>
    </w:p>
    <w:p>
      <w:pPr>
        <w:ind w:firstLine="420"/>
        <w:jc w:val="both"/>
      </w:pPr>
      <w:r>
        <w:rPr>
          <w:sz w:val="21"/>
        </w:rPr>
        <w:t>如果一方严重违反合同，并在收到对方违约通知书后在</w:t>
      </w:r>
      <w:r>
        <w:rPr>
          <w:sz w:val="21"/>
        </w:rPr>
        <w:t>30</w:t>
      </w:r>
      <w:r>
        <w:rPr>
          <w:sz w:val="21"/>
        </w:rPr>
        <w:t>天内仍未能改正违约的，另一方可立即终止本合同。</w:t>
      </w:r>
    </w:p>
    <w:p>
      <w:pPr>
        <w:ind w:firstLine="422"/>
        <w:jc w:val="both"/>
      </w:pPr>
      <w:r>
        <w:rPr>
          <w:b/>
          <w:sz w:val="21"/>
        </w:rPr>
        <w:t>十三、不可抗力</w:t>
      </w:r>
    </w:p>
    <w:p>
      <w:pPr>
        <w:ind w:firstLine="105"/>
        <w:jc w:val="both"/>
      </w:pPr>
      <w:r>
        <w:rPr>
          <w:sz w:val="21"/>
        </w:rPr>
        <w:t>1. 不可抗力指战争、严重火灾、洪水、台风、地震等或其它双方认定的不可抗力事件。</w:t>
      </w:r>
    </w:p>
    <w:p>
      <w:pPr>
        <w:ind w:firstLine="105"/>
        <w:jc w:val="both"/>
      </w:pPr>
      <w:r>
        <w:rPr>
          <w:sz w:val="21"/>
        </w:rPr>
        <w:t>2.签约双方中任何一方由于不可抗力影响合同执行时，发生不可抗力,一方应尽快将事故通知另一方，双方应通过友好协商尽快解决本合同的执行问题。</w:t>
      </w:r>
    </w:p>
    <w:p>
      <w:pPr>
        <w:ind w:firstLine="422"/>
        <w:jc w:val="both"/>
      </w:pPr>
      <w:r>
        <w:rPr>
          <w:b/>
          <w:sz w:val="21"/>
        </w:rPr>
        <w:t>十四、法律诉讼</w:t>
      </w:r>
    </w:p>
    <w:p>
      <w:pPr>
        <w:ind w:firstLine="420"/>
        <w:jc w:val="both"/>
      </w:pPr>
      <w:r>
        <w:rPr>
          <w:sz w:val="21"/>
        </w:rPr>
        <w:t>签约双方在履约中发生争执和分歧，双方应通过友好协商解决，若经协商不能达成协议时，则可向甲方所在地人民法院提起诉讼。受理期间，双方应继续执行合同其余部分。</w:t>
      </w:r>
    </w:p>
    <w:p>
      <w:pPr>
        <w:ind w:firstLine="422"/>
        <w:jc w:val="both"/>
      </w:pPr>
      <w:r>
        <w:rPr>
          <w:b/>
          <w:sz w:val="21"/>
        </w:rPr>
        <w:t>十五、其</w:t>
      </w:r>
      <w:r>
        <w:rPr>
          <w:b/>
          <w:sz w:val="21"/>
        </w:rPr>
        <w:t xml:space="preserve"> </w:t>
      </w:r>
      <w:r>
        <w:rPr>
          <w:b/>
          <w:sz w:val="21"/>
        </w:rPr>
        <w:t>它</w:t>
      </w:r>
    </w:p>
    <w:p>
      <w:pPr>
        <w:ind w:firstLine="420"/>
        <w:jc w:val="both"/>
      </w:pPr>
      <w:r>
        <w:rPr>
          <w:sz w:val="21"/>
        </w:rPr>
        <w:t>1. 本合同未尽事宜，双方签订补充合同。签订补充合同与本合同具有同等法律效力。</w:t>
      </w:r>
    </w:p>
    <w:p>
      <w:pPr>
        <w:ind w:firstLine="210"/>
        <w:jc w:val="both"/>
      </w:pPr>
      <w:r>
        <w:rPr>
          <w:sz w:val="21"/>
        </w:rPr>
        <w:t>2. 本项目招标文件及澄清文件，乙方的投标文件和各种书面承诺均作为本合同的附件，具有同等的法律效力。</w:t>
      </w:r>
    </w:p>
    <w:p>
      <w:pPr>
        <w:ind w:firstLine="420"/>
        <w:jc w:val="both"/>
      </w:pPr>
      <w:r>
        <w:rPr>
          <w:sz w:val="21"/>
        </w:rPr>
        <w:t>3.本合同一式肆份，具有同等法律效力，甲、乙双方各执壹份，财政部门壹份，采购代理机构壹份。合同自签字盖章之日起即时生效。</w:t>
      </w:r>
    </w:p>
    <w:p>
      <w:pPr>
        <w:ind w:firstLine="420"/>
        <w:jc w:val="both"/>
      </w:pPr>
      <w:r>
        <w:rPr>
          <w:sz w:val="21"/>
        </w:rPr>
        <w:t>（本文以下无正文）</w:t>
      </w:r>
    </w:p>
    <w:p>
      <w:pPr>
        <w:ind w:firstLine="420"/>
        <w:jc w:val="both"/>
      </w:pPr>
    </w:p>
    <w:p>
      <w:pPr>
        <w:jc w:val="both"/>
      </w:pPr>
    </w:p>
    <w:p>
      <w:pPr>
        <w:jc w:val="both"/>
      </w:pPr>
      <w:r>
        <w:rPr>
          <w:sz w:val="21"/>
        </w:rPr>
        <w:t>甲方（盖章）：</w:t>
      </w:r>
      <w:r>
        <w:rPr>
          <w:sz w:val="21"/>
          <w:u w:val="single"/>
        </w:rPr>
        <w:t>广州市天河区残疾人联合会</w:t>
      </w:r>
      <w:r>
        <w:rPr>
          <w:sz w:val="21"/>
        </w:rPr>
        <w:t xml:space="preserve"> </w:t>
      </w:r>
    </w:p>
    <w:p>
      <w:pPr>
        <w:jc w:val="left"/>
      </w:pPr>
      <w:r>
        <w:rPr>
          <w:sz w:val="21"/>
        </w:rPr>
        <w:t>法人代表：</w:t>
      </w:r>
    </w:p>
    <w:p>
      <w:pPr>
        <w:jc w:val="left"/>
      </w:pPr>
      <w:r>
        <w:rPr>
          <w:sz w:val="21"/>
        </w:rPr>
        <w:t>地址：</w:t>
      </w:r>
    </w:p>
    <w:p>
      <w:pPr>
        <w:jc w:val="left"/>
      </w:pPr>
      <w:r>
        <w:rPr>
          <w:sz w:val="21"/>
        </w:rPr>
        <w:t>电话：</w:t>
      </w:r>
    </w:p>
    <w:p>
      <w:pPr>
        <w:jc w:val="left"/>
      </w:pPr>
      <w:r>
        <w:rPr>
          <w:sz w:val="21"/>
        </w:rPr>
        <w:t>开户银行：</w:t>
      </w:r>
    </w:p>
    <w:p>
      <w:pPr>
        <w:jc w:val="left"/>
      </w:pPr>
      <w:r>
        <w:rPr>
          <w:sz w:val="21"/>
        </w:rPr>
        <w:t>账号：</w:t>
      </w:r>
    </w:p>
    <w:p>
      <w:pPr>
        <w:jc w:val="left"/>
      </w:pPr>
      <w:r>
        <w:rPr>
          <w:sz w:val="21"/>
        </w:rPr>
        <w:t>签约日期：</w:t>
      </w:r>
      <w:r>
        <w:rPr>
          <w:sz w:val="21"/>
        </w:rPr>
        <w:t>20  年</w:t>
      </w:r>
      <w:r>
        <w:rPr>
          <w:sz w:val="21"/>
          <w:u w:val="single"/>
        </w:rPr>
        <w:t xml:space="preserve">   </w:t>
      </w:r>
      <w:r>
        <w:rPr>
          <w:sz w:val="21"/>
        </w:rPr>
        <w:t>月</w:t>
      </w:r>
      <w:r>
        <w:rPr>
          <w:sz w:val="21"/>
          <w:u w:val="single"/>
        </w:rPr>
        <w:t xml:space="preserve">   </w:t>
      </w:r>
      <w:r>
        <w:rPr>
          <w:sz w:val="21"/>
        </w:rPr>
        <w:t>日</w:t>
      </w:r>
    </w:p>
    <w:p>
      <w:pPr>
        <w:jc w:val="left"/>
      </w:pPr>
    </w:p>
    <w:p>
      <w:pPr>
        <w:jc w:val="left"/>
      </w:pPr>
    </w:p>
    <w:p>
      <w:pPr>
        <w:jc w:val="left"/>
      </w:pPr>
      <w:r>
        <w:rPr>
          <w:sz w:val="21"/>
        </w:rPr>
        <w:t>乙方（盖章）：</w:t>
      </w:r>
    </w:p>
    <w:p>
      <w:pPr>
        <w:jc w:val="left"/>
      </w:pPr>
      <w:r>
        <w:rPr>
          <w:sz w:val="21"/>
        </w:rPr>
        <w:t>法人代表：</w:t>
      </w:r>
    </w:p>
    <w:p>
      <w:pPr>
        <w:jc w:val="left"/>
      </w:pPr>
      <w:r>
        <w:rPr>
          <w:sz w:val="21"/>
        </w:rPr>
        <w:t>地址：</w:t>
      </w:r>
    </w:p>
    <w:p>
      <w:pPr>
        <w:jc w:val="left"/>
      </w:pPr>
      <w:r>
        <w:rPr>
          <w:sz w:val="21"/>
        </w:rPr>
        <w:t>电话：</w:t>
      </w:r>
    </w:p>
    <w:p>
      <w:pPr>
        <w:jc w:val="left"/>
      </w:pPr>
      <w:r>
        <w:rPr>
          <w:sz w:val="21"/>
        </w:rPr>
        <w:t>开户银行：</w:t>
      </w:r>
    </w:p>
    <w:p>
      <w:pPr>
        <w:jc w:val="left"/>
      </w:pPr>
      <w:r>
        <w:rPr>
          <w:sz w:val="21"/>
        </w:rPr>
        <w:t>账号：</w:t>
      </w:r>
    </w:p>
    <w:p>
      <w:pPr>
        <w:jc w:val="left"/>
      </w:pPr>
      <w:r>
        <w:rPr>
          <w:sz w:val="21"/>
        </w:rPr>
        <w:t>签约日期：</w:t>
      </w:r>
      <w:r>
        <w:rPr>
          <w:sz w:val="21"/>
        </w:rPr>
        <w:t>20  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440106-2023-05798</w:t>
      </w:r>
    </w:p>
    <w:p>
      <w:pPr>
        <w:jc w:val="center"/>
      </w:pPr>
      <w:r>
        <w:rPr>
          <w:b/>
          <w:sz w:val="24"/>
        </w:rPr>
        <w:t>采购项目编号：</w:t>
      </w:r>
      <w:r>
        <w:rPr>
          <w:b/>
          <w:sz w:val="24"/>
        </w:rPr>
        <w:t>GZGK23D313C0982Z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天河区残联2024年社区精神康复综合服务项目</w:t>
      </w:r>
      <w:r>
        <w:rPr>
          <w:u w:val="single"/>
        </w:rPr>
        <w:t>”</w:t>
      </w:r>
      <w:r>
        <w:rPr/>
        <w:t>项目的招标[采购项目编号为：</w:t>
      </w:r>
      <w:r>
        <w:rPr>
          <w:u w:val="single"/>
        </w:rPr>
        <w:t>GZGK23D313C0982Z</w:t>
      </w:r>
      <w:r>
        <w:rPr/>
        <w:t>]，我方愿参与投标。</w:t>
      </w:r>
    </w:p>
    <w:p>
      <w:pPr>
        <w:ind w:firstLine="480"/>
      </w:pPr>
      <w:r>
        <w:rPr/>
        <w:t>我方确认收到贵方提供的</w:t>
      </w:r>
      <w:r>
        <w:rPr>
          <w:u w:val="single"/>
        </w:rPr>
        <w:t>“</w:t>
      </w:r>
      <w:r>
        <w:rPr>
          <w:u w:val="single"/>
        </w:rPr>
        <w:t>天河区残联2024年社区精神康复综合服务项目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天河区残联2024年社区精神康复综合服务项目</w:t>
      </w:r>
      <w:r>
        <w:rPr/>
        <w:t>”项目采购[采购项目编号为</w:t>
      </w:r>
      <w:r>
        <w:rPr/>
        <w:t>GZGK23D313C0982Z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广州市天河区残疾人联合会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天河区残联2024年社区精神康复综合服务项目</w:t>
      </w:r>
      <w:r>
        <w:rPr/>
        <w:t>招标中获中标（采购项目编号：</w:t>
      </w:r>
      <w:r>
        <w:rPr/>
        <w:t>GZGK23D313C0982Z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