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441226-2023-01530</w:t>
      </w:r>
    </w:p>
    <w:p>
      <w:pPr>
        <w:jc w:val="center"/>
      </w:pPr>
      <w:r>
        <w:rPr>
          <w:b/>
          <w:sz w:val="24"/>
        </w:rPr>
        <w:t>采购项目编号：</w:t>
      </w:r>
      <w:r>
        <w:rPr>
          <w:b/>
          <w:sz w:val="24"/>
        </w:rPr>
        <w:t>GZGK23P258C0852C</w:t>
      </w:r>
    </w:p>
    <w:p>
      <w:pPr>
        <w:jc w:val="center"/>
      </w:pPr>
      <w:r>
        <w:rPr>
          <w:b/>
          <w:sz w:val="24"/>
        </w:rPr>
        <w:t>项目名称：</w:t>
      </w:r>
      <w:r>
        <w:rPr>
          <w:b/>
          <w:sz w:val="24"/>
        </w:rPr>
        <w:t>巴载天药食同源原料研究</w:t>
      </w:r>
    </w:p>
    <w:p>
      <w:pPr>
        <w:jc w:val="center"/>
      </w:pPr>
      <w:r>
        <w:rPr>
          <w:b/>
          <w:sz w:val="24"/>
        </w:rPr>
        <w:t>采购人：</w:t>
      </w:r>
      <w:r>
        <w:rPr>
          <w:b/>
          <w:sz w:val="24"/>
        </w:rPr>
        <w:t>德庆县卫生健康局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德庆县卫生健康局</w:t>
      </w:r>
      <w:r>
        <w:rPr/>
        <w:t>的委托，采用</w:t>
      </w:r>
      <w:r>
        <w:rPr/>
        <w:t>竞争性磋商</w:t>
      </w:r>
      <w:r>
        <w:rPr/>
        <w:t>方式组织采购</w:t>
      </w:r>
      <w:r>
        <w:rPr/>
        <w:t>巴载天药食同源原料研究</w:t>
      </w:r>
      <w:r>
        <w:rPr/>
        <w:t>。欢迎符合资格条件的供应商参加。</w:t>
      </w:r>
    </w:p>
    <w:p>
      <w:r>
        <w:rPr>
          <w:b/>
          <w:sz w:val="28"/>
        </w:rPr>
        <w:t>一.项目概述</w:t>
      </w:r>
    </w:p>
    <w:p>
      <w:r>
        <w:rPr>
          <w:b/>
          <w:sz w:val="24"/>
        </w:rPr>
        <w:t>1.名称与编号</w:t>
      </w:r>
    </w:p>
    <w:p>
      <w:pPr>
        <w:ind w:firstLine="480"/>
      </w:pPr>
      <w:r>
        <w:rPr/>
        <w:t>采购项目名称：</w:t>
      </w:r>
      <w:r>
        <w:rPr/>
        <w:t>巴载天药食同源原料研究</w:t>
      </w:r>
    </w:p>
    <w:p>
      <w:pPr>
        <w:ind w:firstLine="480"/>
      </w:pPr>
      <w:r>
        <w:rPr/>
        <w:t>采购计划编号：</w:t>
      </w:r>
      <w:r>
        <w:rPr/>
        <w:t>441226-2023-01530</w:t>
      </w:r>
    </w:p>
    <w:p>
      <w:pPr>
        <w:ind w:firstLine="480"/>
      </w:pPr>
      <w:r>
        <w:rPr/>
        <w:t>采购项目编号：</w:t>
      </w:r>
      <w:r>
        <w:rPr/>
        <w:t>GZGK23P258C0852C</w:t>
      </w:r>
    </w:p>
    <w:p>
      <w:pPr>
        <w:ind w:firstLine="480"/>
      </w:pPr>
      <w:r>
        <w:rPr/>
        <w:t>采购方式：</w:t>
      </w:r>
      <w:r>
        <w:rPr/>
        <w:t>竞争性磋商</w:t>
      </w:r>
    </w:p>
    <w:p>
      <w:pPr>
        <w:ind w:firstLine="480"/>
      </w:pPr>
      <w:r>
        <w:rPr/>
        <w:t>预算金额：</w:t>
      </w:r>
      <w:r>
        <w:rPr/>
        <w:t>3,850,000.00</w:t>
      </w:r>
      <w:r>
        <w:rPr/>
        <w:t>元</w:t>
      </w:r>
    </w:p>
    <w:p>
      <w:r>
        <w:rPr>
          <w:b/>
          <w:sz w:val="24"/>
        </w:rPr>
        <w:t>2.项目内容及需求情况（采购项目技术规格、参数及要求）</w:t>
      </w:r>
    </w:p>
    <w:p>
      <w:pPr>
        <w:ind w:firstLine="480"/>
      </w:pPr>
    </w:p>
    <w:p/>
    <w:p>
      <w:r>
        <w:rPr/>
        <w:t>采购包1(巴载天药食同源原料研究):</w:t>
      </w:r>
    </w:p>
    <w:p>
      <w:r>
        <w:rPr/>
        <w:t>采购包预算金额：3,850,000.00元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中医学与中药学研究服务</w:t>
            </w:r>
          </w:p>
        </w:tc>
        <w:tc>
          <w:tcPr>
            <w:tcW w:type="dxa" w:w="2136"/>
          </w:tcPr>
          <w:p>
            <w:r>
              <w:rPr/>
              <w:t>巴载天药食同源原料研究</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2）有依法缴纳税收和社会保障资金的良好记录：响应文件提供《资格条件承诺函》（详见公告附件）</w:t>
      </w:r>
    </w:p>
    <w:p/>
    <w:p>
      <w:r>
        <w:rPr/>
        <w:t>3）具有良好的商业信誉和健全的财务会计制度：响应文件提供《资格条件承诺函》（详见公告附件）</w:t>
      </w:r>
    </w:p>
    <w:p/>
    <w:p>
      <w:r>
        <w:rPr/>
        <w:t>4）履行合同所必需的设备和专业技术能力：响应文件提供《资格条件承诺函》（详见公告附件）</w:t>
      </w:r>
    </w:p>
    <w:p/>
    <w:p>
      <w:r>
        <w:rPr/>
        <w:t>5）参加采购活动前3年内，在经营活动中没有重大违法记录：响应文件提供《资格条件承诺函》（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采购包1（巴载天药食同源原料研究）：</w:t>
      </w:r>
      <w:r>
        <w:rPr/>
        <w:t>本采购包不属于专门面向中小企业采购的项目。</w:t>
      </w:r>
    </w:p>
    <w:p/>
    <w:p>
      <w:r>
        <w:rPr>
          <w:b/>
          <w:sz w:val="24"/>
        </w:rPr>
        <w:t>3.本项目特定的资格要求：</w:t>
      </w:r>
    </w:p>
    <w:p>
      <w:pPr>
        <w:ind w:firstLine="480"/>
      </w:pPr>
    </w:p>
    <w:p/>
    <w:p>
      <w:r>
        <w:rPr/>
        <w:t>采购包1（巴载天药食同源原料研究）：</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2)单位负责人为同一人或者存在直接控股、管理关系的不同供应商，不得同时参加本采购项目（采购包）响应。 为本项目提供整体设计、规范编制或者项目管理、监理、检测等服务的供应商，不得再参与本项目响应。 响应承诺函相关承诺要求内容。</w:t>
      </w:r>
    </w:p>
    <w:p/>
    <w:p>
      <w:r>
        <w:rPr/>
        <w:t>3)已获取本项目采购文件。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德庆县卫生健康局</w:t>
      </w:r>
    </w:p>
    <w:p>
      <w:pPr>
        <w:ind w:firstLine="480"/>
      </w:pPr>
      <w:r>
        <w:rPr/>
        <w:t>地址：</w:t>
      </w:r>
      <w:r>
        <w:rPr/>
        <w:t>广东省肇庆市德庆县德城街道康城大道141号</w:t>
      </w:r>
    </w:p>
    <w:p>
      <w:pPr>
        <w:ind w:firstLine="480"/>
      </w:pPr>
      <w:r>
        <w:rPr/>
        <w:t>联系方式：</w:t>
      </w:r>
      <w:r>
        <w:rPr/>
        <w:t>0758-7767990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020-37656571、020-87687030</w:t>
      </w:r>
    </w:p>
    <w:p>
      <w:r>
        <w:rPr>
          <w:b/>
          <w:sz w:val="24"/>
        </w:rPr>
        <w:t>3.项目联系方式</w:t>
      </w:r>
    </w:p>
    <w:p>
      <w:pPr>
        <w:ind w:firstLine="480"/>
      </w:pPr>
      <w:r>
        <w:rPr/>
        <w:t>项目联系人：</w:t>
      </w:r>
      <w:r>
        <w:rPr/>
        <w:t>张智钊、伍梁敏</w:t>
      </w:r>
    </w:p>
    <w:p>
      <w:pPr>
        <w:ind w:firstLine="480"/>
      </w:pPr>
      <w:r>
        <w:rPr/>
        <w:t>电话：</w:t>
      </w:r>
      <w:r>
        <w:rPr/>
        <w:t>020-37656571、020-87687030</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GZGK23P258C0852C</w:t>
      </w:r>
    </w:p>
    <w:p>
      <w:pPr>
        <w:jc w:val="both"/>
      </w:pPr>
      <w:r>
        <w:rPr>
          <w:b/>
          <w:sz w:val="21"/>
        </w:rPr>
        <w:t>（二）</w:t>
      </w:r>
      <w:r>
        <w:rPr>
          <w:b/>
          <w:sz w:val="21"/>
        </w:rPr>
        <w:t>项目名称：</w:t>
      </w:r>
      <w:r>
        <w:rPr>
          <w:sz w:val="21"/>
        </w:rPr>
        <w:t>巴载天药食同源原料研究</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“★”的条款未响应或不满足，将按无效响应处理。</w:t>
      </w:r>
    </w:p>
    <w:p>
      <w:pPr>
        <w:jc w:val="both"/>
      </w:pPr>
      <w:r>
        <w:rPr>
          <w:sz w:val="21"/>
        </w:rPr>
        <w:t>2、</w:t>
      </w:r>
      <w:r>
        <w:rPr>
          <w:sz w:val="21"/>
        </w:rPr>
        <w:t>标有</w:t>
      </w:r>
      <w:r>
        <w:rPr>
          <w:sz w:val="21"/>
        </w:rPr>
        <w:t>“▲”的条款为重要性要求，响应供应商如有“▲”的条款未响应或负偏离的将被严重扣分。</w:t>
      </w:r>
    </w:p>
    <w:p>
      <w:pPr>
        <w:jc w:val="both"/>
      </w:pPr>
      <w:r>
        <w:rPr>
          <w:sz w:val="21"/>
        </w:rPr>
        <w:t>3、</w:t>
      </w:r>
      <w:r>
        <w:rPr>
          <w:sz w:val="21"/>
        </w:rPr>
        <w:t>响应供应商应对采购需求中的服务指标在响应详细内容中列出明确承诺。如果响应供应商只注明</w:t>
      </w:r>
      <w:r>
        <w:rPr>
          <w:sz w:val="21"/>
        </w:rPr>
        <w:t>“正偏离”或“无偏离”，将</w:t>
      </w:r>
      <w:r>
        <w:rPr>
          <w:sz w:val="21"/>
        </w:rPr>
        <w:t>可能</w:t>
      </w:r>
      <w:r>
        <w:rPr>
          <w:sz w:val="21"/>
        </w:rPr>
        <w:t>被视为</w:t>
      </w:r>
      <w:r>
        <w:rPr>
          <w:sz w:val="21"/>
        </w:rPr>
        <w:t>“负偏离”，从而可能导致严重影响评审结果。</w:t>
      </w:r>
    </w:p>
    <w:p>
      <w:pPr>
        <w:jc w:val="both"/>
      </w:pPr>
      <w:r>
        <w:rPr>
          <w:sz w:val="21"/>
        </w:rPr>
        <w:t>4、</w:t>
      </w:r>
      <w:r>
        <w:rPr>
          <w:sz w:val="21"/>
        </w:rPr>
        <w:t>响应供应商没有在响应文件中注明偏离（文字说明或在响应表注明）的参数、配置、条款视为被响应供应商完全接受。</w:t>
      </w:r>
    </w:p>
    <w:p>
      <w:pPr>
        <w:jc w:val="both"/>
      </w:pPr>
      <w:r>
        <w:rPr>
          <w:sz w:val="21"/>
        </w:rPr>
        <w:t>5、</w:t>
      </w:r>
      <w:r>
        <w:rPr>
          <w:sz w:val="21"/>
        </w:rPr>
        <w:t>响应供应商应保证，采购人在中华人民共和国使用该服务或服务的任何一部分时，免受第三方提出的侵犯其专利权、商标权、著作权或其它知识产权的起诉。</w:t>
      </w:r>
    </w:p>
    <w:p>
      <w:pPr>
        <w:jc w:val="both"/>
      </w:pPr>
      <w:r>
        <w:rPr>
          <w:sz w:val="21"/>
        </w:rPr>
        <w:t>6、</w:t>
      </w:r>
      <w:r>
        <w:rPr>
          <w:sz w:val="21"/>
        </w:rPr>
        <w:t>小型和微型企业、监狱企业和残疾人福利性单位必须按照采购文件第三章内容提供相应的资料。</w:t>
      </w:r>
    </w:p>
    <w:p>
      <w:pPr>
        <w:jc w:val="both"/>
      </w:pPr>
      <w:r>
        <w:rPr>
          <w:sz w:val="21"/>
        </w:rPr>
        <w:t>7、</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8、</w:t>
      </w:r>
      <w:r>
        <w:rPr>
          <w:sz w:val="21"/>
        </w:rPr>
        <w:t>本项目符合《政府采购竞争性磋商采购方式管理暂行办法》（财库〔</w:t>
      </w:r>
      <w:r>
        <w:rPr>
          <w:sz w:val="21"/>
        </w:rPr>
        <w:t>2014〕214号）第三条第（一）款规定的情形，属于广东省《省本级政府购买服务指导性目录》中政府履职辅助性服务项下的课题研究服务。</w:t>
      </w:r>
    </w:p>
    <w:p>
      <w:pPr>
        <w:jc w:val="both"/>
      </w:pPr>
      <w:r>
        <w:rPr>
          <w:sz w:val="21"/>
        </w:rPr>
        <w:t>9、</w:t>
      </w:r>
      <w:r>
        <w:rPr>
          <w:sz w:val="21"/>
        </w:rPr>
        <w:t>不允许成交供应商</w:t>
      </w:r>
      <w:r>
        <w:rPr>
          <w:sz w:val="21"/>
        </w:rPr>
        <w:t>转包、分包项目内容</w:t>
      </w:r>
      <w:r>
        <w:rPr>
          <w:sz w:val="21"/>
        </w:rPr>
        <w:t>。</w:t>
      </w:r>
    </w:p>
    <w:p>
      <w:pPr>
        <w:jc w:val="both"/>
      </w:pPr>
      <w:r>
        <w:rPr>
          <w:sz w:val="21"/>
        </w:rPr>
        <w:t>★</w:t>
      </w:r>
      <w:r>
        <w:rPr>
          <w:sz w:val="21"/>
        </w:rPr>
        <w:t>10</w:t>
      </w:r>
      <w:r>
        <w:rPr>
          <w:sz w:val="21"/>
        </w:rPr>
        <w:t>、响应供应商具备有效的检验检测机构资质认定证书（</w:t>
      </w:r>
      <w:r>
        <w:rPr>
          <w:sz w:val="21"/>
        </w:rPr>
        <w:t>CMA），且同时具备食品和药品的检测能力资质，须提供证书及资质附表复印件。</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30分钟内完成，不需要委派代表前往开标现场。但为了保证开标程序顺利、高效地完成，响应供应商亦可委派代表携带CA-key、存储有非加密响应文件的U盘前往开标现场进行签到、解密。</w:t>
      </w:r>
    </w:p>
    <w:p>
      <w:pPr>
        <w:jc w:val="both"/>
      </w:pPr>
      <w:r>
        <w:rPr>
          <w:sz w:val="21"/>
        </w:rPr>
        <w:t>2、</w:t>
      </w:r>
      <w:r>
        <w:rPr>
          <w:sz w:val="21"/>
        </w:rPr>
        <w:t>非加密响应文件的</w:t>
      </w:r>
      <w:r>
        <w:rPr>
          <w:sz w:val="21"/>
        </w:rPr>
        <w:t>U盘邮寄地址（邮寄地址：广州市先烈中路100号科学院大院9号楼东座2楼（中国广州分析测试中心对面），收件人及电话：详见项目公告的项目联系人）。响应供应商如选择邮寄非加密响应文件的U盘，请提前安排时间邮寄，务必保证非加密响应文件的U盘于提交响应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进入评标阶段时，需进行磋商，供应商登录云平台通过</w:t>
      </w:r>
      <w:r>
        <w:rPr>
          <w:sz w:val="21"/>
        </w:rPr>
        <w:t>“等候大厅”对专家发起的磋商进行响应。</w:t>
      </w:r>
    </w:p>
    <w:p>
      <w:pPr>
        <w:jc w:val="both"/>
      </w:pPr>
      <w:r>
        <w:rPr>
          <w:sz w:val="21"/>
        </w:rPr>
        <w:t>4、</w:t>
      </w:r>
      <w:r>
        <w:rPr>
          <w:sz w:val="21"/>
        </w:rPr>
        <w:t>上述流程中供应商电脑需提前安装</w:t>
      </w:r>
      <w:r>
        <w:rPr>
          <w:sz w:val="21"/>
        </w:rPr>
        <w:t>CA签章客户端，并运行CA证书。</w:t>
      </w:r>
    </w:p>
    <w:p>
      <w:pPr>
        <w:jc w:val="both"/>
      </w:pPr>
      <w:r>
        <w:rPr>
          <w:sz w:val="21"/>
        </w:rPr>
        <w:t>5、</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CA证书的密码，如遗忘，请及时重置，以免影响响应文件的解密。</w:t>
      </w:r>
    </w:p>
    <w:p>
      <w:pPr>
        <w:jc w:val="both"/>
      </w:pPr>
      <w:r>
        <w:rPr>
          <w:b/>
          <w:sz w:val="21"/>
        </w:rPr>
        <w:t>（五）</w:t>
      </w:r>
      <w:r>
        <w:rPr>
          <w:b/>
          <w:sz w:val="21"/>
        </w:rPr>
        <w:t>响应报价说明：</w:t>
      </w:r>
    </w:p>
    <w:p>
      <w:pPr>
        <w:ind w:firstLine="420"/>
        <w:jc w:val="both"/>
      </w:pPr>
      <w:r>
        <w:rPr>
          <w:sz w:val="21"/>
        </w:rPr>
        <w:t>响应报价包括：差旅费、劳务费、材料费、各项税费和购买技术服务及合同实施过程中不可预见费用等，响应供应商报价中漏报、少报的费用，视为此项费用已隐含在磋商报价中，成交后不得再向采购人收取任何费用。</w:t>
      </w:r>
    </w:p>
    <w:p>
      <w:pPr>
        <w:jc w:val="both"/>
      </w:pPr>
      <w:r>
        <w:rPr>
          <w:b/>
          <w:sz w:val="21"/>
        </w:rPr>
        <w:t>（六）</w:t>
      </w:r>
      <w:r>
        <w:rPr>
          <w:b/>
          <w:sz w:val="21"/>
        </w:rPr>
        <w:t>实现的目标</w:t>
      </w:r>
    </w:p>
    <w:p>
      <w:pPr>
        <w:ind w:firstLine="420"/>
        <w:jc w:val="both"/>
      </w:pPr>
      <w:r>
        <w:rPr>
          <w:sz w:val="21"/>
        </w:rPr>
        <w:t>顺利推进</w:t>
      </w:r>
      <w:r>
        <w:rPr>
          <w:sz w:val="21"/>
        </w:rPr>
        <w:t>德庆县</w:t>
      </w:r>
      <w:r>
        <w:rPr>
          <w:sz w:val="21"/>
        </w:rPr>
        <w:t>巴戟天药食同源相关工作，完成巴戟天药食同源原料申报所需的研究内容。</w:t>
      </w:r>
    </w:p>
    <w:p>
      <w:pPr>
        <w:jc w:val="both"/>
      </w:pPr>
      <w:r>
        <w:rPr>
          <w:b/>
          <w:sz w:val="21"/>
        </w:rPr>
        <w:t>（七）</w:t>
      </w:r>
      <w:r>
        <w:rPr>
          <w:b/>
          <w:sz w:val="21"/>
        </w:rPr>
        <w:t>需执行国家相关标准、行业标准、地方标准或者其他标准、规范</w:t>
      </w:r>
    </w:p>
    <w:p/>
    <w:p>
      <w:pPr>
        <w:ind w:firstLine="480"/>
      </w:pPr>
    </w:p>
    <w:p/>
    <w:p>
      <w:r>
        <w:rPr/>
        <w:t>采购包1（巴载天药食同源原料研究）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服务期限：合同签订之日起3年。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1期：支付比例25%,（1）第一期为本合同签署后的10个工作日内，支付25%技术服务费；</w:t>
            </w:r>
          </w:p>
          <w:p/>
          <w:p>
            <w:r>
              <w:rPr/>
              <w:t>2期：支付比例30%,（2）第二期于2025年01月10日前（安全性毒理学评价前）支付30%技术服务费</w:t>
            </w:r>
          </w:p>
          <w:p/>
          <w:p>
            <w:r>
              <w:rPr/>
              <w:t>3期：支付比例20%,（3）第三期于2025年12月10日前（资料撰写完成）支付20%技术服务费；</w:t>
            </w:r>
          </w:p>
          <w:p/>
          <w:p>
            <w:r>
              <w:rPr/>
              <w:t>4期：支付比例25%,（4）第四期于通过国家卫生健康委员会审查和验收工作后十个工作日内支付25%技术服务费。 注：（1）每笔款项支付前，成交供应商须提交与每笔款项金额相等的正式发票。 （2）支付方式：采用支票、银行汇付（含电汇）等形式。</w:t>
            </w:r>
          </w:p>
        </w:tc>
      </w:tr>
      <w:tr>
        <w:tc>
          <w:tcPr>
            <w:tcW w:type="dxa" w:w="4153"/>
          </w:tcPr>
          <w:p>
            <w:r>
              <w:rPr/>
              <w:t>验收要求</w:t>
            </w:r>
          </w:p>
        </w:tc>
        <w:tc>
          <w:tcPr>
            <w:tcW w:type="dxa" w:w="4153"/>
          </w:tcPr>
          <w:p/>
          <w:p/>
          <w:p/>
          <w:p>
            <w:r>
              <w:rPr/>
              <w:t>1期：1.采购人收到供应商验收申请后7个工作日内组织履约验收，对每一项技术、服务、标准的履约情况进行确认。 2.验收由采购人组织相关人员依照有关标准、项目及合同要求进行。 3.验收完毕由采购人及成交供应商在验收报告上盖章确认。 4.成交供应商开展的相关工作及提交的验收内容应得到采购人认同、验收后方为完成合同内容；对验收不合格的部分，成交供应商应在采购人规定时间内及时整改完善直至合格。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（一）成果归属，1.本项目的所有成果著作权等知识产权和所有权益双方共有。成交供应商不得发表和向第三者提供。成交供应商必须向采购人无偿提供本项目所有相关的技术文档。 2.采购人引用成交供应商的工作成果所完成的新的规划研究成果，属于采购人所有，采购人可依法享有就该项规划研究成果取得的精神权利、经济权利和其他权利。 3.无论发生何种情形（包括但不限于合同提前终止或解除），采购人均有权利用成交供应商的阶段性工作成果，并且采购人引用成交供应商的阶段性工作成果所完成的新的规划研究成果，属于采购人所有，采购人可依法享有就该项规划研究成果取得的精神权利、经济权利和其他权利。</w:t>
            </w:r>
          </w:p>
          <w:p/>
          <w:p>
            <w:r>
              <w:rPr/>
              <w:t>（二）其他，成交供应商提交的成果有下列情形之一的，采购人将报相关监管部门处理： 1.提交的成果不符合本项目规定，成果内容严重偏离采购人下达的任务要求的。 2.提交的成果辨认不清，内容不全或粗制滥造的。 3.未经采购人同意，逾期提交编制成果的。 4.编制成果不能通过法定程序审批的。 5.成交供应商未经采购人同意，擅自修改编制成果。</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中医学与中药学研究服务</w:t>
            </w:r>
          </w:p>
        </w:tc>
        <w:tc>
          <w:tcPr>
            <w:tcW w:type="dxa" w:w="933"/>
          </w:tcPr>
          <w:p>
            <w:pPr>
              <w:jc w:val="left"/>
            </w:pPr>
            <w:r>
              <w:rPr/>
              <w:t>巴载天药食同源原料研究</w:t>
            </w:r>
          </w:p>
        </w:tc>
        <w:tc>
          <w:tcPr>
            <w:tcW w:type="dxa" w:w="933"/>
          </w:tcPr>
          <w:p>
            <w:pPr>
              <w:jc w:val="left"/>
            </w:pPr>
            <w:r>
              <w:rPr/>
              <w:t>项</w:t>
            </w:r>
          </w:p>
        </w:tc>
        <w:tc>
          <w:tcPr>
            <w:tcW w:type="dxa" w:w="933"/>
          </w:tcPr>
          <w:p>
            <w:pPr>
              <w:jc w:val="right"/>
            </w:pPr>
            <w:r>
              <w:rPr/>
              <w:t>1.00</w:t>
            </w:r>
          </w:p>
        </w:tc>
        <w:tc>
          <w:tcPr>
            <w:tcW w:type="dxa" w:w="933"/>
          </w:tcPr>
          <w:p>
            <w:pPr>
              <w:jc w:val="right"/>
            </w:pPr>
            <w:r>
              <w:rPr/>
              <w:t>3,850,000.00</w:t>
            </w:r>
          </w:p>
        </w:tc>
        <w:tc>
          <w:tcPr>
            <w:tcW w:type="dxa" w:w="933"/>
          </w:tcPr>
          <w:p>
            <w:pPr>
              <w:jc w:val="right"/>
            </w:pPr>
            <w:r>
              <w:rPr/>
              <w:t>3,850,000.00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巴载天药食同源原料研究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（一）项目概况：</w:t>
            </w:r>
          </w:p>
          <w:p>
            <w:pPr>
              <w:ind w:firstLine="420"/>
              <w:jc w:val="both"/>
            </w:pPr>
            <w:r>
              <w:rPr>
                <w:sz w:val="21"/>
              </w:rPr>
              <w:t>为顺利推进德庆县巴戟天药食同源相关工作，完成巴戟天药食同源原料申报所需的研究内容。</w:t>
            </w:r>
            <w:r>
              <w:rPr>
                <w:sz w:val="21"/>
              </w:rPr>
              <w:t>现进行巴载天药食同源原料研究采购。本项目研究内容要求如下：</w:t>
            </w:r>
          </w:p>
          <w:p>
            <w:pPr>
              <w:ind w:firstLine="420"/>
              <w:jc w:val="both"/>
            </w:pPr>
            <w:r>
              <w:rPr>
                <w:sz w:val="21"/>
              </w:rPr>
              <w:t>l.巴载天种质资源的质量评价标准；</w:t>
            </w:r>
          </w:p>
          <w:p>
            <w:pPr>
              <w:ind w:firstLine="420"/>
              <w:jc w:val="both"/>
            </w:pPr>
            <w:r>
              <w:rPr>
                <w:sz w:val="21"/>
              </w:rPr>
              <w:t>2.巴戟天主要化学成分的质量评价标准；</w:t>
            </w:r>
          </w:p>
          <w:p>
            <w:pPr>
              <w:ind w:firstLine="420"/>
              <w:jc w:val="both"/>
            </w:pPr>
            <w:r>
              <w:rPr>
                <w:sz w:val="21"/>
              </w:rPr>
              <w:t>3.巴戟天生产工艺的确定以及安全性毒理学评价样品的准备；</w:t>
            </w:r>
          </w:p>
          <w:p>
            <w:pPr>
              <w:ind w:firstLine="420"/>
              <w:jc w:val="both"/>
            </w:pPr>
            <w:r>
              <w:rPr>
                <w:sz w:val="21"/>
              </w:rPr>
              <w:t>4.巴载天安全性毒理学评价；</w:t>
            </w:r>
          </w:p>
          <w:p>
            <w:pPr>
              <w:ind w:firstLine="420"/>
              <w:jc w:val="both"/>
            </w:pPr>
            <w:r>
              <w:rPr>
                <w:sz w:val="21"/>
              </w:rPr>
              <w:t>5.巴戟天评价、研究资料的完善以及资料的报送。</w:t>
            </w:r>
          </w:p>
          <w:p>
            <w:pPr>
              <w:ind w:firstLine="420"/>
              <w:jc w:val="both"/>
            </w:pPr>
            <w:r>
              <w:rPr>
                <w:sz w:val="21"/>
              </w:rPr>
              <w:t>（二）技术服务的内容：</w:t>
            </w:r>
          </w:p>
          <w:p>
            <w:pPr>
              <w:ind w:firstLine="420"/>
              <w:jc w:val="both"/>
            </w:pPr>
            <w:r>
              <w:rPr>
                <w:sz w:val="21"/>
              </w:rPr>
              <w:t>1.具体服务内容：</w:t>
            </w:r>
          </w:p>
          <w:p>
            <w:pPr>
              <w:ind w:firstLine="420"/>
              <w:jc w:val="both"/>
            </w:pPr>
            <w:r>
              <w:rPr>
                <w:sz w:val="21"/>
              </w:rPr>
              <w:t>（</w:t>
            </w:r>
            <w:r>
              <w:rPr>
                <w:sz w:val="21"/>
              </w:rPr>
              <w:t>1）巴戟天种质资源的质量评价标准：①利用显微鉴定技术对巴戟天的质量评价标准；②利用PCR生物技术对巴戟天的质量评价标准；③对巴戟天种植、生长环境等的质量评价标准；</w:t>
            </w:r>
          </w:p>
          <w:p>
            <w:pPr>
              <w:ind w:firstLine="420"/>
              <w:jc w:val="both"/>
            </w:pPr>
            <w:r>
              <w:rPr>
                <w:sz w:val="21"/>
              </w:rPr>
              <w:t>（</w:t>
            </w:r>
            <w:r>
              <w:rPr>
                <w:sz w:val="21"/>
              </w:rPr>
              <w:t>2）巴戟天主要化学成分的质量评价标准：①巴戟天糖类化学成分的评价标准；②巴戟天萜类化学成分的评价标准；③巴戟天蒽醌类化学成分的评价标准；</w:t>
            </w:r>
          </w:p>
          <w:p>
            <w:pPr>
              <w:ind w:firstLine="420"/>
              <w:jc w:val="both"/>
            </w:pPr>
            <w:r>
              <w:rPr>
                <w:sz w:val="21"/>
              </w:rPr>
              <w:t>（</w:t>
            </w:r>
            <w:r>
              <w:rPr>
                <w:sz w:val="21"/>
              </w:rPr>
              <w:t>3）巴戟天生产工艺的确定以及安全性毒理学评价样品的准备；</w:t>
            </w:r>
          </w:p>
          <w:p>
            <w:pPr>
              <w:ind w:firstLine="420"/>
              <w:jc w:val="both"/>
            </w:pPr>
            <w:r>
              <w:rPr>
                <w:sz w:val="21"/>
              </w:rPr>
              <w:t>（</w:t>
            </w:r>
            <w:r>
              <w:rPr>
                <w:sz w:val="21"/>
              </w:rPr>
              <w:t>4）巴戟天安全性毒理学评价：①急性经口毒性试验；②三项遗传毒性试验；③90天经口毒性试验；④致畸试验、生殖毒性试验；</w:t>
            </w:r>
          </w:p>
          <w:p>
            <w:pPr>
              <w:ind w:firstLine="420"/>
              <w:jc w:val="both"/>
            </w:pPr>
            <w:r>
              <w:rPr>
                <w:sz w:val="21"/>
              </w:rPr>
              <w:t>（</w:t>
            </w:r>
            <w:r>
              <w:rPr>
                <w:sz w:val="21"/>
              </w:rPr>
              <w:t>5）巴戟天评价、研究资料的完善以及资料的报送。</w:t>
            </w:r>
          </w:p>
          <w:p>
            <w:pPr>
              <w:ind w:firstLine="420"/>
              <w:jc w:val="both"/>
            </w:pPr>
            <w:r>
              <w:rPr>
                <w:sz w:val="21"/>
              </w:rPr>
              <w:t>2.</w:t>
            </w:r>
            <w:r>
              <w:rPr>
                <w:sz w:val="21"/>
              </w:rPr>
              <w:t>研究开发内容：</w:t>
            </w:r>
          </w:p>
          <w:p>
            <w:pPr>
              <w:ind w:firstLine="420"/>
              <w:jc w:val="both"/>
            </w:pPr>
            <w:r>
              <w:rPr>
                <w:sz w:val="21"/>
              </w:rPr>
              <w:t>（</w:t>
            </w:r>
            <w:r>
              <w:rPr>
                <w:sz w:val="21"/>
              </w:rPr>
              <w:t>1）巴戟天种植资源及其环境评价的确定（对巴戟天随机抽取取样并进行检验检测，根据数据分析种植环境及药材质量）；</w:t>
            </w:r>
          </w:p>
          <w:p>
            <w:pPr>
              <w:ind w:firstLine="420"/>
              <w:jc w:val="both"/>
            </w:pPr>
            <w:r>
              <w:rPr>
                <w:sz w:val="21"/>
              </w:rPr>
              <w:t>（</w:t>
            </w:r>
            <w:r>
              <w:rPr>
                <w:sz w:val="21"/>
              </w:rPr>
              <w:t>2）巴戟天的质量标准的确定（根据上述巴戟天检验检测结果，制备符合质量标准的巴戟天标准物质）；</w:t>
            </w:r>
          </w:p>
          <w:p>
            <w:pPr>
              <w:ind w:firstLine="420"/>
              <w:jc w:val="both"/>
            </w:pPr>
            <w:r>
              <w:rPr>
                <w:sz w:val="21"/>
              </w:rPr>
              <w:t>（</w:t>
            </w:r>
            <w:r>
              <w:rPr>
                <w:sz w:val="21"/>
              </w:rPr>
              <w:t>3）巴戟天生产工艺的确定和样品的准备；</w:t>
            </w:r>
          </w:p>
          <w:p>
            <w:pPr>
              <w:ind w:firstLine="420"/>
              <w:jc w:val="both"/>
            </w:pPr>
            <w:r>
              <w:rPr>
                <w:sz w:val="21"/>
              </w:rPr>
              <w:t>（</w:t>
            </w:r>
            <w:r>
              <w:rPr>
                <w:sz w:val="21"/>
              </w:rPr>
              <w:t>4）巴戟天安全性试验的评价；</w:t>
            </w:r>
          </w:p>
          <w:p>
            <w:pPr>
              <w:ind w:firstLine="420"/>
              <w:jc w:val="both"/>
            </w:pPr>
            <w:r>
              <w:rPr>
                <w:sz w:val="21"/>
              </w:rPr>
              <w:t>（</w:t>
            </w:r>
            <w:r>
              <w:rPr>
                <w:sz w:val="21"/>
              </w:rPr>
              <w:t>5）资料的撰写和协助申报。</w:t>
            </w:r>
          </w:p>
          <w:p>
            <w:pPr>
              <w:ind w:firstLine="420"/>
              <w:jc w:val="both"/>
            </w:pPr>
            <w:r>
              <w:rPr>
                <w:sz w:val="21"/>
              </w:rPr>
              <w:t>3.</w:t>
            </w:r>
            <w:r>
              <w:rPr>
                <w:sz w:val="21"/>
              </w:rPr>
              <w:t>须提供的技术成果资料：</w:t>
            </w:r>
          </w:p>
          <w:p>
            <w:pPr>
              <w:ind w:firstLine="420"/>
              <w:jc w:val="both"/>
            </w:pPr>
            <w:r>
              <w:rPr>
                <w:sz w:val="21"/>
              </w:rPr>
              <w:t>（</w:t>
            </w:r>
            <w:r>
              <w:rPr>
                <w:sz w:val="21"/>
              </w:rPr>
              <w:t>1）巴戟天研究场地情况；</w:t>
            </w:r>
          </w:p>
          <w:p>
            <w:pPr>
              <w:ind w:firstLine="420"/>
              <w:jc w:val="both"/>
            </w:pPr>
            <w:r>
              <w:rPr>
                <w:sz w:val="21"/>
              </w:rPr>
              <w:t>（</w:t>
            </w:r>
            <w:r>
              <w:rPr>
                <w:sz w:val="21"/>
              </w:rPr>
              <w:t>2）研究单位（成交供应商）资质类证明；</w:t>
            </w:r>
          </w:p>
          <w:p>
            <w:pPr>
              <w:ind w:firstLine="420"/>
              <w:jc w:val="both"/>
            </w:pPr>
            <w:r>
              <w:rPr>
                <w:sz w:val="21"/>
              </w:rPr>
              <w:t>（</w:t>
            </w:r>
            <w:r>
              <w:rPr>
                <w:sz w:val="21"/>
              </w:rPr>
              <w:t>3）符合国家申报要求的项目申报资料。</w:t>
            </w:r>
          </w:p>
          <w:p>
            <w:pPr>
              <w:ind w:firstLine="420"/>
              <w:jc w:val="both"/>
            </w:pPr>
            <w:r>
              <w:rPr>
                <w:sz w:val="21"/>
              </w:rPr>
              <w:t>4</w:t>
            </w:r>
            <w:r>
              <w:rPr>
                <w:sz w:val="21"/>
              </w:rPr>
              <w:t>.</w:t>
            </w:r>
            <w:r>
              <w:rPr>
                <w:sz w:val="21"/>
              </w:rPr>
              <w:t>技术服务进度：</w:t>
            </w:r>
          </w:p>
          <w:p>
            <w:pPr>
              <w:ind w:firstLine="420"/>
              <w:jc w:val="both"/>
            </w:pPr>
            <w:r>
              <w:rPr>
                <w:sz w:val="21"/>
              </w:rPr>
              <w:t>（</w:t>
            </w:r>
            <w:r>
              <w:rPr>
                <w:sz w:val="21"/>
              </w:rPr>
              <w:t>1）2023年</w:t>
            </w:r>
            <w:r>
              <w:rPr>
                <w:sz w:val="21"/>
              </w:rPr>
              <w:t>12</w:t>
            </w:r>
            <w:r>
              <w:rPr>
                <w:sz w:val="21"/>
              </w:rPr>
              <w:t>月～</w:t>
            </w:r>
            <w:r>
              <w:rPr>
                <w:sz w:val="21"/>
              </w:rPr>
              <w:t>2024年</w:t>
            </w:r>
            <w:r>
              <w:rPr>
                <w:sz w:val="21"/>
              </w:rPr>
              <w:t>12</w:t>
            </w:r>
            <w:r>
              <w:rPr>
                <w:sz w:val="21"/>
              </w:rPr>
              <w:t>月，完成巴戟天种质质量鉴定、新食品原料主要营养成分质量评价标准；</w:t>
            </w:r>
          </w:p>
          <w:p>
            <w:pPr>
              <w:ind w:firstLine="420"/>
              <w:jc w:val="both"/>
            </w:pPr>
            <w:r>
              <w:rPr>
                <w:sz w:val="21"/>
              </w:rPr>
              <w:t>（</w:t>
            </w:r>
            <w:r>
              <w:rPr>
                <w:sz w:val="21"/>
              </w:rPr>
              <w:t>2）2024年</w:t>
            </w:r>
            <w:r>
              <w:rPr>
                <w:sz w:val="21"/>
              </w:rPr>
              <w:t>12</w:t>
            </w:r>
            <w:r>
              <w:rPr>
                <w:sz w:val="21"/>
              </w:rPr>
              <w:t>月～</w:t>
            </w:r>
            <w:r>
              <w:rPr>
                <w:sz w:val="21"/>
              </w:rPr>
              <w:t>202</w:t>
            </w:r>
            <w:r>
              <w:rPr>
                <w:sz w:val="21"/>
              </w:rPr>
              <w:t>5</w:t>
            </w:r>
            <w:r>
              <w:rPr>
                <w:sz w:val="21"/>
              </w:rPr>
              <w:t>年</w:t>
            </w:r>
            <w:r>
              <w:rPr>
                <w:sz w:val="21"/>
              </w:rPr>
              <w:t>05</w:t>
            </w:r>
            <w:r>
              <w:rPr>
                <w:sz w:val="21"/>
              </w:rPr>
              <w:t>月，完成巴戟天的生产工艺。同时制备毒理学使用的样品；</w:t>
            </w:r>
          </w:p>
          <w:p>
            <w:pPr>
              <w:ind w:firstLine="420"/>
              <w:jc w:val="both"/>
            </w:pPr>
            <w:r>
              <w:rPr>
                <w:sz w:val="21"/>
              </w:rPr>
              <w:t>（</w:t>
            </w:r>
            <w:r>
              <w:rPr>
                <w:sz w:val="21"/>
              </w:rPr>
              <w:t>3）2025年</w:t>
            </w:r>
            <w:r>
              <w:rPr>
                <w:sz w:val="21"/>
              </w:rPr>
              <w:t>06</w:t>
            </w:r>
            <w:r>
              <w:rPr>
                <w:sz w:val="21"/>
              </w:rPr>
              <w:t>月～</w:t>
            </w:r>
            <w:r>
              <w:rPr>
                <w:sz w:val="21"/>
              </w:rPr>
              <w:t>2025年11月，完成安全性毒理学评价，获得研究报告；</w:t>
            </w:r>
          </w:p>
          <w:p>
            <w:pPr>
              <w:ind w:firstLine="420"/>
              <w:jc w:val="both"/>
            </w:pPr>
            <w:r>
              <w:rPr>
                <w:sz w:val="21"/>
              </w:rPr>
              <w:t>（</w:t>
            </w:r>
            <w:r>
              <w:rPr>
                <w:sz w:val="21"/>
              </w:rPr>
              <w:t>4）2025年12月，撰写申报新资源食品所需要的材料，准备递交申报资料。</w:t>
            </w:r>
          </w:p>
          <w:p>
            <w:pPr>
              <w:ind w:firstLine="420"/>
              <w:jc w:val="both"/>
            </w:pPr>
            <w:r>
              <w:rPr>
                <w:sz w:val="21"/>
              </w:rPr>
              <w:t>5</w:t>
            </w:r>
            <w:r>
              <w:rPr>
                <w:sz w:val="21"/>
              </w:rPr>
              <w:t>.</w:t>
            </w:r>
            <w:r>
              <w:rPr>
                <w:sz w:val="21"/>
              </w:rPr>
              <w:t>研究开发期限及地点：</w:t>
            </w:r>
          </w:p>
          <w:p>
            <w:pPr>
              <w:ind w:firstLine="420"/>
              <w:jc w:val="both"/>
            </w:pPr>
            <w:r>
              <w:rPr>
                <w:sz w:val="21"/>
              </w:rPr>
              <w:t>（</w:t>
            </w:r>
            <w:r>
              <w:rPr>
                <w:sz w:val="21"/>
              </w:rPr>
              <w:t>1）研究开发期限：合同签订后3年。</w:t>
            </w:r>
          </w:p>
          <w:p>
            <w:pPr>
              <w:ind w:firstLine="420"/>
              <w:jc w:val="both"/>
            </w:pPr>
            <w:r>
              <w:rPr>
                <w:sz w:val="21"/>
              </w:rPr>
              <w:t>（</w:t>
            </w:r>
            <w:r>
              <w:rPr>
                <w:sz w:val="21"/>
              </w:rPr>
              <w:t>2）研究开发地点：</w:t>
            </w:r>
            <w:r>
              <w:rPr>
                <w:sz w:val="21"/>
              </w:rPr>
              <w:t>采购人指定地点</w:t>
            </w:r>
            <w:r>
              <w:rPr>
                <w:sz w:val="21"/>
              </w:rPr>
              <w:t>。</w:t>
            </w:r>
          </w:p>
          <w:p>
            <w:pPr>
              <w:ind w:firstLine="420"/>
              <w:jc w:val="both"/>
            </w:pPr>
            <w:r>
              <w:rPr>
                <w:sz w:val="21"/>
              </w:rPr>
              <w:t>（三）其他要求</w:t>
            </w:r>
          </w:p>
          <w:p>
            <w:pPr>
              <w:ind w:firstLine="422"/>
              <w:jc w:val="left"/>
            </w:pPr>
            <w:r>
              <w:rPr>
                <w:sz w:val="21"/>
              </w:rPr>
              <w:t>1.</w:t>
            </w:r>
            <w:r>
              <w:rPr>
                <w:sz w:val="21"/>
              </w:rPr>
              <w:t>项目整体实施方案</w:t>
            </w:r>
          </w:p>
          <w:p>
            <w:pPr>
              <w:ind w:firstLine="422"/>
              <w:jc w:val="left"/>
            </w:pPr>
            <w:r>
              <w:rPr>
                <w:sz w:val="21"/>
              </w:rPr>
              <w:t>响应供应商根据本项目的实际情况，科学合理地拟定项目的</w:t>
            </w:r>
            <w:r>
              <w:rPr>
                <w:sz w:val="21"/>
              </w:rPr>
              <w:t>项目整体实施方案</w:t>
            </w:r>
            <w:r>
              <w:rPr>
                <w:sz w:val="21"/>
              </w:rPr>
              <w:t>，对如下内容作出详细说明：（</w:t>
            </w:r>
            <w:r>
              <w:rPr>
                <w:sz w:val="21"/>
              </w:rPr>
              <w:t>1）项目研究总体方案；（2）项目重点、难点分析及应对方案；（3）</w:t>
            </w:r>
            <w:r>
              <w:rPr>
                <w:sz w:val="21"/>
              </w:rPr>
              <w:t>工作标准</w:t>
            </w:r>
            <w:r>
              <w:rPr>
                <w:sz w:val="21"/>
              </w:rPr>
              <w:t>；（</w:t>
            </w:r>
            <w:r>
              <w:rPr>
                <w:sz w:val="21"/>
              </w:rPr>
              <w:t>4）</w:t>
            </w:r>
            <w:r>
              <w:rPr>
                <w:sz w:val="21"/>
              </w:rPr>
              <w:t>工作</w:t>
            </w:r>
            <w:r>
              <w:rPr>
                <w:sz w:val="21"/>
              </w:rPr>
              <w:t>流程</w:t>
            </w:r>
            <w:r>
              <w:rPr>
                <w:sz w:val="21"/>
              </w:rPr>
              <w:t>。</w:t>
            </w:r>
          </w:p>
          <w:p>
            <w:pPr>
              <w:ind w:firstLine="422"/>
              <w:jc w:val="left"/>
            </w:pPr>
            <w:r>
              <w:rPr>
                <w:sz w:val="21"/>
              </w:rPr>
              <w:t>2.</w:t>
            </w:r>
            <w:r>
              <w:rPr>
                <w:sz w:val="21"/>
              </w:rPr>
              <w:t>质量保证措施</w:t>
            </w:r>
          </w:p>
          <w:p>
            <w:pPr>
              <w:ind w:firstLine="422"/>
              <w:jc w:val="left"/>
            </w:pPr>
            <w:r>
              <w:rPr>
                <w:sz w:val="21"/>
              </w:rPr>
              <w:t>响应供应商根据本项目的实际情况，科学合理地拟定项目的</w:t>
            </w:r>
            <w:r>
              <w:rPr>
                <w:sz w:val="21"/>
              </w:rPr>
              <w:t>质量保证措施</w:t>
            </w:r>
            <w:r>
              <w:rPr>
                <w:sz w:val="21"/>
              </w:rPr>
              <w:t>，对如下内容作出详细说明：（</w:t>
            </w:r>
            <w:r>
              <w:rPr>
                <w:sz w:val="21"/>
              </w:rPr>
              <w:t>1）</w:t>
            </w:r>
            <w:r>
              <w:rPr>
                <w:sz w:val="21"/>
              </w:rPr>
              <w:t>质量事故预防与处理措施</w:t>
            </w:r>
            <w:r>
              <w:rPr>
                <w:sz w:val="21"/>
              </w:rPr>
              <w:t>；（</w:t>
            </w:r>
            <w:r>
              <w:rPr>
                <w:sz w:val="21"/>
              </w:rPr>
              <w:t>2）</w:t>
            </w:r>
            <w:r>
              <w:rPr>
                <w:sz w:val="21"/>
              </w:rPr>
              <w:t>各环节关键节点质量保证措施</w:t>
            </w:r>
            <w:r>
              <w:rPr>
                <w:sz w:val="21"/>
              </w:rPr>
              <w:t>；（</w:t>
            </w:r>
            <w:r>
              <w:rPr>
                <w:sz w:val="21"/>
              </w:rPr>
              <w:t>3）技术服务进度保证措施；（4）技术服务的</w:t>
            </w:r>
            <w:r>
              <w:rPr>
                <w:sz w:val="21"/>
              </w:rPr>
              <w:t>保证措施</w:t>
            </w:r>
            <w:r>
              <w:rPr>
                <w:sz w:val="21"/>
              </w:rPr>
              <w:t>。</w:t>
            </w:r>
          </w:p>
          <w:p>
            <w:pPr>
              <w:ind w:firstLine="422"/>
              <w:jc w:val="left"/>
            </w:pPr>
            <w:r>
              <w:rPr>
                <w:sz w:val="21"/>
              </w:rPr>
              <w:t>3</w:t>
            </w:r>
            <w:r>
              <w:rPr>
                <w:sz w:val="21"/>
              </w:rPr>
              <w:t>.</w:t>
            </w:r>
            <w:r>
              <w:rPr>
                <w:sz w:val="21"/>
              </w:rPr>
              <w:t>验收方案</w:t>
            </w:r>
          </w:p>
          <w:p>
            <w:pPr>
              <w:ind w:firstLine="422"/>
              <w:jc w:val="left"/>
            </w:pPr>
            <w:r>
              <w:rPr>
                <w:sz w:val="21"/>
              </w:rPr>
              <w:t>响应供应商根据本项目的实际情况，科学合理地拟定项目的验收方案，对如下内容作出详细说明：（</w:t>
            </w:r>
            <w:r>
              <w:rPr>
                <w:sz w:val="21"/>
              </w:rPr>
              <w:t>1）验收保障措施；（2）验收不通过的解决方案。</w:t>
            </w:r>
          </w:p>
          <w:p>
            <w:pPr>
              <w:ind w:firstLine="422"/>
              <w:jc w:val="left"/>
            </w:pPr>
            <w:r>
              <w:rPr>
                <w:sz w:val="21"/>
              </w:rPr>
              <w:t>4</w:t>
            </w:r>
            <w:r>
              <w:rPr>
                <w:sz w:val="21"/>
              </w:rPr>
              <w:t>.售后服务方案</w:t>
            </w:r>
          </w:p>
          <w:p>
            <w:pPr>
              <w:ind w:firstLine="422"/>
              <w:jc w:val="left"/>
            </w:pPr>
            <w:r>
              <w:rPr>
                <w:sz w:val="21"/>
              </w:rPr>
              <w:t>响应供应商根据本项目的实际情况，科学合理地拟定项目的售后服务方案，对如下内容作出详细说明：（</w:t>
            </w:r>
            <w:r>
              <w:rPr>
                <w:sz w:val="21"/>
              </w:rPr>
              <w:t>1）</w:t>
            </w:r>
            <w:r>
              <w:rPr>
                <w:sz w:val="21"/>
              </w:rPr>
              <w:t>资料的撰写更新</w:t>
            </w:r>
            <w:r>
              <w:rPr>
                <w:sz w:val="21"/>
              </w:rPr>
              <w:t>；（</w:t>
            </w:r>
            <w:r>
              <w:rPr>
                <w:sz w:val="21"/>
              </w:rPr>
              <w:t>2）</w:t>
            </w:r>
            <w:r>
              <w:rPr>
                <w:sz w:val="21"/>
              </w:rPr>
              <w:t>申报服务后续跟进</w:t>
            </w:r>
            <w:r>
              <w:rPr>
                <w:sz w:val="21"/>
              </w:rPr>
              <w:t>。</w:t>
            </w:r>
          </w:p>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德庆县卫生健康局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类标准的60%（即下浮40%）收取。招标代理服务费由成交供应商在领取《成交通知书》前一次性向采购代理机构交纳以下金额：￥22,680.00元（大写：人民币贰万贰仟陆佰捌拾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；请各供应商在响应文件递交截止时间前按须知前附表规定的金额递交至</w:t>
      </w:r>
      <w:r>
        <w:rPr/>
        <w:t>广州市国科招标代理有限公司</w:t>
      </w:r>
      <w:r>
        <w:rPr/>
        <w:t>，到账情况以开启时</w:t>
      </w:r>
      <w:r>
        <w:rPr/>
        <w:t>广州市国科招标代理有限公司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张智钊、伍梁敏</w:t>
      </w:r>
    </w:p>
    <w:p>
      <w:pPr>
        <w:ind w:firstLine="480"/>
      </w:pPr>
      <w:r>
        <w:rPr/>
        <w:t>电话：</w:t>
      </w:r>
      <w:r>
        <w:rPr/>
        <w:t>020-37656571、020-87687030</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政府采购监督管理机构名称：德庆政府采购管理办公室</w:t>
      </w:r>
    </w:p>
    <w:p>
      <w:r>
        <w:rPr/>
        <w:t>地  址：德庆县德庆大道10号财政局</w:t>
      </w:r>
    </w:p>
    <w:p>
      <w:r>
        <w:rPr/>
        <w:t>电  话：0758-7781636</w:t>
      </w:r>
    </w:p>
    <w:p>
      <w:r>
        <w:rPr/>
        <w:t>邮  编：510030</w:t>
      </w:r>
    </w:p>
    <w:p>
      <w:r>
        <w:rPr/>
        <w:t>传  真：0758-7781636</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采购包1(巴载天药食同源原料研究)：综合评分法,是指响应文件满足磋商文件全部实质性要求，且按照评审因素的量化指标评审得分最高的投标人为成交候选人的评标方法。（最低报价不是成交的唯一依据。）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采购包1（巴载天药食同源原料研究）：</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响应供应商提供的货物全部由符合政策要求的小型或微型企业制造（工程的施工单位全部为符合政策要求的小型、微型企业，或者服务全部由符合政策要求的小型、微型企业承接），对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磋商小组（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成交供应商享受中小企业扶持政策的，随成交结果公开成交供应商的《中小企业声明函》。供应商提供《中小企业声明函》内容不实的，属于提供虚假材料谋取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采购包1（巴载天药食同源原料研究）：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响应文件提供《资格条件承诺函》（详见公告附件）</w:t>
            </w:r>
          </w:p>
        </w:tc>
      </w:tr>
      <w:tr>
        <w:tc>
          <w:tcPr>
            <w:tcW w:type="dxa" w:w="890"/>
          </w:tcPr>
          <w:p>
            <w:r>
              <w:rPr/>
              <w:t>3</w:t>
            </w:r>
          </w:p>
        </w:tc>
        <w:tc>
          <w:tcPr>
            <w:tcW w:type="dxa" w:w="3178"/>
          </w:tcPr>
          <w:p>
            <w:r>
              <w:rPr/>
              <w:t>具有良好的商业信誉和健全的财务会计制度</w:t>
            </w:r>
          </w:p>
        </w:tc>
        <w:tc>
          <w:tcPr>
            <w:tcW w:type="dxa" w:w="4238"/>
          </w:tcPr>
          <w:p>
            <w:r>
              <w:rPr/>
              <w:t>响应文件提供《资格条件承诺函》（详见公告附件）</w:t>
            </w:r>
          </w:p>
        </w:tc>
      </w:tr>
      <w:tr>
        <w:tc>
          <w:tcPr>
            <w:tcW w:type="dxa" w:w="890"/>
          </w:tcPr>
          <w:p>
            <w:r>
              <w:rPr/>
              <w:t>4</w:t>
            </w:r>
          </w:p>
        </w:tc>
        <w:tc>
          <w:tcPr>
            <w:tcW w:type="dxa" w:w="3178"/>
          </w:tcPr>
          <w:p>
            <w:r>
              <w:rPr/>
              <w:t>履行合同所必需的设备和专业技术能力</w:t>
            </w:r>
          </w:p>
        </w:tc>
        <w:tc>
          <w:tcPr>
            <w:tcW w:type="dxa" w:w="4238"/>
          </w:tcPr>
          <w:p>
            <w:r>
              <w:rPr/>
              <w:t>响应文件提供《资格条件承诺函》（详见公告附件）</w:t>
            </w:r>
          </w:p>
        </w:tc>
      </w:tr>
      <w:tr>
        <w:tc>
          <w:tcPr>
            <w:tcW w:type="dxa" w:w="890"/>
          </w:tcPr>
          <w:p>
            <w:r>
              <w:rPr/>
              <w:t>5</w:t>
            </w:r>
          </w:p>
        </w:tc>
        <w:tc>
          <w:tcPr>
            <w:tcW w:type="dxa" w:w="3178"/>
          </w:tcPr>
          <w:p>
            <w:r>
              <w:rPr/>
              <w:t>参加采购活动前3年内，在经营活动中没有重大违法记录</w:t>
            </w:r>
          </w:p>
        </w:tc>
        <w:tc>
          <w:tcPr>
            <w:tcW w:type="dxa" w:w="4238"/>
          </w:tcPr>
          <w:p>
            <w:r>
              <w:rPr/>
              <w:t>响应文件提供《资格条件承诺函》（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单位负责人为同一人或者存在直接控股、管理关系的不同供应商，不得同时参加本采购项目（采购包）响应。 为本项目提供整体设计、规范编制或者项目管理、监理、检测等服务的供应商，不得再参与本项目响应。 响应承诺函相关承诺要求内容。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采购包1（巴载天药食同源原料研究）：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磋商保证金</w:t>
            </w:r>
          </w:p>
        </w:tc>
        <w:tc>
          <w:tcPr>
            <w:tcW w:type="dxa" w:w="4238"/>
          </w:tcPr>
          <w:p>
            <w:r>
              <w:rPr/>
              <w:t>响应供应商按项目采购文件要求缴纳磋商保证金或磋商保证缴纳金额满足项目采购文件要求的</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采购包1(巴载天药食同源原料研究):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项目整体实施方案情况（一） (4.0分)</w:t>
            </w:r>
          </w:p>
        </w:tc>
        <w:tc>
          <w:tcPr>
            <w:tcW w:type="dxa" w:w="5076"/>
          </w:tcPr>
          <w:p>
            <w:pPr>
              <w:jc w:val="left"/>
            </w:pPr>
            <w:r>
              <w:rPr/>
              <w:t>磋商小组根据响应供应商提供的项目整体实施方案情况进行综合评审，方案应包括（响应文件中方案标题应以下列方案名称命名）： （1）项目研究总体方案； （2）项目重点、难点分析及应对方案； （3）工作标准； （4）工作流程。 提供全部内容得4分，每缺1项扣1分。</w:t>
            </w:r>
          </w:p>
        </w:tc>
      </w:tr>
      <w:tr>
        <w:tc>
          <w:tcPr>
            <w:tcW w:type="dxa" w:w="922"/>
            <w:gridSpan w:val="2"/>
            <w:vMerge/>
          </w:tcPr>
          <w:p/>
        </w:tc>
        <w:tc>
          <w:tcPr>
            <w:tcW w:type="dxa" w:w="2307"/>
          </w:tcPr>
          <w:p>
            <w:pPr>
              <w:jc w:val="left"/>
            </w:pPr>
            <w:r>
              <w:rPr/>
              <w:t>项目整体实施方案情况（二） (10.0分)</w:t>
            </w:r>
          </w:p>
        </w:tc>
        <w:tc>
          <w:tcPr>
            <w:tcW w:type="dxa" w:w="5076"/>
          </w:tcPr>
          <w:p>
            <w:pPr>
              <w:jc w:val="left"/>
            </w:pPr>
            <w:r>
              <w:rPr/>
              <w:t>磋商小组根据响应供应商提供项目整体实施方案情况（一）的详细内容进行综合评审： （1）项目整体实施方案情况对需求充分响应，对需求全面剖析，针对重点、难点、要点需求全面理解，分别提出具备专业性、实用性的服务方案，有效保障本项目实施，有利于实现服务效果，得10分； （2）项目整体实施方案情况对需求充分响应，对部分需求进行剖析，针对部分重点、难点、要点需求进行理解，提出部分具备专业性、实用性的实施方案或者部分合理可行保障措施，基本保障本项目服务实施，部分满足服务效果，得6分； （3）项目整体实施方案情况对需求响应不充分，没有对需求进行理解进行剖析，没有提出体现专业性或针对性的措施，或者措施方案不合理不可行的，无法保障本项目服务实施，达不到服务效果，得2分； （4）不提供不得分。</w:t>
            </w:r>
          </w:p>
        </w:tc>
      </w:tr>
      <w:tr>
        <w:tc>
          <w:tcPr>
            <w:tcW w:type="dxa" w:w="922"/>
            <w:gridSpan w:val="2"/>
            <w:vMerge/>
          </w:tcPr>
          <w:p/>
        </w:tc>
        <w:tc>
          <w:tcPr>
            <w:tcW w:type="dxa" w:w="2307"/>
          </w:tcPr>
          <w:p>
            <w:pPr>
              <w:jc w:val="left"/>
            </w:pPr>
            <w:r>
              <w:rPr/>
              <w:t>质量保证措施（一） (4.0分)</w:t>
            </w:r>
          </w:p>
        </w:tc>
        <w:tc>
          <w:tcPr>
            <w:tcW w:type="dxa" w:w="5076"/>
          </w:tcPr>
          <w:p>
            <w:pPr>
              <w:jc w:val="left"/>
            </w:pPr>
            <w:r>
              <w:rPr/>
              <w:t>磋商小组根据响应供应商提供的质量保证措施进行综合评审，方案应包括（响应文件中方案标题应以下列方案名称命名）： （1）质量事故预防与处理措施； （2）各环节关键节点质量保证措施； （3）技术服务进度保证措施； （4）技术服务的保证措施。 提供全部内容得4分，每缺1项扣1分。</w:t>
            </w:r>
          </w:p>
        </w:tc>
      </w:tr>
      <w:tr>
        <w:tc>
          <w:tcPr>
            <w:tcW w:type="dxa" w:w="922"/>
            <w:gridSpan w:val="2"/>
            <w:vMerge/>
          </w:tcPr>
          <w:p/>
        </w:tc>
        <w:tc>
          <w:tcPr>
            <w:tcW w:type="dxa" w:w="2307"/>
          </w:tcPr>
          <w:p>
            <w:pPr>
              <w:jc w:val="left"/>
            </w:pPr>
            <w:r>
              <w:rPr/>
              <w:t>质量保证措施（二） (10.0分)</w:t>
            </w:r>
          </w:p>
        </w:tc>
        <w:tc>
          <w:tcPr>
            <w:tcW w:type="dxa" w:w="5076"/>
          </w:tcPr>
          <w:p>
            <w:pPr>
              <w:jc w:val="left"/>
            </w:pPr>
            <w:r>
              <w:rPr/>
              <w:t>根据各响应供应商质量保证措施（一）的详细内容进行综合评价： （1）服务质量保障措施对需求充分响应，对需求全面剖析，针对重点、难点、要点需求全面理解，分别提出具备专业性、实用性、合理可行的服务质量保障措施，有效保障本项目实施，有利于实现服务效果，得10分； （2）服务质量保障措施对需求充分响应，对部分需求进行剖析，针对重点、难点、要点需求全面理解，分别提出具备专业性、实用性、基本合理可行的服务质量保障措施，基本保障本项目实施，基本实现服务效果，得6分； （3）服务质量保障措施对需求响应不充分，没有对需求进行剖析，没有提出体现专业性、实用性、合理可行的服务质量保障措施，无法保障本项目实施，不能实现服务效果，得2分； （4）不提供不得分。</w:t>
            </w:r>
          </w:p>
        </w:tc>
      </w:tr>
      <w:tr>
        <w:tc>
          <w:tcPr>
            <w:tcW w:type="dxa" w:w="922"/>
            <w:gridSpan w:val="2"/>
            <w:vMerge/>
          </w:tcPr>
          <w:p/>
        </w:tc>
        <w:tc>
          <w:tcPr>
            <w:tcW w:type="dxa" w:w="2307"/>
          </w:tcPr>
          <w:p>
            <w:pPr>
              <w:jc w:val="left"/>
            </w:pPr>
            <w:r>
              <w:rPr/>
              <w:t>验收方案（一） (2.0分)</w:t>
            </w:r>
          </w:p>
        </w:tc>
        <w:tc>
          <w:tcPr>
            <w:tcW w:type="dxa" w:w="5076"/>
          </w:tcPr>
          <w:p>
            <w:pPr>
              <w:jc w:val="left"/>
            </w:pPr>
            <w:r>
              <w:rPr/>
              <w:t>磋商小组根据响应供应商提供的验收方案情况进行综合评审，方案应包括（响应文件中方案标题应以下列方案名称命名）： （1）验收保障措施； （2）验收不通过的解决方案； 提供全部内容得2分，每缺1项扣1分。</w:t>
            </w:r>
          </w:p>
        </w:tc>
      </w:tr>
      <w:tr>
        <w:tc>
          <w:tcPr>
            <w:tcW w:type="dxa" w:w="922"/>
            <w:gridSpan w:val="2"/>
            <w:vMerge/>
          </w:tcPr>
          <w:p/>
        </w:tc>
        <w:tc>
          <w:tcPr>
            <w:tcW w:type="dxa" w:w="2307"/>
          </w:tcPr>
          <w:p>
            <w:pPr>
              <w:jc w:val="left"/>
            </w:pPr>
            <w:r>
              <w:rPr/>
              <w:t>验收方案（二） (9.0分)</w:t>
            </w:r>
          </w:p>
        </w:tc>
        <w:tc>
          <w:tcPr>
            <w:tcW w:type="dxa" w:w="5076"/>
          </w:tcPr>
          <w:p>
            <w:pPr>
              <w:jc w:val="left"/>
            </w:pPr>
            <w:r>
              <w:rPr/>
              <w:t>磋商小组根据响应供应商提供验收方案（一）的详细内容进行综合评审： （1）验收方案对需求响应全面具体，有效保障本项目验收实施、有利于项目执行验收的，得9分； （2）验收方案对需求响应全面具体，基本保障本项目验收实施、基本满足项目执行验收的，得5分； （3）质量保障措施对需求响应不全面，无法保障本项目验收实施、无法满足项目执行验收的，得1分； （4）不提供不得分。</w:t>
            </w:r>
          </w:p>
        </w:tc>
      </w:tr>
      <w:tr>
        <w:tc>
          <w:tcPr>
            <w:tcW w:type="dxa" w:w="922"/>
            <w:gridSpan w:val="2"/>
            <w:vMerge/>
          </w:tcPr>
          <w:p/>
        </w:tc>
        <w:tc>
          <w:tcPr>
            <w:tcW w:type="dxa" w:w="2307"/>
          </w:tcPr>
          <w:p>
            <w:pPr>
              <w:jc w:val="left"/>
            </w:pPr>
            <w:r>
              <w:rPr/>
              <w:t>售后服务方案可行性（一） (2.0分)</w:t>
            </w:r>
          </w:p>
        </w:tc>
        <w:tc>
          <w:tcPr>
            <w:tcW w:type="dxa" w:w="5076"/>
          </w:tcPr>
          <w:p>
            <w:pPr>
              <w:jc w:val="left"/>
            </w:pPr>
            <w:r>
              <w:rPr/>
              <w:t>磋商小组根据响应供应商提供的售后服务方案可行性情况进行综合评审，方案应包括（响应文件中方案标题应以下列方案名称命名）： （1）资料的撰写更新； （2）申报服务后续跟进。 提供全部内容得2分，每缺1项扣1分。</w:t>
            </w:r>
          </w:p>
        </w:tc>
      </w:tr>
      <w:tr>
        <w:tc>
          <w:tcPr>
            <w:tcW w:type="dxa" w:w="922"/>
            <w:gridSpan w:val="2"/>
            <w:vMerge/>
          </w:tcPr>
          <w:p/>
        </w:tc>
        <w:tc>
          <w:tcPr>
            <w:tcW w:type="dxa" w:w="2307"/>
          </w:tcPr>
          <w:p>
            <w:pPr>
              <w:jc w:val="left"/>
            </w:pPr>
            <w:r>
              <w:rPr/>
              <w:t>售后服务方案可行性（二） (9.0分)</w:t>
            </w:r>
          </w:p>
        </w:tc>
        <w:tc>
          <w:tcPr>
            <w:tcW w:type="dxa" w:w="5076"/>
          </w:tcPr>
          <w:p>
            <w:pPr>
              <w:jc w:val="left"/>
            </w:pPr>
            <w:r>
              <w:rPr/>
              <w:t>磋商小组根据响应供应商提供售后服务方案可行性（一）的详细内容进行综合评审： （1）售后服务方案可行性对需求响应全面具体，有效保障本项目后续实施，有利于实现后续服务效果，得9分； （2）售后服务方案可行性对需求响应全面具体，基本保障本项目后续实施，基本实现后续服务效果，得5分； （3）售后服务方案可行性对需求响应不全面，无法保障本项目后续实施，无法实现后续服务效果，得1分； （4）不提供不得分。响应供应商</w:t>
            </w:r>
          </w:p>
        </w:tc>
      </w:tr>
      <w:tr>
        <w:tc>
          <w:tcPr>
            <w:tcW w:type="dxa" w:w="922"/>
            <w:gridSpan w:val="2"/>
            <w:vMerge w:val="restart"/>
          </w:tcPr>
          <w:p>
            <w:pPr>
              <w:jc w:val="center"/>
            </w:pPr>
            <w:r>
              <w:rPr/>
              <w:t>商务部分</w:t>
            </w:r>
          </w:p>
        </w:tc>
        <w:tc>
          <w:tcPr>
            <w:tcW w:type="dxa" w:w="2307"/>
          </w:tcPr>
          <w:p>
            <w:pPr>
              <w:jc w:val="left"/>
            </w:pPr>
            <w:r>
              <w:rPr/>
              <w:t>业绩情况 (21.0分)</w:t>
            </w:r>
          </w:p>
        </w:tc>
        <w:tc>
          <w:tcPr>
            <w:tcW w:type="dxa" w:w="5076"/>
          </w:tcPr>
          <w:p>
            <w:pPr>
              <w:jc w:val="left"/>
            </w:pPr>
            <w:r>
              <w:rPr/>
              <w:t>1.响应供应商2018年1月1日至今参与中药材相关质量标准起草（包含团体标准或以上标准），作为起草单位之一的，每完成1个得1分，最高得5分； 2.响应供应商2018年1月1日至今参与过标准物质制备项目经验，制备≥35种物质＜70种的，得2分；制备≥70种物质得6分；不足35种不得分； 3.响应供应商或项目负责人2018年1月1日至今主持过中药材相关科研课题的，每完成1个得2分，最高得4分， 4.响应供应商自近2020年1月1日至今以来承担过中药材的抽样及检验检测，每完成1个项目得2分，最高得6分。 注：提供合同复印件并加盖响应供应商公章，不按要求提供不得分。</w:t>
            </w:r>
          </w:p>
        </w:tc>
      </w:tr>
      <w:tr>
        <w:tc>
          <w:tcPr>
            <w:tcW w:type="dxa" w:w="922"/>
            <w:gridSpan w:val="2"/>
            <w:vMerge/>
          </w:tcPr>
          <w:p/>
        </w:tc>
        <w:tc>
          <w:tcPr>
            <w:tcW w:type="dxa" w:w="2307"/>
          </w:tcPr>
          <w:p>
            <w:pPr>
              <w:jc w:val="left"/>
            </w:pPr>
            <w:r>
              <w:rPr/>
              <w:t>项目团队资质 (8.0分)</w:t>
            </w:r>
          </w:p>
        </w:tc>
        <w:tc>
          <w:tcPr>
            <w:tcW w:type="dxa" w:w="5076"/>
          </w:tcPr>
          <w:p>
            <w:pPr>
              <w:jc w:val="left"/>
            </w:pPr>
            <w:r>
              <w:rPr/>
              <w:t>1.项目负责人：具有药学或农学相关专业博士学历且具有药学或农学相关正高(含)以上职称的，得4分，否则不得分 2.响应供应商拟投入本项目人员（除项目负责人外）有药学或农学相关中级职称（或以上）或有农学、生物、药学、食品相关专业的研究生学历（或以上），≥5人＜10人的，得2分；≥10人得4分；不足5人不得分。 注：上述人员需要提供学位证明、职称资格证书复印件及在本单位响应截至时间前6个月内任意1个月的社保证明文件，不提供不得分。</w:t>
            </w:r>
          </w:p>
        </w:tc>
      </w:tr>
      <w:tr>
        <w:tc>
          <w:tcPr>
            <w:tcW w:type="dxa" w:w="922"/>
            <w:gridSpan w:val="2"/>
            <w:vMerge/>
          </w:tcPr>
          <w:p/>
        </w:tc>
        <w:tc>
          <w:tcPr>
            <w:tcW w:type="dxa" w:w="2307"/>
          </w:tcPr>
          <w:p>
            <w:pPr>
              <w:jc w:val="left"/>
            </w:pPr>
            <w:r>
              <w:rPr/>
              <w:t>供应商综合资质及能力 (11.0分)</w:t>
            </w:r>
          </w:p>
        </w:tc>
        <w:tc>
          <w:tcPr>
            <w:tcW w:type="dxa" w:w="5076"/>
          </w:tcPr>
          <w:p>
            <w:pPr>
              <w:jc w:val="left"/>
            </w:pPr>
            <w:r>
              <w:rPr/>
              <w:t>1.响应供应商应具有和中药材相关且有效的：知识产权管理体系认证证书，具有得5分。 2.具有项目开展需要检验的检验设备：气相色谱仪、液相色谱仪、原子吸收光谱仪，气质联用仪、串联液质联用仪、电感耦合等离子体发射光谱质谱仪，每具有一种得1分（同一类设备不得重复计算），最高得6分。 注：①提供有效期内的证书复印件作为评审依据，已失效或撤销的不得分，未提供的不得分 ②提供检验设备清单，自有检验设备提供设备购买发票复印件和检验设备现场图片；租赁检验设备提供租赁合同复印件和检验设备现场图片；租赁期须覆盖本项目服务期限【如不能覆盖的，响应供应商还应提交承诺函（格式自拟），承诺租赁到期后将继续租赁，可有效覆盖服务期限】；承诺函（格式自拟）；缺一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满足招标文件要求且投标价格最低的响应报价为评标基准价。 响应报价得分=（评标基准价/响应报价）×价格分分值 评标过程中，不得去掉报价中的最高报价和最低报价。 因落实政府采购政策进行价格调整的，以调整后的价格计算评标基准价和响应报价。</w:t>
            </w:r>
          </w:p>
        </w:tc>
      </w:tr>
    </w:tbl>
    <w:p/>
    <w:p>
      <w:r>
        <w:rPr>
          <w:b/>
          <w:sz w:val="24"/>
        </w:rPr>
        <w:t>6.汇总、排序</w:t>
      </w:r>
    </w:p>
    <w:p>
      <w:pPr>
        <w:ind w:firstLine="480"/>
      </w:pPr>
    </w:p>
    <w:p/>
    <w:p>
      <w:r>
        <w:rPr/>
        <w:t>采购包1：</w:t>
      </w:r>
    </w:p>
    <w:p/>
    <w:p>
      <w:r>
        <w:rPr/>
        <w:t>评审结果按评审后总得分由高到低顺序排列。总得分相同的按响应报价由低到高顺序排列。得分且响应报价相同的，按照技术指标优劣顺序推荐。排名第一的响应供应商为第一成交候选供应商，排名第二的响应供应商为第二成交候选供应商，排名第三的响应供应商为第三成交候选供应商。</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1、合同具体事项须根据采购文件的约定及乙方响应文件的承诺执行；</w:t>
      </w:r>
    </w:p>
    <w:p>
      <w:pPr>
        <w:jc w:val="left"/>
      </w:pPr>
    </w:p>
    <w:p/>
    <w:p/>
    <w:p>
      <w:r>
        <w:rPr/>
        <w:t xml:space="preserve"> </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r>
        <w:rPr>
          <w:sz w:val="21"/>
        </w:rPr>
        <w:t>甲方（采购人）：</w:t>
      </w:r>
      <w:r>
        <w:rPr>
          <w:sz w:val="21"/>
        </w:rPr>
        <w:t xml:space="preserve">                               </w:t>
      </w:r>
    </w:p>
    <w:p>
      <w:pPr>
        <w:jc w:val="both"/>
      </w:pPr>
      <w:r>
        <w:rPr>
          <w:sz w:val="21"/>
        </w:rPr>
        <w:t>乙方（成交供应商）：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巴载天药食同源原料研究</w:t>
      </w:r>
      <w:r>
        <w:rPr>
          <w:sz w:val="21"/>
        </w:rPr>
        <w:t>竞争性磋商文件（项目编号：</w:t>
      </w:r>
      <w:r>
        <w:rPr>
          <w:sz w:val="21"/>
        </w:rPr>
        <w:t>GZGK23P258C0852C）的要求，经双方协商，本着平等互利和诚实信用的原则，一致同意签订本合同。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w:t>
      </w:r>
      <w:r>
        <w:rPr>
          <w:sz w:val="21"/>
        </w:rPr>
        <w:t>竞争性磋商</w:t>
      </w:r>
      <w:r>
        <w:rPr>
          <w:sz w:val="21"/>
        </w:rPr>
        <w:t>文件以及乙方的</w:t>
      </w:r>
      <w:r>
        <w:rPr>
          <w:sz w:val="21"/>
        </w:rPr>
        <w:t>响应</w:t>
      </w:r>
      <w:r>
        <w:rPr>
          <w:sz w:val="21"/>
        </w:rPr>
        <w:t>文件承诺为准，如</w:t>
      </w:r>
      <w:r>
        <w:rPr>
          <w:sz w:val="21"/>
        </w:rPr>
        <w:t>竞争性磋商</w:t>
      </w:r>
      <w:r>
        <w:rPr>
          <w:sz w:val="21"/>
        </w:rPr>
        <w:t>文件与</w:t>
      </w:r>
      <w:r>
        <w:rPr>
          <w:sz w:val="21"/>
        </w:rPr>
        <w:t>响应</w:t>
      </w:r>
      <w:r>
        <w:rPr>
          <w:sz w:val="21"/>
        </w:rPr>
        <w:t>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w:t>
      </w:r>
      <w:r>
        <w:rPr>
          <w:sz w:val="21"/>
        </w:rPr>
        <w:t>响应</w:t>
      </w:r>
      <w:r>
        <w:rPr>
          <w:sz w:val="21"/>
        </w:rPr>
        <w:t>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乙方提供的服务不符合竞争性磋商文件、响应文件或本合同规定的，甲方有权拒收，并且乙方须向甲方支付本合同总价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根据项目中止进度成果结算进度款，并按本合同总价的</w:t>
      </w:r>
      <w:r>
        <w:rPr>
          <w:sz w:val="21"/>
          <w:u w:val="single"/>
        </w:rPr>
        <w:t>5 %支付</w:t>
      </w:r>
      <w:r>
        <w:rPr>
          <w:sz w:val="21"/>
          <w:u w:val="single"/>
        </w:rPr>
        <w:t>违约金。</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本合同所有附件、竞争性磋商文件、响应文件、成交通知书均为合同的有效组成部分，与本合同具有同等法律效力。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34"/>
      </w:tblGrid>
      <w:tr>
        <w:tc>
          <w:tcPr>
            <w:tcW w:type="dxa" w:w="3658"/>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34"/>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441226-2023-01530</w:t>
      </w:r>
    </w:p>
    <w:p>
      <w:pPr>
        <w:jc w:val="center"/>
      </w:pPr>
      <w:r>
        <w:rPr>
          <w:b/>
          <w:sz w:val="24"/>
        </w:rPr>
        <w:t>采购项目编号：</w:t>
      </w:r>
      <w:r>
        <w:rPr>
          <w:b/>
          <w:sz w:val="24"/>
        </w:rPr>
        <w:t>GZGK23P258C0852C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巴载天药食同源原料研究</w:t>
      </w:r>
      <w:r>
        <w:rPr>
          <w:u w:val="single"/>
        </w:rPr>
        <w:t>”</w:t>
      </w:r>
      <w:r>
        <w:rPr/>
        <w:t>项目的竞争性磋商[采购项目编号为：</w:t>
      </w:r>
      <w:r>
        <w:rPr>
          <w:u w:val="single"/>
        </w:rPr>
        <w:t>GZGK23P258C0852C</w:t>
      </w:r>
      <w:r>
        <w:rPr/>
        <w:t>]，我方愿参与响应。</w:t>
      </w:r>
    </w:p>
    <w:p>
      <w:pPr>
        <w:ind w:firstLine="480"/>
      </w:pPr>
      <w:r>
        <w:rPr/>
        <w:t>我方确认收到贵方提供的</w:t>
      </w:r>
      <w:r>
        <w:rPr>
          <w:u w:val="single"/>
        </w:rPr>
        <w:t>“</w:t>
      </w:r>
      <w:r>
        <w:rPr>
          <w:u w:val="single"/>
        </w:rPr>
        <w:t>巴载天药食同源原料研究</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巴载天药食同源原料研究</w:t>
      </w:r>
      <w:r>
        <w:rPr/>
        <w:t>”项目采购[采购项目编号为</w:t>
      </w:r>
      <w:r>
        <w:rPr/>
        <w:t>GZGK23P258C0852C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德庆县卫生健康局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巴载天药食同源原料研究</w:t>
      </w:r>
      <w:r>
        <w:rPr/>
        <w:t>（采购项目编号：</w:t>
      </w:r>
      <w:r>
        <w:rPr/>
        <w:t>GZGK23P258C0852C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巴载天药食同源原料研究</w:t>
      </w:r>
      <w:r>
        <w:rPr/>
        <w:t>”项目（采购项目编号：</w:t>
      </w:r>
      <w:r>
        <w:rPr/>
        <w:t>GZGK23P258C0852C</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