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440001-2023-53836</w:t>
      </w:r>
    </w:p>
    <w:p>
      <w:pPr>
        <w:jc w:val="center"/>
      </w:pPr>
      <w:r>
        <w:rPr>
          <w:b/>
          <w:sz w:val="24"/>
        </w:rPr>
        <w:t>采购项目编号：</w:t>
      </w:r>
      <w:r>
        <w:rPr>
          <w:b/>
          <w:sz w:val="24"/>
        </w:rPr>
        <w:t>GZGK23P184A0601Z</w:t>
      </w:r>
    </w:p>
    <w:p>
      <w:pPr>
        <w:jc w:val="center"/>
      </w:pPr>
      <w:r>
        <w:rPr>
          <w:b/>
          <w:sz w:val="24"/>
        </w:rPr>
        <w:t>项目名称：</w:t>
      </w:r>
      <w:r>
        <w:rPr>
          <w:b/>
          <w:sz w:val="24"/>
        </w:rPr>
        <w:t>中山大学附属第六医院主动脉内球囊反搏泵采购项目(二次)</w:t>
      </w:r>
    </w:p>
    <w:p>
      <w:pPr>
        <w:jc w:val="center"/>
      </w:pPr>
      <w:r>
        <w:rPr>
          <w:b/>
          <w:sz w:val="24"/>
        </w:rPr>
        <w:t>采购人：</w:t>
      </w:r>
      <w:r>
        <w:rPr>
          <w:b/>
          <w:sz w:val="24"/>
        </w:rPr>
        <w:t>中山大学附属第六医院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中山大学附属第六医院</w:t>
      </w:r>
      <w:r>
        <w:rPr/>
        <w:t>的委托，采用</w:t>
      </w:r>
      <w:r>
        <w:rPr/>
        <w:t>公开招标</w:t>
      </w:r>
      <w:r>
        <w:rPr/>
        <w:t>方式组织采购</w:t>
      </w:r>
      <w:r>
        <w:rPr/>
        <w:t>中山大学附属第六医院主动脉内球囊反搏泵采购项目(二次)</w:t>
      </w:r>
      <w:r>
        <w:rPr/>
        <w:t>。欢迎符合资格条件的国内供应商参加投标。</w:t>
      </w:r>
    </w:p>
    <w:p>
      <w:r>
        <w:rPr>
          <w:b/>
          <w:sz w:val="28"/>
        </w:rPr>
        <w:t>一.项目概述</w:t>
      </w:r>
    </w:p>
    <w:p>
      <w:r>
        <w:rPr>
          <w:b/>
          <w:sz w:val="24"/>
        </w:rPr>
        <w:t>1.名称与编号</w:t>
      </w:r>
    </w:p>
    <w:p>
      <w:pPr>
        <w:ind w:firstLine="480"/>
      </w:pPr>
      <w:r>
        <w:rPr/>
        <w:t>项目名称：</w:t>
      </w:r>
      <w:r>
        <w:rPr/>
        <w:t>中山大学附属第六医院主动脉内球囊反搏泵采购项目(二次)</w:t>
      </w:r>
    </w:p>
    <w:p>
      <w:pPr>
        <w:ind w:firstLine="480"/>
      </w:pPr>
      <w:r>
        <w:rPr/>
        <w:t>采购计划编号：</w:t>
      </w:r>
      <w:r>
        <w:rPr/>
        <w:t>440001-2023-53836</w:t>
      </w:r>
    </w:p>
    <w:p>
      <w:pPr>
        <w:ind w:firstLine="480"/>
      </w:pPr>
      <w:r>
        <w:rPr/>
        <w:t>采购项目编号：</w:t>
      </w:r>
      <w:r>
        <w:rPr/>
        <w:t>GZGK23P184A0601Z</w:t>
      </w:r>
    </w:p>
    <w:p>
      <w:pPr>
        <w:ind w:firstLine="480"/>
      </w:pPr>
      <w:r>
        <w:rPr/>
        <w:t>采购方式：</w:t>
      </w:r>
      <w:r>
        <w:rPr/>
        <w:t>公开招标</w:t>
      </w:r>
    </w:p>
    <w:p>
      <w:pPr>
        <w:ind w:firstLine="480"/>
      </w:pPr>
      <w:r>
        <w:rPr/>
        <w:t>预算金额：</w:t>
      </w:r>
      <w:r>
        <w:rPr/>
        <w:t>1,250,000.00</w:t>
      </w:r>
      <w:r>
        <w:rPr/>
        <w:t>元</w:t>
      </w:r>
    </w:p>
    <w:p>
      <w:r>
        <w:rPr>
          <w:b/>
          <w:sz w:val="24"/>
        </w:rPr>
        <w:t>2.项目内容及需求情况（采购项目技术规格、参数及要求）</w:t>
      </w:r>
    </w:p>
    <w:p>
      <w:pPr>
        <w:ind w:firstLine="480"/>
      </w:pPr>
    </w:p>
    <w:p/>
    <w:p>
      <w:r>
        <w:rPr/>
        <w:t>采购包1(主动脉内球囊反搏泵):</w:t>
      </w:r>
    </w:p>
    <w:p>
      <w:r>
        <w:rPr/>
        <w:t>采购包预算金额：1,250,000.00元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介/植入诊断和治疗用器械</w:t>
            </w:r>
          </w:p>
        </w:tc>
        <w:tc>
          <w:tcPr>
            <w:tcW w:type="dxa" w:w="2136"/>
          </w:tcPr>
          <w:p>
            <w:r>
              <w:rPr/>
              <w:t>主动脉内球囊反搏泵</w:t>
            </w:r>
          </w:p>
        </w:tc>
        <w:tc>
          <w:tcPr>
            <w:tcW w:type="dxa" w:w="1187"/>
          </w:tcPr>
          <w:p>
            <w:r>
              <w:rPr/>
              <w:t>1.00(台)</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采购包1（主动脉内球囊反搏泵）：</w:t>
      </w:r>
      <w:r>
        <w:rPr/>
        <w:t>本项目不属于专门面向中小企业采购的项目。</w:t>
      </w:r>
    </w:p>
    <w:p/>
    <w:p>
      <w:r>
        <w:rPr>
          <w:b/>
          <w:sz w:val="24"/>
        </w:rPr>
        <w:t>3.本项目特定的资格要求：</w:t>
      </w:r>
    </w:p>
    <w:p>
      <w:pPr>
        <w:ind w:firstLine="480"/>
      </w:pPr>
    </w:p>
    <w:p/>
    <w:p>
      <w:r>
        <w:rPr/>
        <w:t>采购包1（主动脉内球囊反搏泵）：</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项目投标。为本项目提供整体设计、规范编制或者项目管理、监理、检测等服务的供应商，不得再参与本项目投标。投标函相关承诺要求内容。</w:t>
      </w:r>
    </w:p>
    <w:p/>
    <w:p>
      <w:r>
        <w:rPr/>
        <w:t>3)本项目不接受联合体投标，不允许分包、转包。</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中山大学附属第六医院</w:t>
      </w:r>
    </w:p>
    <w:p>
      <w:pPr>
        <w:ind w:firstLine="480"/>
      </w:pPr>
      <w:r>
        <w:rPr/>
        <w:t>地址：</w:t>
      </w:r>
      <w:r>
        <w:rPr/>
        <w:t>广州天河区员村二横路26号</w:t>
      </w:r>
    </w:p>
    <w:p>
      <w:pPr>
        <w:ind w:firstLine="480"/>
      </w:pPr>
      <w:r>
        <w:rPr/>
        <w:t>联系方式：</w:t>
      </w:r>
      <w:r>
        <w:rPr/>
        <w:t>020-38255393</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020-31603842、020-87688049</w:t>
      </w:r>
    </w:p>
    <w:p>
      <w:r>
        <w:rPr>
          <w:b/>
          <w:sz w:val="24"/>
        </w:rPr>
        <w:t>3.项目联系方式</w:t>
      </w:r>
    </w:p>
    <w:p>
      <w:pPr>
        <w:ind w:firstLine="480"/>
      </w:pPr>
      <w:r>
        <w:rPr/>
        <w:t>项目联系人：</w:t>
      </w:r>
      <w:r>
        <w:rPr/>
        <w:t>李国晨、陈蔚</w:t>
      </w:r>
    </w:p>
    <w:p>
      <w:pPr>
        <w:ind w:firstLine="480"/>
      </w:pPr>
      <w:r>
        <w:rPr/>
        <w:t>电话：</w:t>
      </w:r>
      <w:r>
        <w:rPr/>
        <w:t>020-31603842、020-87688049</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2"/>
        <w:jc w:val="left"/>
      </w:pPr>
      <w:r>
        <w:rPr>
          <w:b/>
          <w:sz w:val="21"/>
        </w:rPr>
        <w:t>（一）项目编号：</w:t>
      </w:r>
      <w:r>
        <w:rPr>
          <w:sz w:val="21"/>
        </w:rPr>
        <w:t>GZGK23P184A0601Z</w:t>
      </w:r>
    </w:p>
    <w:p>
      <w:pPr>
        <w:ind w:firstLine="422"/>
        <w:jc w:val="left"/>
      </w:pPr>
      <w:r>
        <w:rPr>
          <w:b/>
          <w:sz w:val="21"/>
        </w:rPr>
        <w:t>（二）项目名称：</w:t>
      </w:r>
      <w:r>
        <w:rPr>
          <w:sz w:val="21"/>
        </w:rPr>
        <w:t>中山大学附属第六医院主动脉内球囊反搏泵采购项目（二次）</w:t>
      </w:r>
    </w:p>
    <w:p>
      <w:pPr>
        <w:ind w:firstLine="422"/>
        <w:jc w:val="left"/>
      </w:pPr>
      <w:r>
        <w:rPr>
          <w:b/>
          <w:sz w:val="21"/>
        </w:rPr>
        <w:t>（三）总体要求说明：</w:t>
      </w:r>
    </w:p>
    <w:p>
      <w:pPr>
        <w:ind w:firstLine="420"/>
        <w:jc w:val="left"/>
      </w:pPr>
      <w:r>
        <w:rPr>
          <w:sz w:val="21"/>
        </w:rPr>
        <w:t>1</w:t>
      </w:r>
      <w:r>
        <w:rPr>
          <w:sz w:val="21"/>
        </w:rPr>
        <w:t>、标有</w:t>
      </w:r>
      <w:r>
        <w:rPr>
          <w:sz w:val="21"/>
        </w:rPr>
        <w:t>“</w:t>
      </w:r>
      <w:r>
        <w:rPr>
          <w:sz w:val="21"/>
        </w:rPr>
        <w:t>★</w:t>
      </w:r>
      <w:r>
        <w:rPr>
          <w:sz w:val="21"/>
        </w:rPr>
        <w:t>”</w:t>
      </w:r>
      <w:r>
        <w:rPr>
          <w:sz w:val="21"/>
        </w:rPr>
        <w:t>的条款为必须完全满足的实质性要求，投标人如有一项带</w:t>
      </w:r>
      <w:r>
        <w:rPr>
          <w:sz w:val="21"/>
        </w:rPr>
        <w:t>“</w:t>
      </w:r>
      <w:r>
        <w:rPr>
          <w:sz w:val="21"/>
        </w:rPr>
        <w:t>★</w:t>
      </w:r>
      <w:r>
        <w:rPr>
          <w:sz w:val="21"/>
        </w:rPr>
        <w:t>”</w:t>
      </w:r>
      <w:r>
        <w:rPr>
          <w:sz w:val="21"/>
        </w:rPr>
        <w:t>的条款未响应或</w:t>
      </w:r>
      <w:r>
        <w:rPr>
          <w:sz w:val="21"/>
        </w:rPr>
        <w:t>不满足</w:t>
      </w:r>
      <w:r>
        <w:rPr>
          <w:sz w:val="21"/>
        </w:rPr>
        <w:t>，将按无效投标处理。</w:t>
      </w:r>
    </w:p>
    <w:p>
      <w:pPr>
        <w:ind w:firstLine="420"/>
        <w:jc w:val="left"/>
      </w:pPr>
      <w:r>
        <w:rPr>
          <w:sz w:val="21"/>
        </w:rPr>
        <w:t>2</w:t>
      </w:r>
      <w:r>
        <w:rPr>
          <w:sz w:val="21"/>
        </w:rPr>
        <w:t>、标有</w:t>
      </w:r>
      <w:r>
        <w:rPr>
          <w:sz w:val="21"/>
        </w:rPr>
        <w:t>“▲”</w:t>
      </w:r>
      <w:r>
        <w:rPr>
          <w:sz w:val="21"/>
        </w:rPr>
        <w:t>的条款为重要性要求，投标人如有</w:t>
      </w:r>
      <w:r>
        <w:rPr>
          <w:sz w:val="21"/>
        </w:rPr>
        <w:t>“▲”</w:t>
      </w:r>
      <w:r>
        <w:rPr>
          <w:sz w:val="21"/>
        </w:rPr>
        <w:t>的条款未响应或负偏离的将被严重扣分。</w:t>
      </w:r>
    </w:p>
    <w:p>
      <w:pPr>
        <w:ind w:firstLine="420"/>
        <w:jc w:val="left"/>
      </w:pPr>
      <w:r>
        <w:rPr>
          <w:sz w:val="21"/>
        </w:rPr>
        <w:t>3</w:t>
      </w:r>
      <w:r>
        <w:rPr>
          <w:sz w:val="21"/>
        </w:rPr>
        <w:t>、投标人必须承诺提供厂商原装、全新的、符合国家及用户提出的有关质量标准的设备。</w:t>
      </w:r>
    </w:p>
    <w:p>
      <w:pPr>
        <w:ind w:firstLine="420"/>
        <w:jc w:val="left"/>
      </w:pPr>
      <w:r>
        <w:rPr>
          <w:sz w:val="21"/>
        </w:rPr>
        <w:t>4</w:t>
      </w:r>
      <w:r>
        <w:rPr>
          <w:sz w:val="21"/>
        </w:rPr>
        <w:t>、投标人应对采购需求中的设备性能和技术指标在响应详细内容中列出具体数值。如果投标人只注明</w:t>
      </w:r>
      <w:r>
        <w:rPr>
          <w:sz w:val="21"/>
        </w:rPr>
        <w:t>“</w:t>
      </w:r>
      <w:r>
        <w:rPr>
          <w:sz w:val="21"/>
        </w:rPr>
        <w:t>正偏离</w:t>
      </w:r>
      <w:r>
        <w:rPr>
          <w:sz w:val="21"/>
        </w:rPr>
        <w:t>”</w:t>
      </w:r>
      <w:r>
        <w:rPr>
          <w:sz w:val="21"/>
        </w:rPr>
        <w:t>或</w:t>
      </w:r>
      <w:r>
        <w:rPr>
          <w:sz w:val="21"/>
        </w:rPr>
        <w:t>“</w:t>
      </w:r>
      <w:r>
        <w:rPr>
          <w:sz w:val="21"/>
        </w:rPr>
        <w:t>无偏离</w:t>
      </w:r>
      <w:r>
        <w:rPr>
          <w:sz w:val="21"/>
        </w:rPr>
        <w:t>”</w:t>
      </w:r>
      <w:r>
        <w:rPr>
          <w:sz w:val="21"/>
        </w:rPr>
        <w:t>，将可能被视为</w:t>
      </w:r>
      <w:r>
        <w:rPr>
          <w:sz w:val="21"/>
        </w:rPr>
        <w:t>“</w:t>
      </w:r>
      <w:r>
        <w:rPr>
          <w:sz w:val="21"/>
        </w:rPr>
        <w:t>负偏离</w:t>
      </w:r>
      <w:r>
        <w:rPr>
          <w:sz w:val="21"/>
        </w:rPr>
        <w:t>”</w:t>
      </w:r>
      <w:r>
        <w:rPr>
          <w:sz w:val="21"/>
        </w:rPr>
        <w:t>，从而可能导致严重影响评标结果。</w:t>
      </w:r>
    </w:p>
    <w:p>
      <w:pPr>
        <w:ind w:firstLine="420"/>
        <w:jc w:val="left"/>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ind w:firstLine="420"/>
        <w:jc w:val="left"/>
      </w:pPr>
      <w:r>
        <w:rPr>
          <w:sz w:val="21"/>
        </w:rPr>
        <w:t>6</w:t>
      </w:r>
      <w:r>
        <w:rPr>
          <w:sz w:val="21"/>
        </w:rPr>
        <w:t>、凡列入《中华人民共和国实施强制性产品认证的产品目录》的产品在验收时必须出具</w:t>
      </w:r>
      <w:r>
        <w:rPr>
          <w:sz w:val="21"/>
        </w:rPr>
        <w:t>CCC</w:t>
      </w:r>
      <w:r>
        <w:rPr>
          <w:sz w:val="21"/>
        </w:rPr>
        <w:t>认证证书复印件，并以在产品外部加施认证标志作为验收依据之一。</w:t>
      </w:r>
    </w:p>
    <w:p>
      <w:pPr>
        <w:ind w:firstLine="420"/>
        <w:jc w:val="left"/>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ind w:firstLine="420"/>
        <w:jc w:val="left"/>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p>
    <w:p>
      <w:pPr>
        <w:ind w:firstLine="420"/>
        <w:jc w:val="left"/>
      </w:pPr>
      <w:r>
        <w:rPr>
          <w:sz w:val="21"/>
        </w:rPr>
        <w:t>9</w:t>
      </w:r>
      <w:r>
        <w:rPr>
          <w:sz w:val="21"/>
        </w:rPr>
        <w:t>、涉及到软件产品的，必须采购和使用正版软件，项目中涉及计算机办公产品的，必须预装正版操作系统软件。</w:t>
      </w:r>
    </w:p>
    <w:p>
      <w:pPr>
        <w:ind w:firstLine="420"/>
        <w:jc w:val="left"/>
      </w:pPr>
      <w:r>
        <w:rPr>
          <w:sz w:val="21"/>
        </w:rPr>
        <w:t>10</w:t>
      </w:r>
      <w:r>
        <w:rPr>
          <w:sz w:val="21"/>
        </w:rPr>
        <w:t>、投标人没有在投标文件中注明偏离（文字说明或在响应表注明）的参数、配置、条款视为被投标人完全接受。</w:t>
      </w:r>
    </w:p>
    <w:p>
      <w:pPr>
        <w:ind w:firstLine="420"/>
        <w:jc w:val="left"/>
      </w:pPr>
      <w:r>
        <w:rPr>
          <w:sz w:val="21"/>
        </w:rPr>
        <w:t>11</w:t>
      </w:r>
      <w:r>
        <w:rPr>
          <w:sz w:val="21"/>
        </w:rPr>
        <w:t>、投标人应保证，采购人在中华人民共和国使用该货物或货物的任何一部分时，免受第三方提出的侵犯其专利权、商标权、著作权或其它知识产权的起诉。</w:t>
      </w:r>
    </w:p>
    <w:p>
      <w:pPr>
        <w:ind w:firstLine="420"/>
        <w:jc w:val="left"/>
      </w:pPr>
      <w:r>
        <w:rPr>
          <w:sz w:val="21"/>
        </w:rPr>
        <w:t>12</w:t>
      </w:r>
      <w:r>
        <w:rPr>
          <w:sz w:val="21"/>
        </w:rPr>
        <w:t>、如果投标产品是进口产品的，中标供应商协助办理所有的进口手续。</w:t>
      </w:r>
    </w:p>
    <w:p>
      <w:pPr>
        <w:ind w:firstLine="420"/>
        <w:jc w:val="left"/>
      </w:pPr>
      <w:r>
        <w:rPr>
          <w:sz w:val="21"/>
        </w:rPr>
        <w:t>13</w:t>
      </w:r>
      <w:r>
        <w:rPr>
          <w:sz w:val="21"/>
        </w:rPr>
        <w:t>、不允许中标供应商转包、分包</w:t>
      </w:r>
      <w:r>
        <w:rPr>
          <w:sz w:val="21"/>
        </w:rPr>
        <w:t>项目</w:t>
      </w:r>
      <w:r>
        <w:rPr>
          <w:sz w:val="21"/>
        </w:rPr>
        <w:t>内容。</w:t>
      </w:r>
    </w:p>
    <w:p>
      <w:pPr>
        <w:ind w:firstLine="420"/>
        <w:jc w:val="left"/>
      </w:pPr>
      <w:r>
        <w:rPr>
          <w:sz w:val="21"/>
        </w:rPr>
        <w:t>14</w:t>
      </w:r>
      <w:r>
        <w:rPr>
          <w:sz w:val="21"/>
        </w:rPr>
        <w:t>、小型和微型企业、监狱企业和残疾人福利性单位必须按照招标（采购）文件第三章内容提供相应的资料。</w:t>
      </w:r>
    </w:p>
    <w:p>
      <w:pPr>
        <w:ind w:firstLine="420"/>
        <w:jc w:val="left"/>
      </w:pPr>
      <w:r>
        <w:rPr>
          <w:sz w:val="21"/>
        </w:rPr>
        <w:t>15</w:t>
      </w:r>
      <w:r>
        <w:rPr>
          <w:sz w:val="21"/>
        </w:rPr>
        <w:t>、需落实政府采购政策为：促进中小企业发展政策、支持监狱企业发展政策、支持残疾人福利性单位发展政策、优先采购节能产品、环境标志产品相关政策等。</w:t>
      </w:r>
    </w:p>
    <w:p>
      <w:pPr>
        <w:ind w:firstLine="420"/>
        <w:jc w:val="left"/>
      </w:pPr>
      <w:r>
        <w:rPr>
          <w:sz w:val="21"/>
        </w:rPr>
        <w:t>16</w:t>
      </w:r>
      <w:r>
        <w:rPr>
          <w:sz w:val="21"/>
        </w:rPr>
        <w:t>、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p>
    <w:p>
      <w:pPr>
        <w:ind w:firstLine="420"/>
        <w:jc w:val="left"/>
      </w:pPr>
      <w:r>
        <w:rPr>
          <w:sz w:val="21"/>
        </w:rPr>
        <w:t>★</w:t>
      </w:r>
      <w:r>
        <w:rPr>
          <w:sz w:val="21"/>
        </w:rPr>
        <w:t>17</w:t>
      </w:r>
      <w:r>
        <w:rPr>
          <w:sz w:val="21"/>
        </w:rPr>
        <w:t>、投标人非生产厂家或制造商的，且所投产品为中华人民共和国境外提供的货物，须提供投标（响应）产品来源渠道合法的证明文件（原厂授权销售协议、代理协议、授权书、原产地证明等其中之一）。</w:t>
      </w:r>
    </w:p>
    <w:p>
      <w:pPr>
        <w:ind w:firstLine="420"/>
        <w:jc w:val="left"/>
      </w:pPr>
      <w:r>
        <w:rPr>
          <w:sz w:val="21"/>
        </w:rPr>
        <w:t>★</w:t>
      </w:r>
      <w:r>
        <w:rPr>
          <w:sz w:val="21"/>
        </w:rPr>
        <w:t>18</w:t>
      </w:r>
      <w:r>
        <w:rPr>
          <w:sz w:val="21"/>
        </w:rPr>
        <w:t>、本项目所采购“主动脉内球囊反搏泵”为三类医疗器械，投标产品应具备医疗器械注册证（无强制要求的除外，以国家药品监督管理局网上的数据库中查询的数据为准），投标产品生产厂家应具备《医疗器械生产许可证》；投标人若为经销商还须提供《医疗器械经营许可证》（须在投标文件内提供证明文件复印件）。</w:t>
      </w:r>
    </w:p>
    <w:p>
      <w:pPr>
        <w:ind w:firstLine="420"/>
        <w:jc w:val="left"/>
      </w:pPr>
      <w:r>
        <w:rPr>
          <w:sz w:val="21"/>
        </w:rPr>
        <w:t>19</w:t>
      </w:r>
      <w:r>
        <w:rPr>
          <w:sz w:val="21"/>
        </w:rPr>
        <w:t>、本项目符合《政府采购促进中小企业发展管理办法》第六条第（三）项的情形，故本项目不专门面向中小企业。</w:t>
      </w:r>
    </w:p>
    <w:p>
      <w:pPr>
        <w:ind w:firstLine="422"/>
        <w:jc w:val="left"/>
      </w:pPr>
      <w:r>
        <w:rPr>
          <w:b/>
          <w:sz w:val="21"/>
        </w:rPr>
        <w:t>（四）其他说明：</w:t>
      </w:r>
    </w:p>
    <w:p>
      <w:pPr>
        <w:ind w:firstLine="420"/>
        <w:jc w:val="both"/>
      </w:pPr>
      <w:r>
        <w:rPr>
          <w:sz w:val="21"/>
        </w:rPr>
        <w:t>1</w:t>
      </w:r>
      <w:r>
        <w:rPr>
          <w:sz w:val="21"/>
        </w:rPr>
        <w:t>、 本项目开标方式为远程开标。参与全流程云平台采购项目的供应商登录云平台通过</w:t>
      </w:r>
      <w:r>
        <w:rPr>
          <w:sz w:val="21"/>
        </w:rPr>
        <w:t>“</w:t>
      </w:r>
      <w:r>
        <w:rPr>
          <w:sz w:val="21"/>
        </w:rPr>
        <w:t>新供应商开标大厅</w:t>
      </w:r>
      <w:r>
        <w:rPr>
          <w:sz w:val="21"/>
        </w:rPr>
        <w:t>”</w:t>
      </w:r>
      <w:r>
        <w:rPr>
          <w:sz w:val="21"/>
        </w:rPr>
        <w:t>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盘及纸质投标文件前往开标现场进行签到、解密。</w:t>
      </w:r>
    </w:p>
    <w:p>
      <w:pPr>
        <w:ind w:firstLine="420"/>
        <w:jc w:val="both"/>
      </w:pPr>
      <w:r>
        <w:rPr>
          <w:sz w:val="21"/>
        </w:rPr>
        <w:t>2</w:t>
      </w:r>
      <w:r>
        <w:rPr>
          <w:sz w:val="21"/>
        </w:rPr>
        <w:t>、 纸质投标文件邮寄地址（邮寄地址：广州市先烈中路</w:t>
      </w:r>
      <w:r>
        <w:rPr>
          <w:sz w:val="21"/>
        </w:rPr>
        <w:t>100</w:t>
      </w:r>
      <w:r>
        <w:rPr>
          <w:sz w:val="21"/>
        </w:rPr>
        <w:t>号科学院大院</w:t>
      </w:r>
      <w:r>
        <w:rPr>
          <w:sz w:val="21"/>
        </w:rPr>
        <w:t>9</w:t>
      </w:r>
      <w:r>
        <w:rPr>
          <w:sz w:val="21"/>
        </w:rPr>
        <w:t>号楼东座</w:t>
      </w:r>
      <w:r>
        <w:rPr>
          <w:sz w:val="21"/>
        </w:rPr>
        <w:t>2</w:t>
      </w:r>
      <w:r>
        <w:rPr>
          <w:sz w:val="21"/>
        </w:rPr>
        <w:t>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ind w:firstLine="420"/>
        <w:jc w:val="both"/>
      </w:pPr>
      <w:r>
        <w:rPr>
          <w:sz w:val="21"/>
        </w:rPr>
        <w:t>3</w:t>
      </w:r>
      <w:r>
        <w:rPr>
          <w:sz w:val="21"/>
        </w:rPr>
        <w:t>、 供应商电脑需提前安装</w:t>
      </w:r>
      <w:r>
        <w:rPr>
          <w:sz w:val="21"/>
        </w:rPr>
        <w:t>CA</w:t>
      </w:r>
      <w:r>
        <w:rPr>
          <w:sz w:val="21"/>
        </w:rPr>
        <w:t>签章客户端，并运行</w:t>
      </w:r>
      <w:r>
        <w:rPr>
          <w:sz w:val="21"/>
        </w:rPr>
        <w:t>CA</w:t>
      </w:r>
      <w:r>
        <w:rPr>
          <w:sz w:val="21"/>
        </w:rPr>
        <w:t>证书。</w:t>
      </w:r>
    </w:p>
    <w:p>
      <w:pPr>
        <w:ind w:firstLine="420"/>
        <w:jc w:val="both"/>
      </w:pPr>
      <w:r>
        <w:rPr>
          <w:sz w:val="21"/>
        </w:rPr>
        <w:t>4</w:t>
      </w:r>
      <w:r>
        <w:rPr>
          <w:sz w:val="21"/>
        </w:rPr>
        <w:t>、 请各投标人在编制投标文件时注意，涉及到签字或签章的地方，请按要求签字或签章后再上传系统。投标文件加密前请注意所有需要签字、签章、盖章的地方是否齐全无缺漏。请保管好</w:t>
      </w:r>
      <w:r>
        <w:rPr>
          <w:sz w:val="21"/>
        </w:rPr>
        <w:t>CA</w:t>
      </w:r>
      <w:r>
        <w:rPr>
          <w:sz w:val="21"/>
        </w:rPr>
        <w:t>证书的密码，如遗忘，请及时重置，以免影响投标文件的解密。</w:t>
      </w:r>
    </w:p>
    <w:p>
      <w:pPr>
        <w:ind w:firstLine="422"/>
        <w:jc w:val="left"/>
      </w:pPr>
      <w:r>
        <w:rPr>
          <w:b/>
          <w:sz w:val="21"/>
        </w:rPr>
        <w:t>（五）投标报价说明：</w:t>
      </w:r>
    </w:p>
    <w:p>
      <w:pPr>
        <w:ind w:firstLine="420"/>
        <w:jc w:val="left"/>
      </w:pPr>
      <w:r>
        <w:rPr>
          <w:sz w:val="21"/>
        </w:rPr>
        <w:t>投标报价包括：</w:t>
      </w:r>
      <w:r>
        <w:rPr>
          <w:sz w:val="21"/>
        </w:rPr>
        <w:t>设计、设备制造、包装、仓储、运输、安装、保险、验收、</w:t>
      </w:r>
      <w:r>
        <w:rPr>
          <w:sz w:val="21"/>
        </w:rPr>
        <w:t>培训</w:t>
      </w:r>
      <w:r>
        <w:rPr>
          <w:sz w:val="21"/>
        </w:rPr>
        <w:t>及保修期与备品备件发生的所有含税费用</w:t>
      </w:r>
      <w:r>
        <w:rPr>
          <w:sz w:val="21"/>
        </w:rPr>
        <w:t>及合同实施过程中不可预见费用等</w:t>
      </w:r>
      <w:r>
        <w:rPr>
          <w:sz w:val="21"/>
        </w:rPr>
        <w:t>。采购人无须向投标人另外支付任何费用。</w:t>
      </w:r>
    </w:p>
    <w:p>
      <w:pPr>
        <w:jc w:val="both"/>
      </w:pPr>
      <w:r>
        <w:rPr>
          <w:b/>
          <w:sz w:val="21"/>
        </w:rPr>
        <w:t>（六）</w:t>
      </w:r>
      <w:r>
        <w:rPr>
          <w:b/>
          <w:sz w:val="21"/>
        </w:rPr>
        <w:t>实现的功能</w:t>
      </w:r>
    </w:p>
    <w:p>
      <w:pPr>
        <w:ind w:firstLine="422"/>
        <w:jc w:val="left"/>
      </w:pPr>
      <w:r>
        <w:rPr>
          <w:sz w:val="21"/>
        </w:rPr>
        <w:t>用于急症及重症心脏病围术期、急性心梗、心源性休克等病人的支持和保护性措施，提高手术和救治的成功率。</w:t>
      </w:r>
    </w:p>
    <w:p>
      <w:pPr>
        <w:ind w:firstLine="422"/>
        <w:jc w:val="left"/>
      </w:pPr>
      <w:r>
        <w:rPr>
          <w:b/>
          <w:sz w:val="21"/>
        </w:rPr>
        <w:t>（七）需执行国家相关标准、行业标准、地方标准或者其他标准、规范</w:t>
      </w:r>
    </w:p>
    <w:p/>
    <w:p>
      <w:pPr>
        <w:ind w:firstLine="480"/>
      </w:pPr>
    </w:p>
    <w:p/>
    <w:p>
      <w:r>
        <w:rPr/>
        <w:t>采购包1（主动脉内球囊反搏泵）</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自签订合同之日起 90天内。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1期：支付比例100%,合同设备全部到达指定地点交付并完成安装及验收合格，且采购人收到中标供应商开具的等额增值税普通发票及验收表后60日内一次付清全部货款。</w:t>
            </w:r>
          </w:p>
        </w:tc>
      </w:tr>
      <w:tr>
        <w:tc>
          <w:tcPr>
            <w:tcW w:type="dxa" w:w="4153"/>
          </w:tcPr>
          <w:p>
            <w:r>
              <w:rPr/>
              <w:t>验收要求</w:t>
            </w:r>
          </w:p>
        </w:tc>
        <w:tc>
          <w:tcPr>
            <w:tcW w:type="dxa" w:w="4153"/>
          </w:tcPr>
          <w:p/>
          <w:p/>
          <w:p/>
          <w:p>
            <w:r>
              <w:rPr/>
              <w:t>1期：1、合同设备安装、培训，合同配置清单的货物齐全后7日内验收，验收应在双方共同参加下进行。 2、验收按国家有关的规定、规范进行。验收时如发现所交付的设备有短装、次品、损坏或其它不符合合同规定之情形者，采购人应作出详尽的现场记录，或由双方签署备忘录。此现场记录或备忘录可用作补充、缺失和更换损坏部件的有效证据。由此产生的有关费用由中标人承担。 3、成交保证合同项下提供的设备不侵犯任何第三方的专利、商标或版权。否则，成交人须承担对第三方的专利或版权的侵权责任并承担因此而发生的所有费用。  4、技术文件和资料：所有设备必须提供培训资料及电子版使用说明书、操作手册、维护手册、合格证明书、装箱单、保修单等技术文件和资料。 5、如果合同设备运输和安装过程中因事故造成货物短缺、损坏，成交供应商应及时安排换装，以保证合同设备安装的成功完成。换货的相关费用由成交供应商承担。</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（一）包装与运输， 1、设备的包装均应有良好的防湿、防锈、防潮、防雨、防腐及防碰撞的措施。凡由于包装不良造成的损失和由此产生的费用均由中标供应商承担。 2、设备包装有木箱或木架的，请中标供应商在设备安装后把木箱或木架带走，勿丢在采购人医院内，如采购人发现中标供应商有丢弃木箱或木架在医院的，一经核实，采购人有权在支付中标供应商的合同款项中扣减500-1000元。</w:t>
            </w:r>
          </w:p>
          <w:p/>
          <w:p>
            <w:r>
              <w:rPr/>
              <w:t>（二）安装与调试，1、</w:t>
              <w:tab/>
              <w:t>中标供应商必须按项目进度安排计划，派出适当的技术人员到安装现场负责安装和调试工作。在安装施工期间，严格遵守采购人的有关规定。 2、</w:t>
              <w:tab/>
              <w:t>中标供应商必须依照项目采购文件的要求和投标文件的承诺，将设备、系统安装并调试至正常运行的最佳状态。</w:t>
            </w:r>
          </w:p>
          <w:p/>
          <w:p>
            <w:r>
              <w:rPr/>
              <w:t>（三）质量保证期，1、投标人保证合同设备(包括零配件)是全新、未曾使用过的，其质量、规格及技术特征符合合同附件的要求。 2、合同设备保修期为整机原厂保修≥5年（包含维护、保养、所有零配件等），以本项目第一次验收签字之日的一个月后起保（即以《中山大学附属第六医院医疗设备/通用设备安装验收表》中使用科室负责人确认签名之日期一个月后起保）。并提供终身维修服务。保修期内，所有服务及配件全部包含在报价中。“技术标准与要求”中另有要求的，以其中的要求为准。 3、保修期内非因采购人的人为原因而出现产品质量及安装问题，由中标供应商负责包修、包换或包退，并承担因此而产生的一切费用。中标供应商应在收到采购人通知后按照采购人要求派员到现场维修(“技术标准与要求”，以其中的要求为准)。 4、因设备的质量问题而发生争议，由具备资质的第三方质检部门进行质量鉴定。设备符合质量标准的，鉴定费用由采购人承担；设备不符合质量标准的，鉴定费用由中标供应商承担。</w:t>
            </w:r>
          </w:p>
          <w:p/>
          <w:p>
            <w:r>
              <w:rPr/>
              <w:t>（四）售后服务，1、中标供应商需配备充足的技术服务人员提供技术支持。对于设备发生的故障，中标供应商应在接到采购人设备故障报修通知后1小时内响应，4小时内到达现场，48小时内处理完毕。 2、中标供应商负责培训采购人维修人员，主要内容为设备的基本结构、性能、主要部件的构造及修理，日常使用保养与管理，常见故障的排除，紧急情况的处理等，同时培训技术操作人员以下主要内容：仪器的基本原理和构造、计算软件使用方法、日常维护及一般故障排除，直至操作人员熟练使用该仪器，并随时提供技术指导，交流培训地点主要在设备安装现场或按采购人安排，培训费用包含在投标报价之中。</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介/植入诊断和治疗用器械</w:t>
            </w:r>
          </w:p>
        </w:tc>
        <w:tc>
          <w:tcPr>
            <w:tcW w:type="dxa" w:w="831"/>
          </w:tcPr>
          <w:p>
            <w:pPr>
              <w:jc w:val="left"/>
            </w:pPr>
            <w:r>
              <w:rPr/>
              <w:t>主动脉内球囊反搏泵</w:t>
            </w:r>
          </w:p>
        </w:tc>
        <w:tc>
          <w:tcPr>
            <w:tcW w:type="dxa" w:w="831"/>
          </w:tcPr>
          <w:p>
            <w:pPr>
              <w:jc w:val="left"/>
            </w:pPr>
            <w:r>
              <w:rPr/>
              <w:t>台</w:t>
            </w:r>
          </w:p>
        </w:tc>
        <w:tc>
          <w:tcPr>
            <w:tcW w:type="dxa" w:w="831"/>
          </w:tcPr>
          <w:p>
            <w:pPr>
              <w:jc w:val="right"/>
            </w:pPr>
            <w:r>
              <w:rPr/>
              <w:t>1.00</w:t>
            </w:r>
          </w:p>
        </w:tc>
        <w:tc>
          <w:tcPr>
            <w:tcW w:type="dxa" w:w="831"/>
          </w:tcPr>
          <w:p>
            <w:pPr>
              <w:jc w:val="right"/>
            </w:pPr>
            <w:r>
              <w:rPr/>
              <w:t>1,250,000.00</w:t>
            </w:r>
          </w:p>
        </w:tc>
        <w:tc>
          <w:tcPr>
            <w:tcW w:type="dxa" w:w="831"/>
          </w:tcPr>
          <w:p>
            <w:pPr>
              <w:jc w:val="right"/>
            </w:pPr>
            <w:r>
              <w:rPr/>
              <w:t>1,250,000.00</w:t>
            </w:r>
          </w:p>
        </w:tc>
        <w:tc>
          <w:tcPr>
            <w:tcW w:type="dxa" w:w="831"/>
          </w:tcPr>
          <w:p>
            <w:r>
              <w:rPr/>
              <w:t>工业</w:t>
            </w:r>
          </w:p>
        </w:tc>
        <w:tc>
          <w:tcPr>
            <w:tcW w:type="dxa" w:w="831"/>
          </w:tcPr>
          <w:p>
            <w:r>
              <w:rPr/>
              <w:t>详见附表一</w:t>
            </w:r>
          </w:p>
        </w:tc>
      </w:tr>
    </w:tbl>
    <w:p/>
    <w:p>
      <w:r>
        <w:rPr>
          <w:b/>
        </w:rPr>
        <w:t>附表</w:t>
      </w:r>
      <w:r>
        <w:rPr>
          <w:b/>
        </w:rPr>
        <w:t>一</w:t>
      </w:r>
      <w:r>
        <w:rPr>
          <w:b/>
        </w:rPr>
        <w:t>：</w:t>
      </w:r>
      <w:r>
        <w:rPr>
          <w:b/>
        </w:rPr>
        <w:t>主动脉内球囊反搏泵</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20"/>
              <w:jc w:val="both"/>
            </w:pPr>
            <w:r>
              <w:rPr>
                <w:sz w:val="21"/>
              </w:rPr>
              <w:t>1.电源：交流电源、电池供电。</w:t>
            </w:r>
          </w:p>
          <w:p>
            <w:pPr>
              <w:ind w:firstLine="420"/>
              <w:jc w:val="both"/>
            </w:pPr>
            <w:r>
              <w:rPr>
                <w:sz w:val="21"/>
              </w:rPr>
              <w:t>2.电池供电：充满后可工作≥90分钟；充电时间≤4小时（充至≥80%电量）</w:t>
            </w:r>
          </w:p>
          <w:p>
            <w:pPr>
              <w:ind w:firstLine="420"/>
              <w:jc w:val="both"/>
            </w:pPr>
            <w:r>
              <w:rPr>
                <w:sz w:val="21"/>
              </w:rPr>
              <w:t>3.显示器≥12寸触摸屏，中/英文可选。</w:t>
            </w:r>
          </w:p>
          <w:p>
            <w:pPr>
              <w:ind w:firstLine="210"/>
              <w:jc w:val="both"/>
            </w:pPr>
            <w:r>
              <w:rPr>
                <w:sz w:val="21"/>
              </w:rPr>
              <w:t>▲4.波形显示：ECG，AP ，BP波形；ECG可以显示充气间隔；可以显示导管压力。</w:t>
            </w:r>
          </w:p>
          <w:p>
            <w:pPr>
              <w:ind w:firstLine="420"/>
              <w:jc w:val="both"/>
            </w:pPr>
            <w:r>
              <w:rPr>
                <w:sz w:val="21"/>
              </w:rPr>
              <w:t>5.生理数据：包括但不限于心率，被辅助收缩压／舒张压／平均压／反搏压，无辅助收缩压／舒张压／平均压。</w:t>
            </w:r>
          </w:p>
          <w:p>
            <w:pPr>
              <w:ind w:firstLine="420"/>
              <w:jc w:val="both"/>
            </w:pPr>
            <w:r>
              <w:rPr>
                <w:sz w:val="21"/>
              </w:rPr>
              <w:t>6.可以显示导管充气量。</w:t>
            </w:r>
          </w:p>
          <w:p>
            <w:pPr>
              <w:ind w:firstLine="210"/>
              <w:jc w:val="both"/>
            </w:pPr>
            <w:r>
              <w:rPr>
                <w:sz w:val="21"/>
              </w:rPr>
              <w:t>▲7.报警显示：报警信息按照不同颜色分为高级、中级、低级分级显示；文字提示报警信息。</w:t>
            </w:r>
          </w:p>
          <w:p>
            <w:pPr>
              <w:ind w:firstLine="420"/>
              <w:jc w:val="both"/>
            </w:pPr>
            <w:r>
              <w:rPr>
                <w:sz w:val="21"/>
              </w:rPr>
              <w:t>8.工作模式：手动、自动；工作模式转换过程不影响正常反搏；工作模式转换，设备自动保留原有设置。</w:t>
            </w:r>
          </w:p>
          <w:p>
            <w:pPr>
              <w:ind w:firstLine="420"/>
              <w:jc w:val="both"/>
            </w:pPr>
            <w:r>
              <w:rPr>
                <w:sz w:val="21"/>
              </w:rPr>
              <w:t>9.至少7种触发模式：Pattern／Peak/Aifb／起搏器V／A-V／起搏器A／AP，机内设置。</w:t>
            </w:r>
          </w:p>
          <w:p>
            <w:pPr>
              <w:ind w:firstLine="420"/>
              <w:jc w:val="both"/>
            </w:pPr>
            <w:r>
              <w:rPr>
                <w:sz w:val="21"/>
              </w:rPr>
              <w:t>10.实时计算排气速度，评估R波排气安全性。</w:t>
            </w:r>
          </w:p>
          <w:p>
            <w:pPr>
              <w:ind w:firstLine="420"/>
              <w:jc w:val="both"/>
            </w:pPr>
            <w:r>
              <w:rPr>
                <w:sz w:val="21"/>
              </w:rPr>
              <w:t>11.≥4种辅助频率，至少包含1:1、1:2、1:4、1:8。</w:t>
            </w:r>
          </w:p>
          <w:p>
            <w:pPr>
              <w:ind w:firstLine="420"/>
              <w:jc w:val="both"/>
            </w:pPr>
            <w:r>
              <w:rPr>
                <w:sz w:val="21"/>
              </w:rPr>
              <w:t>12.反搏频率</w:t>
            </w:r>
            <w:r>
              <w:rPr>
                <w:sz w:val="21"/>
              </w:rPr>
              <w:t>≥</w:t>
            </w:r>
            <w:r>
              <w:rPr>
                <w:sz w:val="21"/>
              </w:rPr>
              <w:t>200次／分钟。</w:t>
            </w:r>
          </w:p>
          <w:p>
            <w:pPr>
              <w:ind w:firstLine="420"/>
              <w:jc w:val="both"/>
            </w:pPr>
            <w:r>
              <w:rPr>
                <w:sz w:val="21"/>
              </w:rPr>
              <w:t>13.反搏容量范围：0-50毫升，可精确调整，调整精度</w:t>
            </w:r>
            <w:r>
              <w:rPr>
                <w:sz w:val="21"/>
              </w:rPr>
              <w:t>≤</w:t>
            </w:r>
            <w:r>
              <w:rPr>
                <w:sz w:val="21"/>
              </w:rPr>
              <w:t>0.5毫升。</w:t>
            </w:r>
          </w:p>
          <w:p>
            <w:pPr>
              <w:ind w:firstLine="420"/>
              <w:jc w:val="both"/>
            </w:pPr>
            <w:r>
              <w:rPr>
                <w:sz w:val="21"/>
              </w:rPr>
              <w:t>14.可以在体外调零光纤压力信号。</w:t>
            </w:r>
          </w:p>
          <w:p>
            <w:pPr>
              <w:ind w:firstLine="420"/>
              <w:jc w:val="both"/>
            </w:pPr>
            <w:r>
              <w:rPr>
                <w:sz w:val="21"/>
              </w:rPr>
              <w:t>15.可以显示并打印记录全部反搏相关的患者信息。</w:t>
            </w:r>
          </w:p>
          <w:p>
            <w:pPr>
              <w:ind w:firstLine="420"/>
              <w:jc w:val="both"/>
            </w:pPr>
            <w:r>
              <w:rPr>
                <w:sz w:val="21"/>
              </w:rPr>
              <w:t>16.开机自检清单:清单式提示功能自检结果。</w:t>
            </w:r>
          </w:p>
          <w:p>
            <w:pPr>
              <w:ind w:firstLine="420"/>
              <w:jc w:val="both"/>
            </w:pPr>
            <w:r>
              <w:rPr>
                <w:sz w:val="21"/>
              </w:rPr>
              <w:t>17.报警历史记录：可以显示并打印最近至少100次报警。</w:t>
            </w:r>
          </w:p>
          <w:p>
            <w:pPr>
              <w:ind w:firstLine="210"/>
              <w:jc w:val="both"/>
            </w:pPr>
            <w:r>
              <w:rPr>
                <w:sz w:val="21"/>
              </w:rPr>
              <w:t>▲18.除水：至少每20分钟一次；自动完成，不影响正常辅助。</w:t>
            </w:r>
          </w:p>
          <w:p>
            <w:pPr>
              <w:ind w:firstLine="420"/>
              <w:jc w:val="both"/>
            </w:pPr>
            <w:r>
              <w:rPr>
                <w:sz w:val="21"/>
              </w:rPr>
              <w:t>19.配置要求</w:t>
            </w:r>
          </w:p>
          <w:tbl>
            <w:tblPr>
              <w:tblInd w:type="dxa" w:w="135"/>
              <w:tblBorders>
                <w:top w:val="none" w:color="000000" w:sz="4"/>
                <w:left w:val="none" w:color="000000" w:sz="4"/>
                <w:bottom w:val="none" w:color="000000" w:sz="4"/>
                <w:right w:val="none" w:color="000000" w:sz="4"/>
                <w:insideH w:val="none"/>
                <w:insideV w:val="none"/>
              </w:tblBorders>
            </w:tblPr>
            <w:tblGrid>
              <w:gridCol w:w="594"/>
              <w:gridCol w:w="2904"/>
              <w:gridCol w:w="1049"/>
              <w:gridCol w:w="1049"/>
            </w:tblGrid>
            <w:tr>
              <w:tc>
                <w:tcPr>
                  <w:tcW w:type="dxa" w:w="594"/>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904"/>
                  <w:tcBorders>
                    <w:top w:val="single" w:color="000000" w:sz="4"/>
                    <w:left w:val="none" w:color="000000" w:sz="4"/>
                    <w:bottom w:val="single" w:color="000000" w:sz="4"/>
                    <w:right w:val="single" w:color="000000" w:sz="4"/>
                  </w:tcBorders>
                  <w:vAlign w:val="top"/>
                </w:tcPr>
                <w:p>
                  <w:pPr>
                    <w:jc w:val="center"/>
                  </w:pPr>
                  <w:r>
                    <w:rPr>
                      <w:sz w:val="21"/>
                    </w:rPr>
                    <w:t>名称</w:t>
                  </w:r>
                </w:p>
              </w:tc>
              <w:tc>
                <w:tcPr>
                  <w:tcW w:type="dxa" w:w="1049"/>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1049"/>
                  <w:tcBorders>
                    <w:top w:val="single" w:color="000000" w:sz="4"/>
                    <w:left w:val="none" w:color="000000" w:sz="4"/>
                    <w:bottom w:val="single" w:color="000000" w:sz="4"/>
                    <w:right w:val="single" w:color="000000" w:sz="4"/>
                  </w:tcBorders>
                  <w:vAlign w:val="top"/>
                </w:tcPr>
                <w:p>
                  <w:pPr>
                    <w:jc w:val="center"/>
                  </w:pPr>
                  <w:r>
                    <w:rPr>
                      <w:sz w:val="21"/>
                    </w:rPr>
                    <w:t>数量</w:t>
                  </w:r>
                </w:p>
              </w:tc>
            </w:tr>
            <w:tr>
              <w:tc>
                <w:tcPr>
                  <w:tcW w:type="dxa" w:w="59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904"/>
                  <w:tcBorders>
                    <w:top w:val="none" w:color="000000" w:sz="4"/>
                    <w:left w:val="none" w:color="000000" w:sz="4"/>
                    <w:bottom w:val="single" w:color="000000" w:sz="4"/>
                    <w:right w:val="single" w:color="000000" w:sz="4"/>
                  </w:tcBorders>
                  <w:vAlign w:val="top"/>
                </w:tcPr>
                <w:p>
                  <w:pPr>
                    <w:jc w:val="center"/>
                  </w:pPr>
                  <w:r>
                    <w:rPr>
                      <w:sz w:val="21"/>
                    </w:rPr>
                    <w:t>主机</w:t>
                  </w:r>
                </w:p>
              </w:tc>
              <w:tc>
                <w:tcPr>
                  <w:tcW w:type="dxa" w:w="1049"/>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04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59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904"/>
                  <w:tcBorders>
                    <w:top w:val="none" w:color="000000" w:sz="4"/>
                    <w:left w:val="none" w:color="000000" w:sz="4"/>
                    <w:bottom w:val="single" w:color="000000" w:sz="4"/>
                    <w:right w:val="single" w:color="000000" w:sz="4"/>
                  </w:tcBorders>
                  <w:vAlign w:val="top"/>
                </w:tcPr>
                <w:p>
                  <w:pPr>
                    <w:jc w:val="center"/>
                  </w:pPr>
                  <w:r>
                    <w:rPr>
                      <w:sz w:val="21"/>
                    </w:rPr>
                    <w:t>静脉输液架</w:t>
                  </w:r>
                </w:p>
              </w:tc>
              <w:tc>
                <w:tcPr>
                  <w:tcW w:type="dxa" w:w="1049"/>
                  <w:tcBorders>
                    <w:top w:val="none" w:color="000000" w:sz="4"/>
                    <w:left w:val="none" w:color="000000" w:sz="4"/>
                    <w:bottom w:val="single" w:color="000000" w:sz="4"/>
                    <w:right w:val="single" w:color="000000" w:sz="4"/>
                  </w:tcBorders>
                  <w:vAlign w:val="top"/>
                </w:tcPr>
                <w:p>
                  <w:pPr>
                    <w:jc w:val="center"/>
                  </w:pPr>
                  <w:r>
                    <w:rPr>
                      <w:sz w:val="21"/>
                    </w:rPr>
                    <w:t>个</w:t>
                  </w:r>
                </w:p>
              </w:tc>
              <w:tc>
                <w:tcPr>
                  <w:tcW w:type="dxa" w:w="1049"/>
                  <w:tcBorders>
                    <w:top w:val="none" w:color="000000" w:sz="4"/>
                    <w:left w:val="none" w:color="000000" w:sz="4"/>
                    <w:bottom w:val="single" w:color="000000" w:sz="4"/>
                    <w:right w:val="single" w:color="000000" w:sz="4"/>
                  </w:tcBorders>
                  <w:vAlign w:val="top"/>
                </w:tcPr>
                <w:p>
                  <w:pPr>
                    <w:jc w:val="center"/>
                  </w:pPr>
                  <w:r>
                    <w:rPr>
                      <w:sz w:val="21"/>
                    </w:rPr>
                    <w:t>1</w:t>
                  </w:r>
                </w:p>
              </w:tc>
            </w:tr>
            <w:tr>
              <w:tc>
                <w:tcPr>
                  <w:tcW w:type="dxa" w:w="59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904"/>
                  <w:tcBorders>
                    <w:top w:val="none" w:color="000000" w:sz="4"/>
                    <w:left w:val="none" w:color="000000" w:sz="4"/>
                    <w:bottom w:val="single" w:color="000000" w:sz="4"/>
                    <w:right w:val="single" w:color="000000" w:sz="4"/>
                  </w:tcBorders>
                  <w:vAlign w:val="top"/>
                </w:tcPr>
                <w:p>
                  <w:pPr>
                    <w:jc w:val="center"/>
                  </w:pPr>
                  <w:r>
                    <w:rPr>
                      <w:sz w:val="21"/>
                    </w:rPr>
                    <w:t>氦气罐</w:t>
                  </w:r>
                </w:p>
              </w:tc>
              <w:tc>
                <w:tcPr>
                  <w:tcW w:type="dxa" w:w="1049"/>
                  <w:tcBorders>
                    <w:top w:val="none" w:color="000000" w:sz="4"/>
                    <w:left w:val="none" w:color="000000" w:sz="4"/>
                    <w:bottom w:val="single" w:color="000000" w:sz="4"/>
                    <w:right w:val="single" w:color="000000" w:sz="4"/>
                  </w:tcBorders>
                  <w:vAlign w:val="top"/>
                </w:tcPr>
                <w:p>
                  <w:pPr>
                    <w:jc w:val="center"/>
                  </w:pPr>
                  <w:r>
                    <w:rPr>
                      <w:sz w:val="21"/>
                    </w:rPr>
                    <w:t>个</w:t>
                  </w:r>
                </w:p>
              </w:tc>
              <w:tc>
                <w:tcPr>
                  <w:tcW w:type="dxa" w:w="1049"/>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59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904"/>
                  <w:tcBorders>
                    <w:top w:val="none" w:color="000000" w:sz="4"/>
                    <w:left w:val="none" w:color="000000" w:sz="4"/>
                    <w:bottom w:val="single" w:color="000000" w:sz="4"/>
                    <w:right w:val="single" w:color="000000" w:sz="4"/>
                  </w:tcBorders>
                  <w:vAlign w:val="top"/>
                </w:tcPr>
                <w:p>
                  <w:pPr>
                    <w:jc w:val="center"/>
                  </w:pPr>
                  <w:r>
                    <w:rPr>
                      <w:sz w:val="21"/>
                    </w:rPr>
                    <w:t>主动脉内球囊导管及附件</w:t>
                  </w:r>
                </w:p>
              </w:tc>
              <w:tc>
                <w:tcPr>
                  <w:tcW w:type="dxa" w:w="1049"/>
                  <w:tcBorders>
                    <w:top w:val="none" w:color="000000" w:sz="4"/>
                    <w:left w:val="none" w:color="000000" w:sz="4"/>
                    <w:bottom w:val="single" w:color="000000" w:sz="4"/>
                    <w:right w:val="single" w:color="000000" w:sz="4"/>
                  </w:tcBorders>
                  <w:vAlign w:val="top"/>
                </w:tcPr>
                <w:p>
                  <w:pPr>
                    <w:jc w:val="center"/>
                  </w:pPr>
                  <w:r>
                    <w:rPr>
                      <w:sz w:val="21"/>
                    </w:rPr>
                    <w:t>套</w:t>
                  </w:r>
                </w:p>
              </w:tc>
              <w:tc>
                <w:tcPr>
                  <w:tcW w:type="dxa" w:w="1049"/>
                  <w:tcBorders>
                    <w:top w:val="none" w:color="000000" w:sz="4"/>
                    <w:left w:val="none" w:color="000000" w:sz="4"/>
                    <w:bottom w:val="single" w:color="000000" w:sz="4"/>
                    <w:right w:val="single" w:color="000000" w:sz="4"/>
                  </w:tcBorders>
                  <w:vAlign w:val="top"/>
                </w:tcPr>
                <w:p>
                  <w:pPr>
                    <w:jc w:val="center"/>
                  </w:pPr>
                  <w:r>
                    <w:rPr>
                      <w:sz w:val="21"/>
                    </w:rPr>
                    <w:t>≥1</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中山大学附属第六医院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差额定率累进法收费：以中标金额作为采购代理服务费的计算基数。参照中华人民共和国国家发展计划委员会颁发的计价格〔2002〕1980号、发改办价格〔2003〕857号及发改价格〔2011〕534号文规定的“货物类”计费标准的65%计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李国晨、陈蔚</w:t>
      </w:r>
    </w:p>
    <w:p>
      <w:pPr>
        <w:ind w:firstLine="480"/>
      </w:pPr>
      <w:r>
        <w:rPr/>
        <w:t>电话：</w:t>
      </w:r>
      <w:r>
        <w:rPr/>
        <w:t>020-31603842、020-87688049</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采购包1(主动脉内球囊反搏泵)：综合评分法,是指投标文件满足招标文件全部实质性要求，且按照评审因素的量化指标评审得分最高的投标人为中标候选人的评标方法。（最低报价不是中标的唯一依据。）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采购包1（主动脉内球囊反搏泵）：</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响应供应商）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采购包1（主动脉内球囊反搏泵）：</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项目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w:t>
            </w:r>
          </w:p>
        </w:tc>
        <w:tc>
          <w:tcPr>
            <w:tcW w:type="dxa" w:w="4238"/>
          </w:tcPr>
          <w:p>
            <w:r>
              <w:rPr/>
              <w:t>本项目不接受联合体投标，不允许分包、转包。</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采购包1（主动脉内球囊反搏泵）：</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采购包1(主动脉内球囊反搏泵):</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重要技术参数的响应情况  (15.0分)</w:t>
            </w:r>
          </w:p>
        </w:tc>
        <w:tc>
          <w:tcPr>
            <w:tcW w:type="dxa" w:w="5076"/>
          </w:tcPr>
          <w:p>
            <w:pPr>
              <w:jc w:val="left"/>
            </w:pPr>
            <w:r>
              <w:rPr/>
              <w:t>根据各投标人相应所投产品对《采购需求》中“技术标准与要求”的附表中标注“▲”的重要技术参数的响应情况进行评审：（共3项） 标注“▲”的重要技术参数，该项为“正偏离”或“符合”或“无偏离”的，该项得5分；响应为“负偏离”的，该项不得分。最高得15分。  备注：如采购需求中有明确要求提供的证明资料，则以采购需求中要求的为准，无或未按要求提供证明材料的不得分；如采购需求中无明确要求证明材料的，则需提供货物制造商公开发布的印刷资料或产品说明书或相应技术参数的厂家证明资料或第三方检测机构出具的检测报告，加盖投标人公章作为证明材料，无或未按要求提供证明材料的不得分。</w:t>
            </w:r>
          </w:p>
        </w:tc>
      </w:tr>
      <w:tr>
        <w:tc>
          <w:tcPr>
            <w:tcW w:type="dxa" w:w="922"/>
            <w:gridSpan w:val="2"/>
            <w:vMerge/>
          </w:tcPr>
          <w:p/>
        </w:tc>
        <w:tc>
          <w:tcPr>
            <w:tcW w:type="dxa" w:w="2307"/>
          </w:tcPr>
          <w:p>
            <w:pPr>
              <w:jc w:val="left"/>
            </w:pPr>
            <w:r>
              <w:rPr/>
              <w:t>一般技术参数的响应情况  (16.0分)</w:t>
            </w:r>
          </w:p>
        </w:tc>
        <w:tc>
          <w:tcPr>
            <w:tcW w:type="dxa" w:w="5076"/>
          </w:tcPr>
          <w:p>
            <w:pPr>
              <w:jc w:val="left"/>
            </w:pPr>
            <w:r>
              <w:rPr/>
              <w:t>根据各投标人相应所投产品对《第二章 采购需求》中 “技术标准与要求”的附表中未标注“★”或“▲”的一般技术参数的响应情况进行评审：（共16项） 一般技术参数，该项为“正偏离”或“符合”或“无偏离”的，该项得1分；响应为“负偏离”的，该项不得分。最高得16分。  备注：如采购需求中有明确提供的证明资料，则以采购需求中要求的为准，无或未按要求提供证明材料的不得分；如采购需求中无明确证明材料的，以投标人投标文件中的《技术和服务要求响应表》中的响应情况填写内容为准，未填写的或不响应的视为负偏离。 (按以下原则计算条款项数：①“配置要求”视为 1 项。②有多级序号的，细化到最末级序号。无多级序号的，则一个序号为 1项条款。)</w:t>
            </w:r>
          </w:p>
        </w:tc>
      </w:tr>
      <w:tr>
        <w:tc>
          <w:tcPr>
            <w:tcW w:type="dxa" w:w="922"/>
            <w:gridSpan w:val="2"/>
            <w:vMerge/>
          </w:tcPr>
          <w:p/>
        </w:tc>
        <w:tc>
          <w:tcPr>
            <w:tcW w:type="dxa" w:w="2307"/>
          </w:tcPr>
          <w:p>
            <w:pPr>
              <w:jc w:val="left"/>
            </w:pPr>
            <w:r>
              <w:rPr/>
              <w:t>投标货物技术先进性和可靠性（一） (0.5分)</w:t>
            </w:r>
          </w:p>
        </w:tc>
        <w:tc>
          <w:tcPr>
            <w:tcW w:type="dxa" w:w="5076"/>
          </w:tcPr>
          <w:p>
            <w:pPr>
              <w:jc w:val="left"/>
            </w:pPr>
            <w:r>
              <w:rPr/>
              <w:t>评标委员会根据投标人提供的投标货物技术先进性和可靠性进行评审，内容应包括（投标文件中方案标题应以下列方案名称命名） （1）使用的材料； （2）配套设备； （3）生产技术。 注：提供全部内容得0.5分。</w:t>
            </w:r>
          </w:p>
        </w:tc>
      </w:tr>
      <w:tr>
        <w:tc>
          <w:tcPr>
            <w:tcW w:type="dxa" w:w="922"/>
            <w:gridSpan w:val="2"/>
            <w:vMerge/>
          </w:tcPr>
          <w:p/>
        </w:tc>
        <w:tc>
          <w:tcPr>
            <w:tcW w:type="dxa" w:w="2307"/>
          </w:tcPr>
          <w:p>
            <w:pPr>
              <w:jc w:val="left"/>
            </w:pPr>
            <w:r>
              <w:rPr/>
              <w:t>投标货物技术先进性和可靠性（二） (9.0分)</w:t>
            </w:r>
          </w:p>
        </w:tc>
        <w:tc>
          <w:tcPr>
            <w:tcW w:type="dxa" w:w="5076"/>
          </w:tcPr>
          <w:p>
            <w:pPr>
              <w:jc w:val="left"/>
            </w:pPr>
            <w:r>
              <w:rPr/>
              <w:t>根据各投标人投标货物的技术先进性和可靠性进行综合评价： （1）投标货物使用的材料、配套设备、生产技术先进、可靠性强，得9分； （2）投标货物使用的材料、配套设备、生产技术较先进、可靠性较强，得7分； （3）投标货物使用的材料、配套设备、生产技术一般、可靠性一般，得4分； （4）投标货物使用的材料、配套设备、生产技术较落后、可靠性较低，得1分； （5）无相关内容的，不得分。</w:t>
            </w:r>
          </w:p>
        </w:tc>
      </w:tr>
      <w:tr>
        <w:tc>
          <w:tcPr>
            <w:tcW w:type="dxa" w:w="922"/>
            <w:gridSpan w:val="2"/>
            <w:vMerge/>
          </w:tcPr>
          <w:p/>
        </w:tc>
        <w:tc>
          <w:tcPr>
            <w:tcW w:type="dxa" w:w="2307"/>
          </w:tcPr>
          <w:p>
            <w:pPr>
              <w:jc w:val="left"/>
            </w:pPr>
            <w:r>
              <w:rPr/>
              <w:t>质量保证方案（一） (0.5分)</w:t>
            </w:r>
          </w:p>
        </w:tc>
        <w:tc>
          <w:tcPr>
            <w:tcW w:type="dxa" w:w="5076"/>
          </w:tcPr>
          <w:p>
            <w:pPr>
              <w:jc w:val="left"/>
            </w:pPr>
            <w:r>
              <w:rPr/>
              <w:t>评标委员会根据投标人提供的质量保证方案进行评审，方案应包括（投标文件中方案标题应以下列方案名称命名）： （1）质量保障措施； （2）生产企业的技术支持； （3）质量目标实现所需配套资源。 注：提供全部内容得0.5分。</w:t>
            </w:r>
          </w:p>
        </w:tc>
      </w:tr>
      <w:tr>
        <w:tc>
          <w:tcPr>
            <w:tcW w:type="dxa" w:w="922"/>
            <w:gridSpan w:val="2"/>
            <w:vMerge/>
          </w:tcPr>
          <w:p/>
        </w:tc>
        <w:tc>
          <w:tcPr>
            <w:tcW w:type="dxa" w:w="2307"/>
          </w:tcPr>
          <w:p>
            <w:pPr>
              <w:jc w:val="left"/>
            </w:pPr>
            <w:r>
              <w:rPr/>
              <w:t>质量保证方案（二） (9.0分)</w:t>
            </w:r>
          </w:p>
        </w:tc>
        <w:tc>
          <w:tcPr>
            <w:tcW w:type="dxa" w:w="5076"/>
          </w:tcPr>
          <w:p>
            <w:pPr>
              <w:jc w:val="left"/>
            </w:pPr>
            <w:r>
              <w:rPr/>
              <w:t>根据各投标人提供的质量保证方案进行综合评价： （1）针对本项目的质量保证方案详细具体，可行性强，针对性强，得9分； （2）针对本项目的质量保证方案较详细具体，可行性较强，有较强的针对性，得6分； （3）针对本项目的质量保证方案基本完整，可行性一般，针对性一般，得3分； （4）针对本项目的质量保证方案不够详细具体，可行性较差，针对性较差，得1分； （5）未提供相关方案的，不得分。</w:t>
            </w:r>
          </w:p>
        </w:tc>
      </w:tr>
      <w:tr>
        <w:tc>
          <w:tcPr>
            <w:tcW w:type="dxa" w:w="922"/>
            <w:gridSpan w:val="2"/>
            <w:vMerge w:val="restart"/>
          </w:tcPr>
          <w:p>
            <w:pPr>
              <w:jc w:val="center"/>
            </w:pPr>
            <w:r>
              <w:rPr/>
              <w:t>商务部分</w:t>
            </w:r>
          </w:p>
        </w:tc>
        <w:tc>
          <w:tcPr>
            <w:tcW w:type="dxa" w:w="2307"/>
          </w:tcPr>
          <w:p>
            <w:pPr>
              <w:jc w:val="left"/>
            </w:pPr>
            <w:r>
              <w:rPr/>
              <w:t>投标人2020年1月1日至今同类业绩经验  (5.0分)</w:t>
            </w:r>
          </w:p>
        </w:tc>
        <w:tc>
          <w:tcPr>
            <w:tcW w:type="dxa" w:w="5076"/>
          </w:tcPr>
          <w:p>
            <w:pPr>
              <w:jc w:val="left"/>
            </w:pPr>
            <w:r>
              <w:rPr/>
              <w:t>投标人自2020年1月1日至今（以签订日期为准）签订的与本次投标货物同类型货物业绩：每提供一个符合要求的同类业绩得1分，最高得5分。 本项最高得5分。 注：需提供合同关键页（含签订合同双方的单位名称、合同项目名称、合同清单签订合同双方的落款盖章、签订日期的关键页）复印件作为同类业绩评价证明资料。</w:t>
            </w:r>
          </w:p>
        </w:tc>
      </w:tr>
      <w:tr>
        <w:tc>
          <w:tcPr>
            <w:tcW w:type="dxa" w:w="922"/>
            <w:gridSpan w:val="2"/>
            <w:vMerge/>
          </w:tcPr>
          <w:p/>
        </w:tc>
        <w:tc>
          <w:tcPr>
            <w:tcW w:type="dxa" w:w="2307"/>
          </w:tcPr>
          <w:p>
            <w:pPr>
              <w:jc w:val="left"/>
            </w:pPr>
            <w:r>
              <w:rPr/>
              <w:t>商务条款响应程度 (2.0分)</w:t>
            </w:r>
          </w:p>
        </w:tc>
        <w:tc>
          <w:tcPr>
            <w:tcW w:type="dxa" w:w="5076"/>
          </w:tcPr>
          <w:p>
            <w:pPr>
              <w:jc w:val="left"/>
            </w:pPr>
            <w:r>
              <w:rPr/>
              <w:t>根据投标人对采购需求主要商务要求条款的响应程度进行评分：每项中所有条款完全满足或优于的得0.5分，最高得2分；每项中有负偏离条款的，该项不得分。  注：本项目主要商务要求条款共4项，分别为“标的提供的时间”、“标的提供的地点”、“验收要求”及“其他”。</w:t>
            </w:r>
          </w:p>
        </w:tc>
      </w:tr>
      <w:tr>
        <w:tc>
          <w:tcPr>
            <w:tcW w:type="dxa" w:w="922"/>
            <w:gridSpan w:val="2"/>
            <w:vMerge/>
          </w:tcPr>
          <w:p/>
        </w:tc>
        <w:tc>
          <w:tcPr>
            <w:tcW w:type="dxa" w:w="2307"/>
          </w:tcPr>
          <w:p>
            <w:pPr>
              <w:jc w:val="left"/>
            </w:pPr>
            <w:r>
              <w:rPr/>
              <w:t>售后服务方案（一） (0.5分)</w:t>
            </w:r>
          </w:p>
        </w:tc>
        <w:tc>
          <w:tcPr>
            <w:tcW w:type="dxa" w:w="5076"/>
          </w:tcPr>
          <w:p>
            <w:pPr>
              <w:jc w:val="left"/>
            </w:pPr>
            <w:r>
              <w:rPr/>
              <w:t>评标委员会根据投标人提供的售后服务方案进行评审，方案应包括（投标文件中方案标题应以下列方案名称命名）： （1）售后服务计划； （2）维护保养方式； （3）应急保障措施。 注：提供全部内容得0.5分。</w:t>
            </w:r>
          </w:p>
        </w:tc>
      </w:tr>
      <w:tr>
        <w:tc>
          <w:tcPr>
            <w:tcW w:type="dxa" w:w="922"/>
            <w:gridSpan w:val="2"/>
            <w:vMerge/>
          </w:tcPr>
          <w:p/>
        </w:tc>
        <w:tc>
          <w:tcPr>
            <w:tcW w:type="dxa" w:w="2307"/>
          </w:tcPr>
          <w:p>
            <w:pPr>
              <w:jc w:val="left"/>
            </w:pPr>
            <w:r>
              <w:rPr/>
              <w:t>售后服务方案（二） (6.0分)</w:t>
            </w:r>
          </w:p>
        </w:tc>
        <w:tc>
          <w:tcPr>
            <w:tcW w:type="dxa" w:w="5076"/>
          </w:tcPr>
          <w:p>
            <w:pPr>
              <w:jc w:val="left"/>
            </w:pPr>
            <w:r>
              <w:rPr/>
              <w:t>根据投标人的售后服务方案进行评审：  （1）有详细、合理、切合采购需求的售后服务方案的，得6分；  （2）有较详细、基本合理可行的、较符合采购需求的售后服务方案的，得3分；  （3）提供的售后服务方案粗略简单，得1分；  （4）不提供售后服务方案者不得分。</w:t>
            </w:r>
          </w:p>
        </w:tc>
      </w:tr>
      <w:tr>
        <w:tc>
          <w:tcPr>
            <w:tcW w:type="dxa" w:w="922"/>
            <w:gridSpan w:val="2"/>
            <w:vMerge/>
          </w:tcPr>
          <w:p/>
        </w:tc>
        <w:tc>
          <w:tcPr>
            <w:tcW w:type="dxa" w:w="2307"/>
          </w:tcPr>
          <w:p>
            <w:pPr>
              <w:jc w:val="left"/>
            </w:pPr>
            <w:r>
              <w:rPr/>
              <w:t>安装调试验收方案（一） (0.5分)</w:t>
            </w:r>
          </w:p>
        </w:tc>
        <w:tc>
          <w:tcPr>
            <w:tcW w:type="dxa" w:w="5076"/>
          </w:tcPr>
          <w:p>
            <w:pPr>
              <w:jc w:val="left"/>
            </w:pPr>
            <w:r>
              <w:rPr/>
              <w:t>评标委员会根据投标人提供的安装调试验收方案进行评审，方案应包括（投标文件中方案标题应以下列方案名称命名）： （1）安装调试人员安排； （2）安装调试计划、流程； （3）安装调试执行方案。 注：提供全部内容得0.5分。</w:t>
            </w:r>
          </w:p>
        </w:tc>
      </w:tr>
      <w:tr>
        <w:tc>
          <w:tcPr>
            <w:tcW w:type="dxa" w:w="922"/>
            <w:gridSpan w:val="2"/>
            <w:vMerge/>
          </w:tcPr>
          <w:p/>
        </w:tc>
        <w:tc>
          <w:tcPr>
            <w:tcW w:type="dxa" w:w="2307"/>
          </w:tcPr>
          <w:p>
            <w:pPr>
              <w:jc w:val="left"/>
            </w:pPr>
            <w:r>
              <w:rPr/>
              <w:t>安装调试验收方案（二） (6.0分)</w:t>
            </w:r>
          </w:p>
        </w:tc>
        <w:tc>
          <w:tcPr>
            <w:tcW w:type="dxa" w:w="5076"/>
          </w:tcPr>
          <w:p>
            <w:pPr>
              <w:jc w:val="left"/>
            </w:pPr>
            <w:r>
              <w:rPr/>
              <w:t>根据投标人提供的安装调试验收方案进行综合评审：  （1）提供的安装调试验收方案详细，流程清晰合理，能根据货物交付时间节点，落实送货的详细安装时间和技术人员安排，整体方案优于或满足采购需求的得6分；  （2）提供的安装调试验收方案较详细，流程较合理，较能根据货物交付时间节点，落实送货的安装时间和技术人员安排，整体方案基本满足采购需求的得3分；  （3）提供的安装调试验收方案较简单，流程基本合理，不能根据货物交付时间节点，落实送货的详细安装时间和人员安排，整体方案部分满足采购需求的得1分；  （4）其他或不提供完整安装调试验收方案者不得分。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候选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r>
        <w:rPr>
          <w:b/>
          <w:sz w:val="21"/>
        </w:rPr>
        <w:t>注： 合同具体事项须根据采购文件的约定及乙方投标文件的承诺执行；</w:t>
      </w:r>
    </w:p>
    <w:p>
      <w:pPr>
        <w:jc w:val="center"/>
      </w:pPr>
      <w:r>
        <w:rPr>
          <w:b/>
          <w:sz w:val="28"/>
        </w:rPr>
        <w:t>采购合同</w:t>
      </w:r>
    </w:p>
    <w:p>
      <w:pPr>
        <w:jc w:val="center"/>
      </w:pPr>
      <w:r>
        <w:rPr/>
        <w:t xml:space="preserve"> </w:t>
      </w:r>
    </w:p>
    <w:p>
      <w:pPr>
        <w:jc w:val="center"/>
      </w:pPr>
      <w:r>
        <w:rPr>
          <w:b/>
          <w:sz w:val="24"/>
        </w:rPr>
        <w:t>（合同版式为参考模板，合同签订双方可依据项目的具体要求进行修订）</w:t>
      </w:r>
    </w:p>
    <w:p>
      <w:r>
        <w:rPr/>
        <w:t xml:space="preserve"> </w:t>
      </w:r>
    </w:p>
    <w:p>
      <w:pPr>
        <w:ind w:firstLine="561"/>
        <w:jc w:val="both"/>
      </w:pPr>
    </w:p>
    <w:p>
      <w:pPr>
        <w:jc w:val="center"/>
      </w:pPr>
      <w:r>
        <w:rPr>
          <w:b/>
          <w:sz w:val="21"/>
        </w:rPr>
        <w:t xml:space="preserve">                    </w:t>
      </w:r>
      <w:r>
        <w:rPr>
          <w:sz w:val="21"/>
        </w:rPr>
        <w:t>合同编号：</w:t>
      </w:r>
    </w:p>
    <w:p>
      <w:pPr>
        <w:jc w:val="both"/>
      </w:pPr>
      <w:r>
        <w:rPr>
          <w:b/>
          <w:sz w:val="21"/>
        </w:rPr>
        <w:t>甲</w:t>
      </w:r>
      <w:r>
        <w:rPr>
          <w:b/>
          <w:sz w:val="21"/>
        </w:rPr>
        <w:t xml:space="preserve"> </w:t>
      </w:r>
      <w:r>
        <w:rPr>
          <w:b/>
          <w:sz w:val="21"/>
        </w:rPr>
        <w:t>方：中山大学附属第六医院</w:t>
      </w:r>
      <w:r>
        <w:rPr>
          <w:b/>
          <w:sz w:val="21"/>
        </w:rPr>
        <w:t xml:space="preserve">     </w:t>
      </w:r>
    </w:p>
    <w:p>
      <w:pPr>
        <w:jc w:val="both"/>
      </w:pPr>
      <w:r>
        <w:rPr>
          <w:b/>
          <w:sz w:val="21"/>
        </w:rPr>
        <w:t>乙</w:t>
      </w:r>
      <w:r>
        <w:rPr>
          <w:b/>
          <w:sz w:val="21"/>
        </w:rPr>
        <w:t xml:space="preserve"> </w:t>
      </w:r>
      <w:r>
        <w:rPr>
          <w:b/>
          <w:sz w:val="21"/>
        </w:rPr>
        <w:t>方：</w:t>
      </w:r>
    </w:p>
    <w:p>
      <w:pPr>
        <w:jc w:val="both"/>
      </w:pPr>
      <w:r>
        <w:rPr>
          <w:b/>
          <w:sz w:val="21"/>
        </w:rPr>
        <w:t xml:space="preserve"> </w:t>
      </w:r>
    </w:p>
    <w:p>
      <w:pPr>
        <w:ind w:firstLine="480"/>
        <w:jc w:val="both"/>
      </w:pPr>
      <w:r>
        <w:rPr>
          <w:sz w:val="21"/>
        </w:rPr>
        <w:t>根据《中华人民共和国民法典》及委托</w:t>
      </w:r>
      <w:r>
        <w:rPr>
          <w:sz w:val="21"/>
          <w:u w:val="single"/>
        </w:rPr>
        <w:t>广州市国科招标代理有限公司</w:t>
      </w:r>
      <w:r>
        <w:rPr>
          <w:sz w:val="21"/>
        </w:rPr>
        <w:t>采购</w:t>
      </w:r>
      <w:r>
        <w:rPr>
          <w:sz w:val="21"/>
          <w:u w:val="single"/>
        </w:rPr>
        <w:t>中山大学附属第六医院主动脉内球囊反搏泵采购项目（二次）（采购文件编号：</w:t>
      </w:r>
      <w:r>
        <w:rPr>
          <w:sz w:val="21"/>
          <w:u w:val="single"/>
        </w:rPr>
        <w:t>GZGK23P184A0601Z）</w:t>
      </w:r>
      <w:r>
        <w:rPr>
          <w:sz w:val="21"/>
        </w:rPr>
        <w:t>的招标结果和招标文件的要求，甲、乙双方经协商确定，甲方向乙方订购</w:t>
      </w:r>
      <w:r>
        <w:rPr>
          <w:sz w:val="21"/>
          <w:u w:val="single"/>
        </w:rPr>
        <w:t xml:space="preserve">         </w:t>
      </w:r>
      <w:r>
        <w:rPr>
          <w:sz w:val="21"/>
        </w:rPr>
        <w:t>，为明确双方责任和权利，特签订本合同，共同遵守。具体条款如下：</w:t>
      </w:r>
    </w:p>
    <w:p>
      <w:pPr>
        <w:jc w:val="left"/>
      </w:pPr>
      <w:r>
        <w:rPr>
          <w:b/>
          <w:sz w:val="21"/>
        </w:rPr>
        <w:t>1.合同设备</w:t>
      </w:r>
    </w:p>
    <w:p>
      <w:pPr>
        <w:jc w:val="both"/>
      </w:pPr>
      <w:r>
        <w:rPr>
          <w:sz w:val="21"/>
        </w:rPr>
        <w:t>乙方负责向甲方供应下表中所列设备及负责安装调试。</w:t>
      </w:r>
    </w:p>
    <w:tbl>
      <w:tblPr>
        <w:tblW w:w="0" w:type="auto"/>
        <w:tblBorders>
          <w:top w:val="none" w:color="000000" w:sz="4"/>
          <w:left w:val="none" w:color="000000" w:sz="4"/>
          <w:bottom w:val="none" w:color="000000" w:sz="4"/>
          <w:right w:val="none" w:color="000000" w:sz="4"/>
          <w:insideH w:val="none"/>
          <w:insideV w:val="none"/>
        </w:tblBorders>
      </w:tblPr>
      <w:tblGrid>
        <w:gridCol w:w="1069"/>
        <w:gridCol w:w="1067"/>
        <w:gridCol w:w="632"/>
        <w:gridCol w:w="1069"/>
        <w:gridCol w:w="632"/>
        <w:gridCol w:w="632"/>
        <w:gridCol w:w="851"/>
        <w:gridCol w:w="851"/>
        <w:gridCol w:w="1504"/>
      </w:tblGrid>
      <w:tr>
        <w:tc>
          <w:tcPr>
            <w:tcW w:type="dxa" w:w="1069"/>
            <w:tcBorders>
              <w:top w:val="single" w:color="000000" w:sz="4"/>
              <w:left w:val="single" w:color="000000" w:sz="4"/>
              <w:bottom w:val="single" w:color="000000" w:sz="4"/>
              <w:right w:val="single" w:color="000000" w:sz="4"/>
            </w:tcBorders>
            <w:vAlign w:val="top"/>
          </w:tcPr>
          <w:p>
            <w:pPr>
              <w:ind w:firstLine="2"/>
              <w:jc w:val="center"/>
            </w:pPr>
            <w:r>
              <w:rPr>
                <w:sz w:val="21"/>
              </w:rPr>
              <w:t>设备名称</w:t>
            </w:r>
          </w:p>
        </w:tc>
        <w:tc>
          <w:tcPr>
            <w:tcW w:type="dxa" w:w="1067"/>
            <w:tcBorders>
              <w:top w:val="single" w:color="000000" w:sz="4"/>
              <w:left w:val="none" w:color="000000" w:sz="4"/>
              <w:bottom w:val="single" w:color="000000" w:sz="4"/>
              <w:right w:val="single" w:color="000000" w:sz="4"/>
            </w:tcBorders>
            <w:vAlign w:val="top"/>
          </w:tcPr>
          <w:p>
            <w:pPr>
              <w:jc w:val="center"/>
            </w:pPr>
            <w:r>
              <w:rPr>
                <w:sz w:val="21"/>
              </w:rPr>
              <w:t>规格型号</w:t>
            </w:r>
          </w:p>
        </w:tc>
        <w:tc>
          <w:tcPr>
            <w:tcW w:type="dxa" w:w="632"/>
            <w:tcBorders>
              <w:top w:val="single" w:color="000000" w:sz="4"/>
              <w:left w:val="none" w:color="000000" w:sz="4"/>
              <w:bottom w:val="single" w:color="000000" w:sz="4"/>
              <w:right w:val="single" w:color="000000" w:sz="4"/>
            </w:tcBorders>
            <w:vAlign w:val="top"/>
          </w:tcPr>
          <w:p>
            <w:pPr>
              <w:jc w:val="center"/>
            </w:pPr>
            <w:r>
              <w:rPr>
                <w:sz w:val="21"/>
              </w:rPr>
              <w:t>产地</w:t>
            </w:r>
          </w:p>
        </w:tc>
        <w:tc>
          <w:tcPr>
            <w:tcW w:type="dxa" w:w="1069"/>
            <w:tcBorders>
              <w:top w:val="single" w:color="000000" w:sz="4"/>
              <w:left w:val="none" w:color="000000" w:sz="4"/>
              <w:bottom w:val="single" w:color="000000" w:sz="4"/>
              <w:right w:val="single" w:color="000000" w:sz="4"/>
            </w:tcBorders>
            <w:vAlign w:val="top"/>
          </w:tcPr>
          <w:p>
            <w:pPr>
              <w:jc w:val="center"/>
            </w:pPr>
            <w:r>
              <w:rPr>
                <w:sz w:val="21"/>
              </w:rPr>
              <w:t>生产厂家</w:t>
            </w:r>
          </w:p>
        </w:tc>
        <w:tc>
          <w:tcPr>
            <w:tcW w:type="dxa" w:w="632"/>
            <w:tcBorders>
              <w:top w:val="single" w:color="000000" w:sz="4"/>
              <w:left w:val="none" w:color="000000" w:sz="4"/>
              <w:bottom w:val="single" w:color="000000" w:sz="4"/>
              <w:right w:val="single" w:color="000000" w:sz="4"/>
            </w:tcBorders>
            <w:vAlign w:val="top"/>
          </w:tcPr>
          <w:p>
            <w:pPr>
              <w:jc w:val="center"/>
            </w:pPr>
            <w:r>
              <w:rPr>
                <w:sz w:val="21"/>
              </w:rPr>
              <w:t>单位</w:t>
            </w:r>
          </w:p>
        </w:tc>
        <w:tc>
          <w:tcPr>
            <w:tcW w:type="dxa" w:w="632"/>
            <w:tcBorders>
              <w:top w:val="single" w:color="000000" w:sz="4"/>
              <w:left w:val="none" w:color="000000" w:sz="4"/>
              <w:bottom w:val="single" w:color="000000" w:sz="4"/>
              <w:right w:val="single" w:color="000000" w:sz="4"/>
            </w:tcBorders>
            <w:vAlign w:val="top"/>
          </w:tcPr>
          <w:p>
            <w:pPr>
              <w:jc w:val="center"/>
            </w:pPr>
            <w:r>
              <w:rPr>
                <w:sz w:val="21"/>
              </w:rPr>
              <w:t>数量</w:t>
            </w:r>
          </w:p>
        </w:tc>
        <w:tc>
          <w:tcPr>
            <w:tcW w:type="dxa" w:w="851"/>
            <w:tcBorders>
              <w:top w:val="single" w:color="000000" w:sz="4"/>
              <w:left w:val="none" w:color="000000" w:sz="4"/>
              <w:bottom w:val="single" w:color="000000" w:sz="4"/>
              <w:right w:val="single" w:color="000000" w:sz="4"/>
            </w:tcBorders>
            <w:vAlign w:val="top"/>
          </w:tcPr>
          <w:p>
            <w:pPr>
              <w:jc w:val="center"/>
            </w:pPr>
            <w:r>
              <w:rPr>
                <w:sz w:val="21"/>
              </w:rPr>
              <w:t>单价</w:t>
            </w:r>
          </w:p>
          <w:p>
            <w:pPr>
              <w:jc w:val="center"/>
            </w:pPr>
            <w:r>
              <w:rPr>
                <w:sz w:val="21"/>
              </w:rPr>
              <w:t>（元）</w:t>
            </w:r>
          </w:p>
        </w:tc>
        <w:tc>
          <w:tcPr>
            <w:tcW w:type="dxa" w:w="851"/>
            <w:tcBorders>
              <w:top w:val="single" w:color="000000" w:sz="4"/>
              <w:left w:val="none" w:color="000000" w:sz="4"/>
              <w:bottom w:val="single" w:color="000000" w:sz="4"/>
              <w:right w:val="single" w:color="000000" w:sz="4"/>
            </w:tcBorders>
            <w:vAlign w:val="top"/>
          </w:tcPr>
          <w:p>
            <w:pPr>
              <w:jc w:val="center"/>
            </w:pPr>
            <w:r>
              <w:rPr>
                <w:sz w:val="21"/>
              </w:rPr>
              <w:t>总价</w:t>
            </w:r>
          </w:p>
          <w:p>
            <w:pPr>
              <w:jc w:val="center"/>
            </w:pPr>
            <w:r>
              <w:rPr>
                <w:sz w:val="21"/>
              </w:rPr>
              <w:t>（元）</w:t>
            </w:r>
          </w:p>
        </w:tc>
        <w:tc>
          <w:tcPr>
            <w:tcW w:type="dxa" w:w="1504"/>
            <w:tcBorders>
              <w:top w:val="single" w:color="000000" w:sz="4"/>
              <w:left w:val="none" w:color="000000" w:sz="4"/>
              <w:bottom w:val="single" w:color="000000" w:sz="4"/>
              <w:right w:val="single" w:color="000000" w:sz="4"/>
            </w:tcBorders>
            <w:vAlign w:val="top"/>
          </w:tcPr>
          <w:p>
            <w:pPr>
              <w:jc w:val="center"/>
            </w:pPr>
            <w:r>
              <w:rPr>
                <w:sz w:val="21"/>
              </w:rPr>
              <w:t>随机配件</w:t>
            </w:r>
          </w:p>
        </w:tc>
      </w:tr>
      <w:tr>
        <w:tc>
          <w:tcPr>
            <w:tcW w:type="dxa" w:w="1069"/>
            <w:tcBorders>
              <w:top w:val="none" w:color="000000" w:sz="4"/>
              <w:left w:val="single" w:color="000000" w:sz="4"/>
              <w:bottom w:val="single" w:color="000000" w:sz="4"/>
              <w:right w:val="single" w:color="000000" w:sz="4"/>
            </w:tcBorders>
            <w:vAlign w:val="top"/>
          </w:tcPr>
          <w:p>
            <w:pPr>
              <w:jc w:val="center"/>
            </w:pPr>
          </w:p>
        </w:tc>
        <w:tc>
          <w:tcPr>
            <w:tcW w:type="dxa" w:w="1067"/>
            <w:tcBorders>
              <w:top w:val="none" w:color="000000" w:sz="4"/>
              <w:left w:val="none" w:color="000000" w:sz="4"/>
              <w:bottom w:val="single" w:color="000000" w:sz="4"/>
              <w:right w:val="single" w:color="000000" w:sz="4"/>
            </w:tcBorders>
            <w:vAlign w:val="top"/>
          </w:tcPr>
          <w:p>
            <w:pPr>
              <w:jc w:val="center"/>
            </w:pPr>
          </w:p>
        </w:tc>
        <w:tc>
          <w:tcPr>
            <w:tcW w:type="dxa" w:w="632"/>
            <w:tcBorders>
              <w:top w:val="none" w:color="000000" w:sz="4"/>
              <w:left w:val="none" w:color="000000" w:sz="4"/>
              <w:bottom w:val="single" w:color="000000" w:sz="4"/>
              <w:right w:val="single" w:color="000000" w:sz="4"/>
            </w:tcBorders>
            <w:vAlign w:val="top"/>
          </w:tcPr>
          <w:p>
            <w:pPr>
              <w:jc w:val="center"/>
            </w:pPr>
          </w:p>
        </w:tc>
        <w:tc>
          <w:tcPr>
            <w:tcW w:type="dxa" w:w="1069"/>
            <w:tcBorders>
              <w:top w:val="none" w:color="000000" w:sz="4"/>
              <w:left w:val="none" w:color="000000" w:sz="4"/>
              <w:bottom w:val="single" w:color="000000" w:sz="4"/>
              <w:right w:val="single" w:color="000000" w:sz="4"/>
            </w:tcBorders>
            <w:vAlign w:val="top"/>
          </w:tcPr>
          <w:p>
            <w:pPr>
              <w:jc w:val="center"/>
            </w:pPr>
          </w:p>
        </w:tc>
        <w:tc>
          <w:tcPr>
            <w:tcW w:type="dxa" w:w="632"/>
            <w:tcBorders>
              <w:top w:val="none" w:color="000000" w:sz="4"/>
              <w:left w:val="none" w:color="000000" w:sz="4"/>
              <w:bottom w:val="single" w:color="000000" w:sz="4"/>
              <w:right w:val="single" w:color="000000" w:sz="4"/>
            </w:tcBorders>
            <w:vAlign w:val="top"/>
          </w:tcPr>
          <w:p>
            <w:pPr>
              <w:jc w:val="center"/>
            </w:pPr>
          </w:p>
        </w:tc>
        <w:tc>
          <w:tcPr>
            <w:tcW w:type="dxa" w:w="632"/>
            <w:tcBorders>
              <w:top w:val="none" w:color="000000" w:sz="4"/>
              <w:left w:val="none" w:color="000000" w:sz="4"/>
              <w:bottom w:val="single" w:color="000000" w:sz="4"/>
              <w:right w:val="single" w:color="000000" w:sz="4"/>
            </w:tcBorders>
            <w:vAlign w:val="top"/>
          </w:tcPr>
          <w:p>
            <w:pPr>
              <w:jc w:val="center"/>
            </w:pPr>
          </w:p>
        </w:tc>
        <w:tc>
          <w:tcPr>
            <w:tcW w:type="dxa" w:w="851"/>
            <w:tcBorders>
              <w:top w:val="none" w:color="000000" w:sz="4"/>
              <w:left w:val="none" w:color="000000" w:sz="4"/>
              <w:bottom w:val="single" w:color="000000" w:sz="4"/>
              <w:right w:val="single" w:color="000000" w:sz="4"/>
            </w:tcBorders>
            <w:vAlign w:val="top"/>
          </w:tcPr>
          <w:p>
            <w:pPr>
              <w:jc w:val="center"/>
            </w:pPr>
          </w:p>
        </w:tc>
        <w:tc>
          <w:tcPr>
            <w:tcW w:type="dxa" w:w="851"/>
            <w:tcBorders>
              <w:top w:val="none" w:color="000000" w:sz="4"/>
              <w:left w:val="none" w:color="000000" w:sz="4"/>
              <w:bottom w:val="single" w:color="000000" w:sz="4"/>
              <w:right w:val="single" w:color="000000" w:sz="4"/>
            </w:tcBorders>
            <w:vAlign w:val="top"/>
          </w:tcPr>
          <w:p>
            <w:pPr>
              <w:jc w:val="center"/>
            </w:pPr>
          </w:p>
        </w:tc>
        <w:tc>
          <w:tcPr>
            <w:tcW w:type="dxa" w:w="1504"/>
            <w:tcBorders>
              <w:top w:val="none" w:color="000000" w:sz="4"/>
              <w:left w:val="none" w:color="000000" w:sz="4"/>
              <w:bottom w:val="single" w:color="000000" w:sz="4"/>
              <w:right w:val="single" w:color="000000" w:sz="4"/>
            </w:tcBorders>
            <w:vAlign w:val="top"/>
          </w:tcPr>
          <w:p>
            <w:pPr>
              <w:jc w:val="center"/>
            </w:pPr>
            <w:r>
              <w:rPr>
                <w:sz w:val="21"/>
              </w:rPr>
              <w:t>详见配置清单</w:t>
            </w:r>
          </w:p>
        </w:tc>
      </w:tr>
      <w:tr>
        <w:tc>
          <w:tcPr>
            <w:tcW w:type="dxa" w:w="8307"/>
            <w:gridSpan w:val="9"/>
            <w:tcBorders>
              <w:top w:val="none" w:color="000000" w:sz="4"/>
              <w:left w:val="single" w:color="000000" w:sz="4"/>
              <w:bottom w:val="single" w:color="000000" w:sz="4"/>
              <w:right w:val="single" w:color="000000" w:sz="4"/>
            </w:tcBorders>
            <w:vAlign w:val="top"/>
          </w:tcPr>
          <w:p>
            <w:pPr>
              <w:jc w:val="both"/>
            </w:pPr>
            <w:r>
              <w:rPr>
                <w:sz w:val="21"/>
              </w:rPr>
              <w:t>交货时间：合同签订后</w:t>
            </w:r>
            <w:r>
              <w:rPr>
                <w:sz w:val="21"/>
                <w:u w:val="single"/>
              </w:rPr>
              <w:t xml:space="preserve">   </w:t>
            </w:r>
            <w:r>
              <w:rPr>
                <w:sz w:val="21"/>
              </w:rPr>
              <w:t>天内</w:t>
            </w:r>
          </w:p>
        </w:tc>
      </w:tr>
      <w:tr>
        <w:tc>
          <w:tcPr>
            <w:tcW w:type="dxa" w:w="8307"/>
            <w:gridSpan w:val="9"/>
            <w:tcBorders>
              <w:top w:val="none" w:color="000000" w:sz="4"/>
              <w:left w:val="single" w:color="000000" w:sz="4"/>
              <w:bottom w:val="single" w:color="000000" w:sz="4"/>
              <w:right w:val="single" w:color="000000" w:sz="4"/>
            </w:tcBorders>
            <w:vAlign w:val="top"/>
          </w:tcPr>
          <w:p>
            <w:pPr>
              <w:jc w:val="both"/>
            </w:pPr>
            <w:r>
              <w:rPr>
                <w:sz w:val="21"/>
              </w:rPr>
              <w:t>不含税金额：</w:t>
            </w:r>
            <w:r>
              <w:rPr>
                <w:sz w:val="21"/>
              </w:rPr>
              <w:t>0000.00元         开票税率：</w:t>
            </w:r>
            <w:r>
              <w:rPr>
                <w:sz w:val="21"/>
              </w:rPr>
              <w:t xml:space="preserve">%             </w:t>
            </w:r>
            <w:r>
              <w:rPr>
                <w:sz w:val="21"/>
              </w:rPr>
              <w:t>税额：</w:t>
            </w:r>
            <w:r>
              <w:rPr>
                <w:sz w:val="21"/>
              </w:rPr>
              <w:t>0000.00</w:t>
            </w:r>
            <w:r>
              <w:rPr>
                <w:sz w:val="21"/>
              </w:rPr>
              <w:t>元</w:t>
            </w:r>
          </w:p>
          <w:p>
            <w:pPr>
              <w:jc w:val="both"/>
            </w:pPr>
            <w:r>
              <w:rPr>
                <w:sz w:val="21"/>
              </w:rPr>
              <w:t>价税合计：</w:t>
            </w:r>
            <w:r>
              <w:rPr>
                <w:sz w:val="21"/>
              </w:rPr>
              <w:t>0000.00元</w:t>
            </w:r>
          </w:p>
        </w:tc>
      </w:tr>
      <w:tr>
        <w:tc>
          <w:tcPr>
            <w:tcW w:type="dxa" w:w="8307"/>
            <w:gridSpan w:val="9"/>
            <w:tcBorders>
              <w:top w:val="none" w:color="000000" w:sz="4"/>
              <w:left w:val="single" w:color="000000" w:sz="4"/>
              <w:bottom w:val="single" w:color="000000" w:sz="4"/>
              <w:right w:val="single" w:color="000000" w:sz="4"/>
            </w:tcBorders>
            <w:vAlign w:val="top"/>
          </w:tcPr>
          <w:p>
            <w:pPr>
              <w:jc w:val="both"/>
            </w:pPr>
            <w:r>
              <w:rPr>
                <w:sz w:val="21"/>
              </w:rPr>
              <w:t>乙方联系人：姓名</w:t>
            </w:r>
            <w:r>
              <w:rPr>
                <w:sz w:val="21"/>
              </w:rPr>
              <w:t>手机号</w:t>
            </w:r>
          </w:p>
        </w:tc>
      </w:tr>
    </w:tbl>
    <w:p>
      <w:pPr>
        <w:jc w:val="left"/>
      </w:pPr>
      <w:r>
        <w:rPr>
          <w:b/>
          <w:sz w:val="21"/>
        </w:rPr>
        <w:t>2.合同总价</w:t>
      </w:r>
    </w:p>
    <w:p>
      <w:pPr>
        <w:ind w:firstLine="480"/>
        <w:jc w:val="both"/>
      </w:pPr>
      <w:r>
        <w:rPr>
          <w:sz w:val="21"/>
        </w:rPr>
        <w:t>2.1合同总价为：人民币            元整（大写），即</w:t>
      </w:r>
      <w:r>
        <w:rPr>
          <w:sz w:val="21"/>
        </w:rPr>
        <w:t>¥0000.00</w:t>
      </w:r>
      <w:r>
        <w:rPr>
          <w:sz w:val="21"/>
        </w:rPr>
        <w:t>，该合同总金额为包干总价，该包干总价为乙方按照合同约定完成合同全部义务后所适用的总价格，是设计、设备制造、包装、仓储、运输、安装、保险及验收</w:t>
      </w:r>
      <w:r>
        <w:rPr>
          <w:sz w:val="21"/>
        </w:rPr>
        <w:t>、</w:t>
      </w:r>
      <w:r>
        <w:rPr>
          <w:sz w:val="21"/>
        </w:rPr>
        <w:t>培训</w:t>
      </w:r>
      <w:r>
        <w:rPr>
          <w:sz w:val="21"/>
        </w:rPr>
        <w:t>之前及保修期与备品备件发生的所有含税费用</w:t>
      </w:r>
      <w:r>
        <w:rPr>
          <w:sz w:val="21"/>
        </w:rPr>
        <w:t>及合同实施过程中不可预见费用等</w:t>
      </w:r>
      <w:r>
        <w:rPr>
          <w:sz w:val="21"/>
        </w:rPr>
        <w:t>。除本合同明确约定的费用外，甲方无需支付任何额外费用和承担任何额外义务。上述合同价款等各项内容在本合同履行过程中保持不变，经甲乙双方协商一致以书面形式予以变更的除外。</w:t>
      </w:r>
    </w:p>
    <w:p>
      <w:pPr>
        <w:ind w:firstLine="480"/>
        <w:jc w:val="both"/>
      </w:pPr>
      <w:r>
        <w:rPr>
          <w:sz w:val="21"/>
        </w:rPr>
        <w:t>2.2在实际合同履行过程中，如果乙方未完全履行合同义务或履行的合同义务不符合约定的，则未履行或履行不符合合同约定的内容所对应的价款由甲方直接从上述约定的包干价中扣除。</w:t>
      </w:r>
    </w:p>
    <w:p>
      <w:pPr>
        <w:ind w:firstLine="482"/>
        <w:jc w:val="both"/>
      </w:pPr>
      <w:r>
        <w:rPr>
          <w:b/>
          <w:sz w:val="21"/>
        </w:rPr>
        <w:t>2.3乙方银行账户信息：</w:t>
      </w:r>
    </w:p>
    <w:p>
      <w:pPr>
        <w:ind w:firstLine="482"/>
        <w:jc w:val="both"/>
      </w:pPr>
      <w:r>
        <w:rPr>
          <w:b/>
          <w:sz w:val="21"/>
        </w:rPr>
        <w:t>账户名称：</w:t>
      </w:r>
    </w:p>
    <w:p>
      <w:pPr>
        <w:ind w:firstLine="482"/>
        <w:jc w:val="both"/>
      </w:pPr>
      <w:r>
        <w:rPr>
          <w:b/>
          <w:sz w:val="21"/>
        </w:rPr>
        <w:t>开户银行：</w:t>
      </w:r>
    </w:p>
    <w:p>
      <w:pPr>
        <w:ind w:firstLine="482"/>
        <w:jc w:val="both"/>
      </w:pPr>
      <w:r>
        <w:rPr>
          <w:b/>
          <w:sz w:val="21"/>
        </w:rPr>
        <w:t>银行帐号：</w:t>
      </w:r>
    </w:p>
    <w:p>
      <w:pPr>
        <w:jc w:val="left"/>
      </w:pPr>
      <w:r>
        <w:rPr>
          <w:b/>
          <w:sz w:val="21"/>
        </w:rPr>
        <w:t>3.合同组成</w:t>
      </w:r>
    </w:p>
    <w:p>
      <w:pPr>
        <w:ind w:firstLine="480"/>
        <w:jc w:val="both"/>
      </w:pPr>
      <w:r>
        <w:rPr>
          <w:sz w:val="21"/>
        </w:rPr>
        <w:t>详细价格、技术说明及其它有关合同设备的特定信息由合同附件说明。所有附件及本项目的招投标文件、谈判文件、报价文件、会议纪要、协议等均为本合同不可分割之一部分。</w:t>
      </w:r>
    </w:p>
    <w:p>
      <w:pPr>
        <w:jc w:val="left"/>
      </w:pPr>
      <w:r>
        <w:rPr>
          <w:b/>
          <w:sz w:val="21"/>
        </w:rPr>
        <w:t>4.技术要求</w:t>
      </w:r>
    </w:p>
    <w:p>
      <w:pPr>
        <w:ind w:firstLine="480"/>
        <w:jc w:val="both"/>
      </w:pPr>
      <w:r>
        <w:rPr>
          <w:sz w:val="21"/>
        </w:rPr>
        <w:t>乙方所提供设备，必须符合国家有关规范和环保要求及甲方的技术要求，并提供设备的厂试测验报告。</w:t>
      </w:r>
    </w:p>
    <w:p>
      <w:pPr>
        <w:jc w:val="left"/>
      </w:pPr>
      <w:r>
        <w:rPr>
          <w:b/>
          <w:sz w:val="21"/>
        </w:rPr>
        <w:t>5.合同设备包装、交货、安装及验收</w:t>
      </w:r>
    </w:p>
    <w:p>
      <w:pPr>
        <w:jc w:val="both"/>
      </w:pPr>
      <w:r>
        <w:rPr>
          <w:sz w:val="21"/>
        </w:rPr>
        <w:t>5.1合同设备的包装</w:t>
      </w:r>
    </w:p>
    <w:p>
      <w:pPr>
        <w:jc w:val="both"/>
      </w:pPr>
      <w:r>
        <w:rPr>
          <w:sz w:val="21"/>
        </w:rPr>
        <w:t>5.1.1设备的包装均应有良好的防湿、防锈、防潮、防雨、防腐及防碰撞的措施。凡由于包装不良造成的损失和由此产生的费用均由乙方承担。</w:t>
      </w:r>
    </w:p>
    <w:p>
      <w:pPr>
        <w:jc w:val="both"/>
      </w:pPr>
      <w:r>
        <w:rPr>
          <w:sz w:val="21"/>
        </w:rPr>
        <w:t>5.1.2设备包装有木箱或木架的，请乙方在设备安装后把木箱或木架带走，勿丢在甲方医院内，如甲方发现乙方有丢弃木箱或木架在医院的，一经核实，甲方有权在支付乙方的合同款项中扣减</w:t>
      </w:r>
      <w:r>
        <w:rPr>
          <w:sz w:val="21"/>
        </w:rPr>
        <w:t>500-1000</w:t>
      </w:r>
      <w:r>
        <w:rPr>
          <w:sz w:val="21"/>
        </w:rPr>
        <w:t>元。</w:t>
      </w:r>
    </w:p>
    <w:p>
      <w:pPr>
        <w:jc w:val="both"/>
      </w:pPr>
      <w:r>
        <w:rPr>
          <w:sz w:val="21"/>
        </w:rPr>
        <w:t>5.2合同设备的交货</w:t>
      </w:r>
    </w:p>
    <w:p>
      <w:pPr>
        <w:jc w:val="both"/>
      </w:pPr>
      <w:r>
        <w:rPr>
          <w:sz w:val="21"/>
        </w:rPr>
        <w:t>5.2.1乙方交货时间：按用户要求</w:t>
      </w:r>
    </w:p>
    <w:p>
      <w:pPr>
        <w:jc w:val="both"/>
      </w:pPr>
      <w:r>
        <w:rPr>
          <w:sz w:val="21"/>
        </w:rPr>
        <w:t>5.2.2乙方交货地点：运输及卸车至甲方指定地点。</w:t>
      </w:r>
    </w:p>
    <w:p>
      <w:pPr>
        <w:jc w:val="both"/>
      </w:pPr>
      <w:r>
        <w:rPr>
          <w:sz w:val="21"/>
        </w:rPr>
        <w:t>5.3合同设备的安装</w:t>
      </w:r>
    </w:p>
    <w:p>
      <w:pPr>
        <w:jc w:val="both"/>
      </w:pPr>
      <w:r>
        <w:rPr>
          <w:sz w:val="21"/>
        </w:rPr>
        <w:t>5.3.1乙方必须按项目进度安排计划，派出适当的技术人员到安装现场负责安装和调试工作。在安装施工期间，严格遵守甲方的有关规定。</w:t>
      </w:r>
    </w:p>
    <w:p>
      <w:pPr>
        <w:jc w:val="both"/>
      </w:pPr>
      <w:r>
        <w:rPr>
          <w:sz w:val="21"/>
        </w:rPr>
        <w:t>5.3.2</w:t>
      </w:r>
      <w:r>
        <w:rPr>
          <w:sz w:val="21"/>
        </w:rPr>
        <w:t>乙方必须依照项目采购文件的要求和投标文件的承诺，将设备、系统安装并调试至正常运行的最佳状态</w:t>
      </w:r>
      <w:r>
        <w:rPr>
          <w:sz w:val="21"/>
        </w:rPr>
        <w:t>。</w:t>
      </w:r>
    </w:p>
    <w:p>
      <w:pPr>
        <w:jc w:val="both"/>
      </w:pPr>
      <w:r>
        <w:rPr>
          <w:sz w:val="21"/>
        </w:rPr>
        <w:t>5.4设备的验收</w:t>
      </w:r>
    </w:p>
    <w:p>
      <w:pPr>
        <w:jc w:val="both"/>
      </w:pPr>
      <w:r>
        <w:rPr>
          <w:sz w:val="21"/>
        </w:rPr>
        <w:t>5.4.1合同设备安装、培训，合同配置清单的货物齐全后</w:t>
      </w:r>
      <w:r>
        <w:rPr>
          <w:sz w:val="21"/>
        </w:rPr>
        <w:t>7</w:t>
      </w:r>
      <w:r>
        <w:rPr>
          <w:sz w:val="21"/>
        </w:rPr>
        <w:t>日内验收，验收应在甲乙双方共同参加下进行。</w:t>
      </w:r>
    </w:p>
    <w:p>
      <w:pPr>
        <w:jc w:val="both"/>
      </w:pPr>
      <w:r>
        <w:rPr>
          <w:sz w:val="21"/>
        </w:rPr>
        <w:t>5.4.2验收按国家有关的规定、规范进行。验收时如发现所交付的设备有短装、次品、损坏或其它不符合本合同规定之情形者，甲方应作出详尽的现场记录，或由甲乙双方签署备忘录。此现场记录或备忘录可用作补充、缺失和更换损坏部件的有效证据。由此产生的有关费用由乙方承担。</w:t>
      </w:r>
    </w:p>
    <w:p>
      <w:pPr>
        <w:jc w:val="both"/>
      </w:pPr>
      <w:r>
        <w:rPr>
          <w:sz w:val="21"/>
        </w:rPr>
        <w:t>5.4.3如果合同设备运输和安装过程中因事故造成货物短缺、损坏，乙方应及时安排换装，以保证合同设备安装的成功完成。换货的相关费用由乙方承担。</w:t>
      </w:r>
    </w:p>
    <w:p>
      <w:pPr>
        <w:jc w:val="both"/>
      </w:pPr>
      <w:r>
        <w:rPr>
          <w:sz w:val="21"/>
        </w:rPr>
        <w:t>5.4.4乙方保证合同项下提供的设备不侵犯任何第三方的专利、商标或版权。否则，乙方须承担对第三方的专利或版权的侵权责任并承担因此而发生的所有费用。</w:t>
      </w:r>
    </w:p>
    <w:p>
      <w:r>
        <w:rPr>
          <w:sz w:val="20"/>
        </w:rPr>
        <w:t>5.4.5技术文件和资料：所有设备必须提供培训资料及电子版使用说明书、操作手册、维护手册、合格证明书、装箱单、保修单等技术文件和资料。</w:t>
      </w:r>
    </w:p>
    <w:p>
      <w:pPr>
        <w:jc w:val="left"/>
      </w:pPr>
      <w:r>
        <w:rPr>
          <w:b/>
          <w:sz w:val="21"/>
        </w:rPr>
        <w:t>6.质量保证及售后服务</w:t>
      </w:r>
    </w:p>
    <w:p>
      <w:pPr>
        <w:jc w:val="both"/>
      </w:pPr>
      <w:r>
        <w:rPr>
          <w:sz w:val="21"/>
        </w:rPr>
        <w:t>6.1乙方保证合同设备</w:t>
      </w:r>
      <w:r>
        <w:rPr>
          <w:sz w:val="21"/>
        </w:rPr>
        <w:t>(</w:t>
      </w:r>
      <w:r>
        <w:rPr>
          <w:sz w:val="21"/>
        </w:rPr>
        <w:t>包括零配件</w:t>
      </w:r>
      <w:r>
        <w:rPr>
          <w:sz w:val="21"/>
        </w:rPr>
        <w:t>)</w:t>
      </w:r>
      <w:r>
        <w:rPr>
          <w:sz w:val="21"/>
        </w:rPr>
        <w:t>是全新、未曾使用过的，其质量、规格及技术特征符合合同附件的要求。</w:t>
      </w:r>
    </w:p>
    <w:p>
      <w:pPr>
        <w:jc w:val="both"/>
      </w:pPr>
      <w:r>
        <w:rPr>
          <w:sz w:val="21"/>
        </w:rPr>
        <w:t>6.2合同设备保修期为整机原厂保修</w:t>
      </w:r>
      <w:r>
        <w:rPr>
          <w:sz w:val="21"/>
          <w:u w:val="single"/>
        </w:rPr>
        <w:t xml:space="preserve">  </w:t>
      </w:r>
      <w:r>
        <w:rPr>
          <w:sz w:val="21"/>
        </w:rPr>
        <w:t>年（包含维护、保养、所有零配件等），以本项目验收签字之日期一个月后起保（即以《中山大学附属第六医院医疗设备</w:t>
      </w:r>
      <w:r>
        <w:rPr>
          <w:sz w:val="21"/>
        </w:rPr>
        <w:t>/通用设备安装验收表》中使用科室负责人确认签名之日期一个月后起保）。并提供终身维修服务。保修期内，所有服务及配件全部包含在报价中。</w:t>
      </w:r>
      <w:r>
        <w:rPr>
          <w:sz w:val="21"/>
        </w:rPr>
        <w:t>“技术标准与要求”中另有要求的，以其中的要求为准。</w:t>
      </w:r>
    </w:p>
    <w:p>
      <w:pPr>
        <w:jc w:val="both"/>
      </w:pPr>
      <w:r>
        <w:rPr>
          <w:sz w:val="21"/>
        </w:rPr>
        <w:t>6.3保修期内非因甲方的人为原因而出现产品质量及安装问题，由乙方负责包修、包换或包退，并承担因此而产生的一切费用。乙方应在收到甲方通知后按照甲方要求派员到现场维修</w:t>
      </w:r>
      <w:r>
        <w:rPr>
          <w:sz w:val="21"/>
        </w:rPr>
        <w:t>(</w:t>
      </w:r>
      <w:r>
        <w:rPr>
          <w:sz w:val="21"/>
        </w:rPr>
        <w:t>“技术标准与要求” ，以其中的要求为准</w:t>
      </w:r>
      <w:r>
        <w:rPr>
          <w:sz w:val="21"/>
        </w:rPr>
        <w:t>)</w:t>
      </w:r>
      <w:r>
        <w:rPr>
          <w:sz w:val="21"/>
        </w:rPr>
        <w:t>。</w:t>
      </w:r>
    </w:p>
    <w:p>
      <w:pPr>
        <w:jc w:val="both"/>
      </w:pPr>
      <w:r>
        <w:rPr>
          <w:sz w:val="21"/>
        </w:rPr>
        <w:t>6.4乙方需配备充足的技术服务人员提供技术支持。对于设备发生的故障，乙方应在接到甲方设备故障报修通知后</w:t>
      </w:r>
      <w:r>
        <w:rPr>
          <w:sz w:val="21"/>
          <w:u w:val="single"/>
        </w:rPr>
        <w:t xml:space="preserve">   </w:t>
      </w:r>
      <w:r>
        <w:rPr>
          <w:sz w:val="21"/>
        </w:rPr>
        <w:t>小时内响应，</w:t>
      </w:r>
      <w:r>
        <w:rPr>
          <w:sz w:val="21"/>
          <w:u w:val="single"/>
        </w:rPr>
        <w:t xml:space="preserve">   </w:t>
      </w:r>
      <w:r>
        <w:rPr>
          <w:sz w:val="21"/>
        </w:rPr>
        <w:t>小时内到达现场，</w:t>
      </w:r>
      <w:r>
        <w:rPr>
          <w:sz w:val="21"/>
          <w:u w:val="single"/>
        </w:rPr>
        <w:t xml:space="preserve">   </w:t>
      </w:r>
      <w:r>
        <w:rPr>
          <w:sz w:val="21"/>
        </w:rPr>
        <w:t>小时内处理完毕。</w:t>
      </w:r>
    </w:p>
    <w:p>
      <w:pPr>
        <w:jc w:val="both"/>
      </w:pPr>
      <w:r>
        <w:rPr>
          <w:sz w:val="21"/>
        </w:rPr>
        <w:t>6.5因设备的质量问题而发生争议，由具备资质的第三方质检部门进行质量鉴定。设备符合质量标准的，鉴定费用由甲方承担；设备不符合质量标准的，鉴定费用由乙方承担。</w:t>
      </w:r>
    </w:p>
    <w:p>
      <w:pPr>
        <w:jc w:val="both"/>
      </w:pPr>
      <w:r>
        <w:rPr>
          <w:sz w:val="21"/>
        </w:rPr>
        <w:t>6.6乙方负责培训甲方维修人员，主要内容为设备的基本结构、性能、主要部件的构造及修理，日常使用保养与管理，常见故障的排除，紧急情况的处理等，同时培训技术操作人员以下主要内容：仪器的基本原理和构造、计算软件使用方法、日常维护及一般故障排除，直至操作人员熟练使用该仪器，并随时提供技术指导，交流培训地点主要在设备安装现场或按甲方安排，培训费用包含在投标报价之中。</w:t>
      </w:r>
    </w:p>
    <w:p>
      <w:pPr>
        <w:jc w:val="left"/>
      </w:pPr>
      <w:r>
        <w:rPr>
          <w:b/>
          <w:sz w:val="21"/>
        </w:rPr>
        <w:t xml:space="preserve">7.付款办法  </w:t>
      </w:r>
    </w:p>
    <w:p>
      <w:pPr>
        <w:ind w:firstLine="420"/>
        <w:jc w:val="both"/>
      </w:pPr>
      <w:r>
        <w:rPr>
          <w:sz w:val="21"/>
        </w:rPr>
        <w:t>合同设备全部到达指定地点交付并完成安装及验收合格，且甲方收到乙方开具的等额增值税普通发票及验收表后</w:t>
      </w:r>
      <w:r>
        <w:rPr>
          <w:sz w:val="21"/>
        </w:rPr>
        <w:t>60日内一次付清全部货款。即人民币   元整（大写）（</w:t>
      </w:r>
      <w:r>
        <w:rPr>
          <w:sz w:val="21"/>
        </w:rPr>
        <w:t>¥0000.00</w:t>
      </w:r>
      <w:r>
        <w:rPr>
          <w:sz w:val="21"/>
        </w:rPr>
        <w:t>）</w:t>
      </w:r>
    </w:p>
    <w:p>
      <w:pPr>
        <w:jc w:val="left"/>
      </w:pPr>
      <w:r>
        <w:rPr>
          <w:b/>
          <w:sz w:val="21"/>
        </w:rPr>
        <w:t xml:space="preserve">8.技术服务  </w:t>
      </w:r>
    </w:p>
    <w:p>
      <w:pPr>
        <w:jc w:val="both"/>
      </w:pPr>
      <w:r>
        <w:rPr>
          <w:sz w:val="21"/>
        </w:rPr>
        <w:t>8.1乙方应派员到甲方指定地点配合工作。</w:t>
      </w:r>
    </w:p>
    <w:p>
      <w:pPr>
        <w:jc w:val="both"/>
      </w:pPr>
      <w:r>
        <w:rPr>
          <w:sz w:val="21"/>
        </w:rPr>
        <w:t>8.2乙方按甲方提供的合同执行进度计划，再配合甲方及有关单位，以此做好合同执行进度上的配合工作。</w:t>
      </w:r>
    </w:p>
    <w:p>
      <w:pPr>
        <w:jc w:val="left"/>
      </w:pPr>
      <w:r>
        <w:rPr>
          <w:b/>
          <w:sz w:val="21"/>
        </w:rPr>
        <w:t>9.不可抗力</w:t>
      </w:r>
    </w:p>
    <w:p>
      <w:pPr>
        <w:jc w:val="both"/>
      </w:pPr>
      <w:r>
        <w:rPr>
          <w:sz w:val="21"/>
        </w:rPr>
        <w:t>9.1不可抗力指战争、严重火灾、洪水、台风、地震等或其它双方认定的不可抗力事件。</w:t>
      </w:r>
    </w:p>
    <w:p>
      <w:pPr>
        <w:jc w:val="both"/>
      </w:pPr>
      <w:r>
        <w:rPr>
          <w:sz w:val="21"/>
        </w:rPr>
        <w:t>9.2签约双方中任何一方由于不可抗力影响合同执行时，发生不可抗力一方应尽快将事故通知另一方。在此情况下，乙方仍然有责任采取必要的措施加速供货，双方应通过友好协商尽快解决本合同的执行问题。</w:t>
      </w:r>
    </w:p>
    <w:p>
      <w:pPr>
        <w:jc w:val="left"/>
      </w:pPr>
      <w:r>
        <w:rPr>
          <w:b/>
          <w:sz w:val="21"/>
        </w:rPr>
        <w:t>10.索赔</w:t>
      </w:r>
    </w:p>
    <w:p>
      <w:pPr>
        <w:jc w:val="both"/>
      </w:pPr>
      <w:r>
        <w:rPr>
          <w:sz w:val="21"/>
        </w:rPr>
        <w:t>10.1如有异议，甲方有权根据有关政府部门的检验结果向乙方提出索赔。</w:t>
      </w:r>
    </w:p>
    <w:p>
      <w:pPr>
        <w:jc w:val="both"/>
      </w:pPr>
      <w:r>
        <w:rPr>
          <w:sz w:val="21"/>
        </w:rPr>
        <w:t>10.2在合同执行期间，如果乙方对甲方提出的索赔和差异负有责任，乙方应按照甲方同意的下列一种或多种方式解决索赔事宜：</w:t>
      </w:r>
    </w:p>
    <w:p>
      <w:pPr>
        <w:jc w:val="both"/>
      </w:pPr>
      <w:r>
        <w:rPr>
          <w:sz w:val="21"/>
        </w:rPr>
        <w:t>10.2.1乙方同意退货，并按合同规定的同种货币将货款退还给甲方，并承担由此发生的一切损失和费用。</w:t>
      </w:r>
    </w:p>
    <w:p>
      <w:pPr>
        <w:jc w:val="both"/>
      </w:pPr>
      <w:r>
        <w:rPr>
          <w:sz w:val="21"/>
        </w:rPr>
        <w:t>10.2.2根据货物低劣程度、损坏程度以及甲方所遭受损失的数额甲乙双方商定降低货物的价格。</w:t>
      </w:r>
    </w:p>
    <w:p>
      <w:pPr>
        <w:jc w:val="both"/>
      </w:pPr>
      <w:r>
        <w:rPr>
          <w:sz w:val="21"/>
        </w:rPr>
        <w:t>10.2.3用符合规格、质量和性能要求的新零件、部件或货物来更换有缺陷的部分或修补缺陷的部分，乙方应承担一切费用和风险并负担甲方所发生的一切直接费用。同时，相应延长质量保证期。</w:t>
      </w:r>
    </w:p>
    <w:p>
      <w:pPr>
        <w:jc w:val="both"/>
      </w:pPr>
      <w:r>
        <w:rPr>
          <w:sz w:val="21"/>
        </w:rPr>
        <w:t>10.3如果在甲方发出索赔通知后</w:t>
      </w:r>
      <w:r>
        <w:rPr>
          <w:sz w:val="21"/>
        </w:rPr>
        <w:t>30</w:t>
      </w:r>
      <w:r>
        <w:rPr>
          <w:sz w:val="21"/>
        </w:rPr>
        <w:t>天内，乙方未作答复，上述索赔应视为已被乙方接受。甲方将从合同款项中扣回索赔金额。如果这些金额不足以补偿索赔金额，甲方有权向乙方提出不足部分的补偿。</w:t>
      </w:r>
    </w:p>
    <w:p>
      <w:pPr>
        <w:jc w:val="left"/>
      </w:pPr>
      <w:r>
        <w:rPr>
          <w:b/>
          <w:sz w:val="21"/>
        </w:rPr>
        <w:t>11.违约与处罚</w:t>
      </w:r>
    </w:p>
    <w:p>
      <w:pPr>
        <w:jc w:val="both"/>
      </w:pPr>
      <w:r>
        <w:rPr>
          <w:sz w:val="21"/>
        </w:rPr>
        <w:t>11.1甲方应依合同规定时间内，向乙方支付货款，每拖延一天乙方可向甲方加收合同金额的</w:t>
      </w:r>
      <w:r>
        <w:rPr>
          <w:sz w:val="21"/>
        </w:rPr>
        <w:t>3‰</w:t>
      </w:r>
      <w:r>
        <w:rPr>
          <w:sz w:val="21"/>
        </w:rPr>
        <w:t>的违约金。</w:t>
      </w:r>
    </w:p>
    <w:p>
      <w:pPr>
        <w:jc w:val="both"/>
      </w:pPr>
      <w:r>
        <w:rPr>
          <w:sz w:val="21"/>
        </w:rPr>
        <w:t>11.2乙方未能按时交货，每拖延</w:t>
      </w:r>
      <w:r>
        <w:rPr>
          <w:sz w:val="21"/>
        </w:rPr>
        <w:t>1</w:t>
      </w:r>
      <w:r>
        <w:rPr>
          <w:sz w:val="21"/>
        </w:rPr>
        <w:t>天，须向甲方支付合同金额的</w:t>
      </w:r>
      <w:r>
        <w:rPr>
          <w:sz w:val="21"/>
        </w:rPr>
        <w:t>5‰</w:t>
      </w:r>
      <w:r>
        <w:rPr>
          <w:sz w:val="21"/>
        </w:rPr>
        <w:t>的违约金。逾期半个月以上的，甲方有权终止合同，由此造成的甲方经济损失由乙方承担。</w:t>
      </w:r>
    </w:p>
    <w:p>
      <w:pPr>
        <w:jc w:val="both"/>
      </w:pPr>
      <w:r>
        <w:rPr>
          <w:sz w:val="21"/>
        </w:rPr>
        <w:t>11.3乙方交付的货物不符合合同规定的，甲方有权拒收，乙方向甲方支付合同金额的</w:t>
      </w:r>
      <w:r>
        <w:rPr>
          <w:sz w:val="21"/>
        </w:rPr>
        <w:t>5%</w:t>
      </w:r>
      <w:r>
        <w:rPr>
          <w:sz w:val="21"/>
        </w:rPr>
        <w:t>的违约金。</w:t>
      </w:r>
    </w:p>
    <w:p>
      <w:pPr>
        <w:jc w:val="both"/>
      </w:pPr>
      <w:r>
        <w:rPr>
          <w:sz w:val="21"/>
        </w:rPr>
        <w:t>11.4甲方无正当理由拒收货物的，甲方向乙方支付合同金额的</w:t>
      </w:r>
      <w:r>
        <w:rPr>
          <w:sz w:val="21"/>
        </w:rPr>
        <w:t>5%</w:t>
      </w:r>
      <w:r>
        <w:rPr>
          <w:sz w:val="21"/>
        </w:rPr>
        <w:t>的违约金。</w:t>
      </w:r>
    </w:p>
    <w:p>
      <w:pPr>
        <w:jc w:val="both"/>
      </w:pPr>
      <w:r>
        <w:rPr>
          <w:sz w:val="21"/>
        </w:rPr>
        <w:t>11.5若非不可抗力因素或甲方原因，乙方未能在签订合同后</w:t>
      </w:r>
      <w:r>
        <w:rPr>
          <w:sz w:val="21"/>
        </w:rPr>
        <w:t>5</w:t>
      </w:r>
      <w:r>
        <w:rPr>
          <w:sz w:val="21"/>
        </w:rPr>
        <w:t>个月内未能交付货物，则甲方有权立即终止合同，乙方须向甲方支付合同金额的</w:t>
      </w:r>
      <w:r>
        <w:rPr>
          <w:sz w:val="21"/>
        </w:rPr>
        <w:t>7.5%</w:t>
      </w:r>
      <w:r>
        <w:rPr>
          <w:sz w:val="21"/>
        </w:rPr>
        <w:t>的违约金。</w:t>
      </w:r>
    </w:p>
    <w:p>
      <w:pPr>
        <w:jc w:val="left"/>
      </w:pPr>
      <w:r>
        <w:rPr>
          <w:b/>
          <w:sz w:val="21"/>
        </w:rPr>
        <w:t>12.合同终止</w:t>
      </w:r>
    </w:p>
    <w:p>
      <w:pPr>
        <w:ind w:firstLine="480"/>
        <w:jc w:val="both"/>
      </w:pPr>
      <w:r>
        <w:rPr>
          <w:sz w:val="21"/>
        </w:rPr>
        <w:t>如果一方严重违反合同，并在收到对方违约通知书后在</w:t>
      </w:r>
      <w:r>
        <w:rPr>
          <w:sz w:val="21"/>
        </w:rPr>
        <w:t>30天内仍未能改正违约的另一方可立即终止本合同。</w:t>
      </w:r>
    </w:p>
    <w:p>
      <w:pPr>
        <w:jc w:val="left"/>
      </w:pPr>
      <w:r>
        <w:rPr>
          <w:b/>
          <w:sz w:val="21"/>
        </w:rPr>
        <w:t>13.法律诉讼</w:t>
      </w:r>
    </w:p>
    <w:p>
      <w:pPr>
        <w:ind w:firstLine="120"/>
        <w:jc w:val="both"/>
      </w:pPr>
      <w:r>
        <w:rPr>
          <w:sz w:val="21"/>
        </w:rPr>
        <w:t xml:space="preserve"> </w:t>
      </w:r>
      <w:r>
        <w:rPr>
          <w:sz w:val="21"/>
        </w:rPr>
        <w:t>签约双方在履约中发生争执和分歧，双方应通过友好协商解决，若经协商不能达成协议时，则任何一方有权向甲方所在地人民法院提起诉讼。诉讼进行过程中，除双方有争议的部分外，本合同其他部分仍然有效，各方应继续履行。</w:t>
      </w:r>
    </w:p>
    <w:p>
      <w:pPr>
        <w:jc w:val="left"/>
      </w:pPr>
      <w:r>
        <w:rPr>
          <w:b/>
          <w:sz w:val="21"/>
        </w:rPr>
        <w:t>14.其他</w:t>
      </w:r>
    </w:p>
    <w:p>
      <w:pPr>
        <w:jc w:val="both"/>
      </w:pPr>
      <w:r>
        <w:rPr>
          <w:sz w:val="21"/>
        </w:rPr>
        <w:t>14.1本合同正本一式陆份，具有同等法律效力，甲方伍份，乙方壹份。合同自双方签字盖章之日起即时生效。</w:t>
      </w:r>
    </w:p>
    <w:p>
      <w:pPr>
        <w:ind w:firstLine="120"/>
        <w:jc w:val="both"/>
      </w:pPr>
      <w:r>
        <w:rPr>
          <w:sz w:val="21"/>
        </w:rPr>
        <w:t>14.2本合同未尽事宜，由双方协商处理。</w:t>
      </w:r>
    </w:p>
    <w:p>
      <w:pPr>
        <w:jc w:val="both"/>
      </w:pPr>
      <w:r>
        <w:rPr>
          <w:b/>
          <w:sz w:val="21"/>
        </w:rPr>
        <w:t>（以下无正文）</w:t>
      </w:r>
    </w:p>
    <w:p>
      <w:pPr>
        <w:jc w:val="both"/>
      </w:pPr>
      <w:r>
        <w:rPr>
          <w:b/>
          <w:sz w:val="21"/>
        </w:rPr>
        <w:t>甲方：</w:t>
      </w:r>
      <w:r>
        <w:rPr>
          <w:b/>
          <w:sz w:val="21"/>
          <w:u w:val="single"/>
        </w:rPr>
        <w:t>中山大学附属第六医院</w:t>
      </w:r>
      <w:r>
        <w:rPr>
          <w:b/>
          <w:sz w:val="21"/>
        </w:rPr>
        <w:t xml:space="preserve">               </w:t>
      </w:r>
      <w:r>
        <w:rPr>
          <w:b/>
          <w:sz w:val="21"/>
        </w:rPr>
        <w:t>乙方：</w:t>
      </w:r>
    </w:p>
    <w:p>
      <w:pPr>
        <w:jc w:val="both"/>
      </w:pPr>
      <w:r>
        <w:rPr>
          <w:b/>
          <w:sz w:val="21"/>
        </w:rPr>
        <w:t>签约代表：</w:t>
      </w:r>
      <w:r>
        <w:rPr>
          <w:b/>
          <w:sz w:val="21"/>
        </w:rPr>
        <w:t xml:space="preserve">                              </w:t>
      </w:r>
      <w:r>
        <w:rPr>
          <w:b/>
          <w:sz w:val="21"/>
        </w:rPr>
        <w:t>签约代表：</w:t>
      </w:r>
    </w:p>
    <w:p>
      <w:pPr>
        <w:jc w:val="both"/>
      </w:pPr>
      <w:r>
        <w:rPr>
          <w:b/>
          <w:sz w:val="21"/>
        </w:rPr>
        <w:t>地址：广州市天河区员村二横路</w:t>
      </w:r>
      <w:r>
        <w:rPr>
          <w:b/>
          <w:sz w:val="21"/>
        </w:rPr>
        <w:t xml:space="preserve">            </w:t>
      </w:r>
      <w:r>
        <w:rPr>
          <w:b/>
          <w:sz w:val="21"/>
        </w:rPr>
        <w:t>地址：</w:t>
      </w:r>
    </w:p>
    <w:p>
      <w:pPr>
        <w:jc w:val="both"/>
      </w:pPr>
      <w:r>
        <w:rPr>
          <w:b/>
          <w:sz w:val="21"/>
        </w:rPr>
        <w:t>签约日期：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r>
        <w:rPr>
          <w:b/>
          <w:sz w:val="21"/>
        </w:rPr>
        <w:t xml:space="preserve">             </w:t>
      </w:r>
      <w:r>
        <w:rPr>
          <w:b/>
          <w:sz w:val="21"/>
        </w:rPr>
        <w:t>签约日期：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p>
    <w:p>
      <w:pPr>
        <w:jc w:val="both"/>
      </w:pPr>
      <w:r>
        <w:rPr>
          <w:b/>
          <w:sz w:val="21"/>
        </w:rPr>
        <w:t xml:space="preserve"> </w:t>
      </w:r>
    </w:p>
    <w:p>
      <w:pPr>
        <w:jc w:val="both"/>
      </w:pPr>
      <w:r>
        <w:rPr>
          <w:sz w:val="21"/>
        </w:rPr>
        <w:t xml:space="preserve"> </w:t>
      </w:r>
    </w:p>
    <w:p>
      <w:pPr>
        <w:jc w:val="left"/>
      </w:pPr>
      <w:r>
        <w:rPr>
          <w:sz w:val="21"/>
        </w:rPr>
        <w:t xml:space="preserve"> </w:t>
      </w:r>
    </w:p>
    <w:p>
      <w:pPr>
        <w:jc w:val="both"/>
      </w:pPr>
      <w:r>
        <w:rPr>
          <w:sz w:val="21"/>
        </w:rPr>
        <w:t xml:space="preserve"> </w:t>
      </w:r>
    </w:p>
    <w:p>
      <w:pPr>
        <w:jc w:val="both"/>
      </w:pPr>
      <w:r>
        <w:rPr>
          <w:b/>
          <w:sz w:val="21"/>
        </w:rPr>
        <w:t xml:space="preserve"> </w:t>
      </w:r>
    </w:p>
    <w:p>
      <w:pPr>
        <w:jc w:val="both"/>
      </w:pPr>
    </w:p>
    <w:p/>
    <w:p/>
    <w:p>
      <w:r>
        <w:rPr/>
        <w:t xml:space="preserve"> </w:t>
      </w:r>
    </w:p>
    <w:p>
      <w:pPr>
        <w:jc w:val="both"/>
      </w:pPr>
      <w:r>
        <w:rPr>
          <w:b/>
          <w:sz w:val="21"/>
        </w:rPr>
        <w:t xml:space="preserve"> </w:t>
      </w:r>
      <w:r>
        <w:rPr>
          <w:b/>
          <w:sz w:val="21"/>
        </w:rPr>
        <w:t>附件</w:t>
      </w:r>
      <w:r>
        <w:rPr>
          <w:b/>
          <w:sz w:val="21"/>
        </w:rPr>
        <w:t xml:space="preserve">1 配置清单            </w:t>
      </w:r>
    </w:p>
    <w:tbl>
      <w:tblPr>
        <w:tblW w:w="0" w:type="auto"/>
        <w:tblBorders>
          <w:top w:val="none" w:color="000000" w:sz="4"/>
          <w:left w:val="none" w:color="000000" w:sz="4"/>
          <w:bottom w:val="none" w:color="000000" w:sz="4"/>
          <w:right w:val="none" w:color="000000" w:sz="4"/>
          <w:insideH w:val="none"/>
          <w:insideV w:val="none"/>
        </w:tblBorders>
      </w:tblPr>
      <w:tblGrid>
        <w:gridCol w:w="597"/>
        <w:gridCol w:w="1471"/>
        <w:gridCol w:w="1471"/>
        <w:gridCol w:w="1080"/>
        <w:gridCol w:w="1152"/>
        <w:gridCol w:w="582"/>
        <w:gridCol w:w="623"/>
        <w:gridCol w:w="637"/>
        <w:gridCol w:w="693"/>
      </w:tblGrid>
      <w:tr>
        <w:tc>
          <w:tcPr>
            <w:tcW w:type="dxa" w:w="597"/>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71"/>
            <w:tcBorders>
              <w:top w:val="single" w:color="000000" w:sz="4"/>
              <w:left w:val="none" w:color="000000" w:sz="4"/>
              <w:bottom w:val="single" w:color="000000" w:sz="4"/>
              <w:right w:val="single" w:color="000000" w:sz="4"/>
            </w:tcBorders>
            <w:vAlign w:val="top"/>
          </w:tcPr>
          <w:p>
            <w:pPr>
              <w:jc w:val="center"/>
            </w:pPr>
            <w:r>
              <w:rPr>
                <w:b/>
                <w:sz w:val="21"/>
              </w:rPr>
              <w:t>产品名称</w:t>
            </w:r>
          </w:p>
        </w:tc>
        <w:tc>
          <w:tcPr>
            <w:tcW w:type="dxa" w:w="1471"/>
            <w:tcBorders>
              <w:top w:val="single" w:color="000000" w:sz="4"/>
              <w:left w:val="none" w:color="000000" w:sz="4"/>
              <w:bottom w:val="single" w:color="000000" w:sz="4"/>
              <w:right w:val="single" w:color="000000" w:sz="4"/>
            </w:tcBorders>
            <w:vAlign w:val="top"/>
          </w:tcPr>
          <w:p>
            <w:pPr>
              <w:jc w:val="center"/>
            </w:pPr>
            <w:r>
              <w:rPr>
                <w:b/>
                <w:sz w:val="21"/>
              </w:rPr>
              <w:t>产品型号</w:t>
            </w:r>
          </w:p>
        </w:tc>
        <w:tc>
          <w:tcPr>
            <w:tcW w:type="dxa" w:w="1080"/>
            <w:tcBorders>
              <w:top w:val="single" w:color="000000" w:sz="4"/>
              <w:left w:val="none" w:color="000000" w:sz="4"/>
              <w:bottom w:val="single" w:color="000000" w:sz="4"/>
              <w:right w:val="single" w:color="000000" w:sz="4"/>
            </w:tcBorders>
            <w:vAlign w:val="top"/>
          </w:tcPr>
          <w:p>
            <w:pPr>
              <w:jc w:val="center"/>
            </w:pPr>
            <w:r>
              <w:rPr>
                <w:b/>
                <w:sz w:val="21"/>
              </w:rPr>
              <w:t>注册证号</w:t>
            </w:r>
          </w:p>
        </w:tc>
        <w:tc>
          <w:tcPr>
            <w:tcW w:type="dxa" w:w="1152"/>
            <w:tcBorders>
              <w:top w:val="single" w:color="000000" w:sz="4"/>
              <w:left w:val="none" w:color="000000" w:sz="4"/>
              <w:bottom w:val="single" w:color="000000" w:sz="4"/>
              <w:right w:val="single" w:color="000000" w:sz="4"/>
            </w:tcBorders>
            <w:vAlign w:val="top"/>
          </w:tcPr>
          <w:p>
            <w:pPr>
              <w:jc w:val="center"/>
            </w:pPr>
            <w:r>
              <w:rPr>
                <w:b/>
                <w:sz w:val="21"/>
              </w:rPr>
              <w:t>生产厂家</w:t>
            </w:r>
          </w:p>
        </w:tc>
        <w:tc>
          <w:tcPr>
            <w:tcW w:type="dxa" w:w="582"/>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623"/>
            <w:tcBorders>
              <w:top w:val="single" w:color="000000" w:sz="4"/>
              <w:left w:val="none" w:color="000000" w:sz="4"/>
              <w:bottom w:val="single" w:color="000000" w:sz="4"/>
              <w:right w:val="single" w:color="000000" w:sz="4"/>
            </w:tcBorders>
            <w:vAlign w:val="top"/>
          </w:tcPr>
          <w:p>
            <w:pPr>
              <w:jc w:val="center"/>
            </w:pPr>
            <w:r>
              <w:rPr>
                <w:b/>
                <w:sz w:val="21"/>
              </w:rPr>
              <w:t>单位</w:t>
            </w:r>
          </w:p>
        </w:tc>
        <w:tc>
          <w:tcPr>
            <w:tcW w:type="dxa" w:w="637"/>
            <w:tcBorders>
              <w:top w:val="single" w:color="000000" w:sz="4"/>
              <w:left w:val="none" w:color="000000" w:sz="4"/>
              <w:bottom w:val="single" w:color="000000" w:sz="4"/>
              <w:right w:val="single" w:color="000000" w:sz="4"/>
            </w:tcBorders>
            <w:vAlign w:val="top"/>
          </w:tcPr>
          <w:p>
            <w:pPr>
              <w:jc w:val="center"/>
            </w:pPr>
            <w:r>
              <w:rPr>
                <w:b/>
                <w:sz w:val="21"/>
              </w:rPr>
              <w:t>单价</w:t>
            </w:r>
          </w:p>
        </w:tc>
        <w:tc>
          <w:tcPr>
            <w:tcW w:type="dxa" w:w="693"/>
            <w:tcBorders>
              <w:top w:val="single" w:color="000000" w:sz="4"/>
              <w:left w:val="none" w:color="000000" w:sz="4"/>
              <w:bottom w:val="single" w:color="000000" w:sz="4"/>
              <w:right w:val="single" w:color="000000" w:sz="4"/>
            </w:tcBorders>
            <w:vAlign w:val="top"/>
          </w:tcPr>
          <w:p>
            <w:pPr>
              <w:jc w:val="center"/>
            </w:pPr>
            <w:r>
              <w:rPr>
                <w:b/>
                <w:sz w:val="21"/>
              </w:rPr>
              <w:t>总价</w:t>
            </w: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r>
        <w:tc>
          <w:tcPr>
            <w:tcW w:type="dxa" w:w="59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471"/>
            <w:tcBorders>
              <w:top w:val="none" w:color="000000" w:sz="4"/>
              <w:left w:val="none" w:color="000000" w:sz="4"/>
              <w:bottom w:val="single" w:color="000000" w:sz="4"/>
              <w:right w:val="single" w:color="000000" w:sz="4"/>
            </w:tcBorders>
            <w:vAlign w:val="top"/>
          </w:tcPr>
          <w:p>
            <w:pPr>
              <w:jc w:val="center"/>
            </w:pPr>
          </w:p>
        </w:tc>
        <w:tc>
          <w:tcPr>
            <w:tcW w:type="dxa" w:w="1080"/>
            <w:tcBorders>
              <w:top w:val="none" w:color="000000" w:sz="4"/>
              <w:left w:val="none" w:color="000000" w:sz="4"/>
              <w:bottom w:val="single" w:color="000000" w:sz="4"/>
              <w:right w:val="single" w:color="000000" w:sz="4"/>
            </w:tcBorders>
            <w:vAlign w:val="top"/>
          </w:tcPr>
          <w:p>
            <w:pPr>
              <w:jc w:val="center"/>
            </w:pPr>
          </w:p>
        </w:tc>
        <w:tc>
          <w:tcPr>
            <w:tcW w:type="dxa" w:w="1152"/>
            <w:tcBorders>
              <w:top w:val="none" w:color="000000" w:sz="4"/>
              <w:left w:val="none" w:color="000000" w:sz="4"/>
              <w:bottom w:val="single" w:color="000000" w:sz="4"/>
              <w:right w:val="single" w:color="000000" w:sz="4"/>
            </w:tcBorders>
            <w:vAlign w:val="top"/>
          </w:tcPr>
          <w:p>
            <w:pPr>
              <w:jc w:val="center"/>
            </w:pPr>
          </w:p>
        </w:tc>
        <w:tc>
          <w:tcPr>
            <w:tcW w:type="dxa" w:w="582"/>
            <w:tcBorders>
              <w:top w:val="none" w:color="000000" w:sz="4"/>
              <w:left w:val="none" w:color="000000" w:sz="4"/>
              <w:bottom w:val="single" w:color="000000" w:sz="4"/>
              <w:right w:val="single" w:color="000000" w:sz="4"/>
            </w:tcBorders>
            <w:vAlign w:val="top"/>
          </w:tcPr>
          <w:p>
            <w:pPr>
              <w:jc w:val="center"/>
            </w:pPr>
          </w:p>
        </w:tc>
        <w:tc>
          <w:tcPr>
            <w:tcW w:type="dxa" w:w="623"/>
            <w:tcBorders>
              <w:top w:val="none" w:color="000000" w:sz="4"/>
              <w:left w:val="none" w:color="000000" w:sz="4"/>
              <w:bottom w:val="single" w:color="000000" w:sz="4"/>
              <w:right w:val="single" w:color="000000" w:sz="4"/>
            </w:tcBorders>
            <w:vAlign w:val="top"/>
          </w:tcPr>
          <w:p>
            <w:pPr>
              <w:jc w:val="center"/>
            </w:pPr>
          </w:p>
        </w:tc>
        <w:tc>
          <w:tcPr>
            <w:tcW w:type="dxa" w:w="637"/>
            <w:tcBorders>
              <w:top w:val="none" w:color="000000" w:sz="4"/>
              <w:left w:val="none" w:color="000000" w:sz="4"/>
              <w:bottom w:val="single" w:color="000000" w:sz="4"/>
              <w:right w:val="single" w:color="000000" w:sz="4"/>
            </w:tcBorders>
            <w:vAlign w:val="top"/>
          </w:tcPr>
          <w:p>
            <w:pPr>
              <w:jc w:val="center"/>
            </w:pPr>
          </w:p>
        </w:tc>
        <w:tc>
          <w:tcPr>
            <w:tcW w:type="dxa" w:w="693"/>
            <w:tcBorders>
              <w:top w:val="none" w:color="000000" w:sz="4"/>
              <w:left w:val="none" w:color="000000" w:sz="4"/>
              <w:bottom w:val="single" w:color="000000" w:sz="4"/>
              <w:right w:val="single" w:color="000000" w:sz="4"/>
            </w:tcBorders>
            <w:vAlign w:val="top"/>
          </w:tcPr>
          <w:p>
            <w:pPr>
              <w:jc w:val="center"/>
            </w:pPr>
          </w:p>
        </w:tc>
      </w:tr>
    </w:tbl>
    <w:p>
      <w:r>
        <w:rPr/>
        <w:t xml:space="preserve"> </w:t>
      </w:r>
    </w:p>
    <w:p>
      <w:r>
        <w:rPr/>
        <w:t xml:space="preserve"> </w:t>
      </w:r>
    </w:p>
    <w:p>
      <w:r>
        <w:rPr/>
        <w:t xml:space="preserve"> </w:t>
      </w:r>
    </w:p>
    <w:p>
      <w:r>
        <w:rPr/>
        <w:t xml:space="preserve"> </w:t>
      </w:r>
    </w:p>
    <w:p>
      <w:pPr>
        <w:jc w:val="center"/>
      </w:pPr>
      <w:r>
        <w:rPr>
          <w:b/>
          <w:sz w:val="21"/>
        </w:rPr>
        <w:t>廉</w:t>
      </w:r>
      <w:r>
        <w:rPr>
          <w:b/>
          <w:sz w:val="21"/>
        </w:rPr>
        <w:t>洁</w:t>
      </w:r>
      <w:r>
        <w:rPr>
          <w:b/>
          <w:sz w:val="21"/>
        </w:rPr>
        <w:t>协</w:t>
      </w:r>
      <w:r>
        <w:rPr>
          <w:b/>
          <w:sz w:val="21"/>
        </w:rPr>
        <w:t>议</w:t>
      </w:r>
      <w:r>
        <w:rPr>
          <w:b/>
          <w:sz w:val="21"/>
        </w:rPr>
        <w:t>书</w:t>
      </w:r>
    </w:p>
    <w:p>
      <w:pPr>
        <w:jc w:val="center"/>
      </w:pPr>
      <w:r>
        <w:rPr>
          <w:b/>
          <w:sz w:val="21"/>
        </w:rPr>
        <w:t xml:space="preserve"> </w:t>
      </w:r>
    </w:p>
    <w:p>
      <w:pPr>
        <w:jc w:val="both"/>
      </w:pPr>
      <w:r>
        <w:rPr>
          <w:b/>
          <w:sz w:val="21"/>
        </w:rPr>
        <w:t>甲方：中山大学附属第六医院</w:t>
      </w:r>
      <w:r>
        <w:rPr>
          <w:b/>
          <w:sz w:val="21"/>
        </w:rPr>
        <w:t xml:space="preserve">     </w:t>
      </w:r>
    </w:p>
    <w:p>
      <w:pPr>
        <w:jc w:val="both"/>
      </w:pPr>
      <w:r>
        <w:rPr>
          <w:b/>
          <w:sz w:val="21"/>
        </w:rPr>
        <w:t>乙方：</w:t>
      </w:r>
    </w:p>
    <w:p>
      <w:pPr>
        <w:jc w:val="both"/>
      </w:pPr>
      <w:r>
        <w:rPr>
          <w:sz w:val="21"/>
        </w:rPr>
        <w:t xml:space="preserve"> </w:t>
      </w:r>
    </w:p>
    <w:p>
      <w:pPr>
        <w:ind w:firstLine="480"/>
        <w:jc w:val="both"/>
      </w:pPr>
      <w:r>
        <w:rPr>
          <w:sz w:val="21"/>
        </w:rPr>
        <w:t>为进一步推进党风廉政建设和纠风工作，建立健全治理商业贿赂及创建廉洁诚信医院长效机制，现经双方协商同意签订廉洁协议书如下：</w:t>
      </w:r>
    </w:p>
    <w:p>
      <w:pPr>
        <w:ind w:firstLine="480"/>
        <w:jc w:val="both"/>
      </w:pPr>
      <w:r>
        <w:rPr>
          <w:sz w:val="21"/>
        </w:rPr>
        <w:t>一、双方必须遵纪守法，严格执行上级纠正医药购销和医疗服务中不正之风和治理商业贿赂的有关文件精神，坚持</w:t>
      </w:r>
      <w:r>
        <w:rPr>
          <w:sz w:val="21"/>
        </w:rPr>
        <w:t>“</w:t>
      </w:r>
      <w:r>
        <w:rPr>
          <w:sz w:val="21"/>
        </w:rPr>
        <w:t>标本兼治、综合治理、惩防并举</w:t>
      </w:r>
      <w:r>
        <w:rPr>
          <w:sz w:val="21"/>
        </w:rPr>
        <w:t>”</w:t>
      </w:r>
      <w:r>
        <w:rPr>
          <w:sz w:val="21"/>
        </w:rPr>
        <w:t>的原则，深化源头治理。双方应严格执行廉洁管理规定，严格执行有关管理规定。</w:t>
      </w:r>
    </w:p>
    <w:p>
      <w:pPr>
        <w:ind w:firstLine="480"/>
        <w:jc w:val="both"/>
      </w:pPr>
      <w:r>
        <w:rPr>
          <w:sz w:val="21"/>
        </w:rPr>
        <w:t>二、乙方不得派代表到医院，以借名科研费、开发费、宣传费、推销费等形式推销药品、医疗设备、医用耗材等产品，对医院领导及相关人员、医务人员发放商业贿赂等不正当行为的，一经发现，中止合同和其他一切业务。</w:t>
      </w:r>
    </w:p>
    <w:p>
      <w:pPr>
        <w:ind w:firstLine="480"/>
        <w:jc w:val="both"/>
      </w:pPr>
      <w:r>
        <w:rPr>
          <w:sz w:val="21"/>
        </w:rPr>
        <w:t>三、医院医务人员不得替乙方非法从事销售业务，一经发现按商业贿赂行为严肃处理。</w:t>
      </w:r>
    </w:p>
    <w:p>
      <w:pPr>
        <w:ind w:firstLine="645"/>
        <w:jc w:val="both"/>
      </w:pPr>
      <w:r>
        <w:rPr>
          <w:sz w:val="21"/>
        </w:rPr>
        <w:t>四、双方共同承诺坚决遵守不行贿、不受贿，做到廉洁自律，如出现有违法违纪行为，一经查实，依法依规处理。</w:t>
      </w:r>
    </w:p>
    <w:p>
      <w:pPr>
        <w:ind w:firstLine="480"/>
        <w:jc w:val="both"/>
      </w:pPr>
      <w:r>
        <w:rPr>
          <w:sz w:val="21"/>
        </w:rPr>
        <w:t>本协议书自双方签字之日起生效。</w:t>
      </w:r>
    </w:p>
    <w:p>
      <w:pPr>
        <w:ind w:firstLine="480"/>
        <w:jc w:val="both"/>
      </w:pPr>
      <w:r>
        <w:rPr>
          <w:sz w:val="21"/>
        </w:rPr>
        <w:t xml:space="preserve"> </w:t>
      </w:r>
    </w:p>
    <w:p>
      <w:pPr>
        <w:jc w:val="both"/>
      </w:pPr>
      <w:r>
        <w:rPr>
          <w:b/>
          <w:sz w:val="21"/>
        </w:rPr>
        <w:t>甲方单位（盖章）：</w:t>
      </w:r>
      <w:r>
        <w:rPr>
          <w:b/>
          <w:sz w:val="21"/>
        </w:rPr>
        <w:t xml:space="preserve">                      </w:t>
      </w:r>
      <w:r>
        <w:rPr>
          <w:b/>
          <w:sz w:val="21"/>
        </w:rPr>
        <w:t>乙方单位（盖章）：</w:t>
      </w:r>
    </w:p>
    <w:p>
      <w:pPr>
        <w:jc w:val="both"/>
      </w:pPr>
      <w:r>
        <w:rPr>
          <w:b/>
          <w:sz w:val="21"/>
        </w:rPr>
        <w:t>代表签字</w:t>
      </w:r>
      <w:r>
        <w:rPr>
          <w:b/>
          <w:sz w:val="21"/>
        </w:rPr>
        <w:t>：</w:t>
      </w:r>
      <w:r>
        <w:rPr>
          <w:b/>
          <w:sz w:val="21"/>
        </w:rPr>
        <w:t xml:space="preserve">                             </w:t>
      </w:r>
      <w:r>
        <w:rPr>
          <w:b/>
          <w:sz w:val="21"/>
        </w:rPr>
        <w:t>代表签字：</w:t>
      </w:r>
    </w:p>
    <w:p>
      <w:pPr>
        <w:jc w:val="both"/>
      </w:pPr>
      <w:r>
        <w:rPr>
          <w:b/>
          <w:sz w:val="21"/>
        </w:rPr>
        <w:t>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r>
        <w:rPr>
          <w:b/>
          <w:sz w:val="21"/>
        </w:rPr>
        <w:t xml:space="preserve">                 </w:t>
      </w:r>
      <w:r>
        <w:rPr>
          <w:b/>
          <w:sz w:val="21"/>
        </w:rPr>
        <w:t>日期：</w:t>
      </w:r>
      <w:r>
        <w:rPr>
          <w:b/>
          <w:sz w:val="21"/>
        </w:rPr>
        <w:t xml:space="preserve">  </w:t>
      </w:r>
      <w:r>
        <w:rPr>
          <w:b/>
          <w:sz w:val="21"/>
        </w:rPr>
        <w:t>年</w:t>
      </w:r>
      <w:r>
        <w:rPr>
          <w:b/>
          <w:sz w:val="21"/>
        </w:rPr>
        <w:t xml:space="preserve">   </w:t>
      </w:r>
      <w:r>
        <w:rPr>
          <w:b/>
          <w:sz w:val="21"/>
        </w:rPr>
        <w:t>月</w:t>
      </w:r>
      <w:r>
        <w:rPr>
          <w:b/>
          <w:sz w:val="21"/>
        </w:rPr>
        <w:t xml:space="preserve">    </w:t>
      </w:r>
      <w:r>
        <w:rPr>
          <w:b/>
          <w:sz w:val="21"/>
        </w:rPr>
        <w:t>日</w:t>
      </w: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440001-2023-53836</w:t>
      </w:r>
    </w:p>
    <w:p>
      <w:pPr>
        <w:jc w:val="center"/>
      </w:pPr>
      <w:r>
        <w:rPr>
          <w:b/>
          <w:sz w:val="24"/>
        </w:rPr>
        <w:t>采购项目编号：</w:t>
      </w:r>
      <w:r>
        <w:rPr>
          <w:b/>
          <w:sz w:val="24"/>
        </w:rPr>
        <w:t>GZGK23P184A0601Z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中山大学附属第六医院主动脉内球囊反搏泵采购项目(二次)</w:t>
      </w:r>
      <w:r>
        <w:rPr>
          <w:u w:val="single"/>
        </w:rPr>
        <w:t>”</w:t>
      </w:r>
      <w:r>
        <w:rPr/>
        <w:t>项目的招标[采购项目编号为：</w:t>
      </w:r>
      <w:r>
        <w:rPr>
          <w:u w:val="single"/>
        </w:rPr>
        <w:t>GZGK23P184A0601Z</w:t>
      </w:r>
      <w:r>
        <w:rPr/>
        <w:t>]，我方愿参与投标。</w:t>
      </w:r>
    </w:p>
    <w:p>
      <w:pPr>
        <w:ind w:firstLine="480"/>
      </w:pPr>
      <w:r>
        <w:rPr/>
        <w:t>我方确认收到贵方提供的</w:t>
      </w:r>
      <w:r>
        <w:rPr>
          <w:u w:val="single"/>
        </w:rPr>
        <w:t>“</w:t>
      </w:r>
      <w:r>
        <w:rPr>
          <w:u w:val="single"/>
        </w:rPr>
        <w:t>中山大学附属第六医院主动脉内球囊反搏泵采购项目(二次)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中山大学附属第六医院主动脉内球囊反搏泵采购项目(二次)</w:t>
      </w:r>
      <w:r>
        <w:rPr/>
        <w:t>”项目采购[采购项目编号为</w:t>
      </w:r>
      <w:r>
        <w:rPr/>
        <w:t>GZGK23P184A0601Z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中山大学附属第六医院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中山大学附属第六医院主动脉内球囊反搏泵采购项目(二次)</w:t>
      </w:r>
      <w:r>
        <w:rPr/>
        <w:t>招标中获中标（采购项目编号：</w:t>
      </w:r>
      <w:r>
        <w:rPr/>
        <w:t>GZGK23P184A0601Z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中山大学附属第六医院主动脉内球囊反搏泵采购项目(二次)</w:t>
      </w:r>
      <w:r>
        <w:rPr/>
        <w:t>”项目（采购项目编号：</w:t>
      </w:r>
      <w:r>
        <w:rPr/>
        <w:t>GZGK23P184A0601Z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