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440112-2023-05736</w:t>
      </w:r>
    </w:p>
    <w:p>
      <w:pPr>
        <w:jc w:val="center"/>
      </w:pPr>
      <w:r>
        <w:rPr>
          <w:b/>
          <w:sz w:val="24"/>
        </w:rPr>
        <w:t>采购项目编号：</w:t>
      </w:r>
      <w:r>
        <w:rPr>
          <w:b/>
          <w:sz w:val="24"/>
        </w:rPr>
        <w:t>GZGK23D234C0714Z</w:t>
      </w:r>
    </w:p>
    <w:p>
      <w:pPr>
        <w:jc w:val="center"/>
      </w:pPr>
      <w:r>
        <w:rPr>
          <w:b/>
          <w:sz w:val="24"/>
        </w:rPr>
        <w:t>项目名称：</w:t>
      </w:r>
      <w:r>
        <w:rPr>
          <w:b/>
          <w:sz w:val="24"/>
        </w:rPr>
        <w:t>检疫协检服务</w:t>
      </w:r>
    </w:p>
    <w:p>
      <w:pPr>
        <w:jc w:val="center"/>
      </w:pPr>
      <w:r>
        <w:rPr>
          <w:b/>
          <w:sz w:val="24"/>
        </w:rPr>
        <w:t>采购人：</w:t>
      </w:r>
      <w:r>
        <w:rPr>
          <w:b/>
          <w:sz w:val="24"/>
        </w:rPr>
        <w:t>广州市黄埔区动物卫生监督所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广州市黄埔区动物卫生监督所</w:t>
      </w:r>
      <w:r>
        <w:rPr/>
        <w:t>的委托，采用</w:t>
      </w:r>
      <w:r>
        <w:rPr/>
        <w:t>公开招标</w:t>
      </w:r>
      <w:r>
        <w:rPr/>
        <w:t>方式组织采购</w:t>
      </w:r>
      <w:r>
        <w:rPr/>
        <w:t>检疫协检服务</w:t>
      </w:r>
      <w:r>
        <w:rPr/>
        <w:t>。欢迎符合资格条件的国内供应商参加投标。</w:t>
      </w:r>
    </w:p>
    <w:p>
      <w:r>
        <w:rPr>
          <w:b/>
          <w:sz w:val="28"/>
        </w:rPr>
        <w:t>一.项目概述</w:t>
      </w:r>
    </w:p>
    <w:p>
      <w:r>
        <w:rPr>
          <w:b/>
          <w:sz w:val="24"/>
        </w:rPr>
        <w:t>1.名称与编号</w:t>
      </w:r>
    </w:p>
    <w:p>
      <w:pPr>
        <w:ind w:firstLine="480"/>
      </w:pPr>
      <w:r>
        <w:rPr/>
        <w:t>项目名称：</w:t>
      </w:r>
      <w:r>
        <w:rPr/>
        <w:t>检疫协检服务</w:t>
      </w:r>
    </w:p>
    <w:p>
      <w:pPr>
        <w:ind w:firstLine="480"/>
      </w:pPr>
      <w:r>
        <w:rPr/>
        <w:t>采购计划编号：</w:t>
      </w:r>
      <w:r>
        <w:rPr/>
        <w:t>440112-2023-05736</w:t>
      </w:r>
    </w:p>
    <w:p>
      <w:pPr>
        <w:ind w:firstLine="480"/>
      </w:pPr>
      <w:r>
        <w:rPr/>
        <w:t>采购项目编号：</w:t>
      </w:r>
      <w:r>
        <w:rPr/>
        <w:t>GZGK23D234C0714Z</w:t>
      </w:r>
    </w:p>
    <w:p>
      <w:pPr>
        <w:ind w:firstLine="480"/>
      </w:pPr>
      <w:r>
        <w:rPr/>
        <w:t>采购方式：</w:t>
      </w:r>
      <w:r>
        <w:rPr/>
        <w:t>公开招标</w:t>
      </w:r>
    </w:p>
    <w:p>
      <w:pPr>
        <w:ind w:firstLine="480"/>
      </w:pPr>
      <w:r>
        <w:rPr/>
        <w:t>预算金额：</w:t>
      </w:r>
      <w:r>
        <w:rPr/>
        <w:t>1,090,000.00</w:t>
      </w:r>
      <w:r>
        <w:rPr/>
        <w:t>元</w:t>
      </w:r>
    </w:p>
    <w:p>
      <w:r>
        <w:rPr>
          <w:b/>
          <w:sz w:val="24"/>
        </w:rPr>
        <w:t>2.项目内容及需求情况（采购项目技术规格、参数及要求）</w:t>
      </w:r>
    </w:p>
    <w:p>
      <w:pPr>
        <w:ind w:firstLine="480"/>
      </w:pPr>
    </w:p>
    <w:p/>
    <w:p>
      <w:r>
        <w:rPr/>
        <w:t>采购包1(检疫协检服务):</w:t>
      </w:r>
    </w:p>
    <w:p>
      <w:r>
        <w:rPr/>
        <w:t>采购包预算金额：1,090,000.00元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检疫协检服务</w:t>
            </w:r>
          </w:p>
        </w:tc>
        <w:tc>
          <w:tcPr>
            <w:tcW w:type="dxa" w:w="1187"/>
          </w:tcPr>
          <w:p>
            <w:r>
              <w:rPr/>
              <w:t>1.00(年)</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采购包1（检疫协检服务）：</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采购包1（检疫协检服务）：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3)投标人具有有效的CMA资质认定证书（CMA证书附表中核定的计量认证范围必须包含动物疫病检测相关内容）（注：需提供相关证明材料）</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广州市黄埔区动物卫生监督所</w:t>
      </w:r>
    </w:p>
    <w:p>
      <w:pPr>
        <w:ind w:firstLine="480"/>
      </w:pPr>
      <w:r>
        <w:rPr/>
        <w:t>地址：</w:t>
      </w:r>
      <w:r>
        <w:rPr/>
        <w:t>广州市黄埔区萝岗街孟田东路20号</w:t>
      </w:r>
    </w:p>
    <w:p>
      <w:pPr>
        <w:ind w:firstLine="480"/>
      </w:pPr>
      <w:r>
        <w:rPr/>
        <w:t>联系方式：</w:t>
      </w:r>
      <w:r>
        <w:rPr/>
        <w:t>020-82286650</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020-87688289、020-87776423</w:t>
      </w:r>
    </w:p>
    <w:p>
      <w:r>
        <w:rPr>
          <w:b/>
          <w:sz w:val="24"/>
        </w:rPr>
        <w:t>3.项目联系方式</w:t>
      </w:r>
    </w:p>
    <w:p>
      <w:pPr>
        <w:ind w:firstLine="480"/>
      </w:pPr>
      <w:r>
        <w:rPr/>
        <w:t>项目联系人：</w:t>
      </w:r>
      <w:r>
        <w:rPr/>
        <w:t>黎颖欣、董镜</w:t>
      </w:r>
    </w:p>
    <w:p>
      <w:pPr>
        <w:ind w:firstLine="480"/>
      </w:pPr>
      <w:r>
        <w:rPr/>
        <w:t>电话：</w:t>
      </w:r>
      <w:r>
        <w:rPr/>
        <w:t>020-87688289、020-87776423</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（一）项目编号：GZGK23D234C0714Z</w:t>
      </w:r>
      <w:r>
        <w:br/>
      </w:r>
      <w:r>
        <w:rPr/>
        <w:t>（二）项目名称：检疫协检服务</w:t>
      </w:r>
      <w:r>
        <w:br/>
      </w:r>
      <w:r>
        <w:rPr/>
        <w:t>（三）总体要求说明：</w:t>
      </w:r>
      <w:r>
        <w:br/>
      </w:r>
      <w:r>
        <w:rPr/>
        <w:t>1、标有“★”的条款为必须完全满足的实质性要求，投标人如有一项带“★”的条款未响应或不满足，将按无效投标处理。</w:t>
      </w:r>
      <w:r>
        <w:br/>
      </w:r>
      <w:r>
        <w:rPr/>
        <w:t>2、标有“▲”的条款为重要性要求，投标人如有“▲”的条款未响应或负偏离的将被严重扣分。</w:t>
      </w:r>
      <w:r>
        <w:br/>
      </w:r>
      <w:r>
        <w:rPr/>
        <w:t>3、投标人应对采购需求中的技术（服务）指标在响应详细内容中列出具体数值或明确承诺。如果投标人只注明“正偏离”或“无偏离”，将可能被视为“负偏离”，从而可能导致严重影响评标结果。</w:t>
      </w:r>
      <w:r>
        <w:br/>
      </w:r>
      <w:r>
        <w:rPr/>
        <w:t>4、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5、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6、涉及到软件产品的，必须采购和使用正版软件，项目中涉及计算机办公产品的，必须预装正版操作系统软件。</w:t>
      </w:r>
      <w:r>
        <w:br/>
      </w:r>
      <w:r>
        <w:rPr/>
        <w:t>7、投标人没有在投标文件中注明偏离（文字说明或在响应表注明）的参数、配置、条款视为被投标人完全接受。</w:t>
      </w:r>
      <w:r>
        <w:br/>
      </w:r>
      <w:r>
        <w:rPr/>
        <w:t>8、投标人应保证，采购人在中华人民共和国使用该货物或货物的任何一部分时，免受第三方提出的侵犯其专利权、商标权、著作权或其它知识产权的起诉。</w:t>
      </w:r>
      <w:r>
        <w:br/>
      </w:r>
      <w:r>
        <w:rPr/>
        <w:t>9、不允许中标供应商转包、分包项目内容。</w:t>
      </w:r>
      <w:r>
        <w:br/>
      </w:r>
      <w:r>
        <w:rPr/>
        <w:t>10、小型和微型企业、监狱企业和残疾人福利性单位必须按照招标（采购）文件第三章内容提供相应的资料。</w:t>
      </w:r>
      <w:r>
        <w:br/>
      </w:r>
      <w:r>
        <w:rPr/>
        <w:t>11、需落实政府采购政策为：促进中小企业发展政策、支持监狱企业发展政策、支持残疾人福利性单位发展政策、优先采购节能产品、环境标志产品相关政策等。</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r>
        <w:br/>
      </w:r>
      <w:r>
        <w:rPr/>
        <w:t>2、供应商电脑需提前安装CA签章客户端，并运行CA证书。</w:t>
      </w:r>
      <w:r>
        <w:br/>
      </w:r>
      <w:r>
        <w:rPr/>
        <w:t>3、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1、投标报价包括：投入人员的劳务费、试剂耗材等用品、业务技能培训费、税费、差旅费、伙食费以及在项目实施过程中所发生的其他一切费用，投标人投标报价中漏报、少报的费用，视为此项费用已隐含在投标报价中，投标人中标后不得再向采购人收取任何费用。</w:t>
      </w:r>
      <w:r>
        <w:br/>
      </w:r>
      <w:r>
        <w:rPr/>
        <w:t>2、2023年拟安排额度人民币218,000.00元，2024年拟安排额度人民币872,000.00元。</w:t>
      </w:r>
      <w:r>
        <w:br/>
      </w:r>
      <w:r>
        <w:rPr/>
        <w:t>（六）实现的目标</w:t>
      </w:r>
      <w:r>
        <w:br/>
      </w:r>
      <w:r>
        <w:rPr/>
        <w:t>根据《动物防疫法》、《动物检疫管理办法》、《家禽屠宰检疫规程》、《病死及病害动物无害化处理技术规范》、《广州市动物产品检疫监管工作指引（试行）》的文件部署及相关规范和要求，为采购人提供2023年黄埔区购买动物检疫协检服务。</w:t>
      </w:r>
      <w:r>
        <w:br/>
      </w:r>
      <w:r>
        <w:rPr/>
        <w:t>（七）需执行国家相关标准、行业标准、地方标准或者其他标准、规范</w:t>
      </w:r>
    </w:p>
    <w:p/>
    <w:p>
      <w:pPr>
        <w:ind w:firstLine="480"/>
      </w:pPr>
    </w:p>
    <w:p/>
    <w:p>
      <w:r>
        <w:rPr/>
        <w:t>采购包1（检疫协检服务）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自合同生效起一年。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1期：支付比例20%,1、自合同签订之日起5个工作日内，采购人支付中标人合同总金额的20%作为预付款。</w:t>
            </w:r>
          </w:p>
          <w:p/>
          <w:p>
            <w:r>
              <w:rPr/>
              <w:t>2期：支付比例80%,2、剩余款项分4次支付，按每满三个月支付一次，采购人每次支付总金额的20%进度款。 3、采购人支付款项前，中标人需提供正式的发票给采购人。</w:t>
            </w:r>
          </w:p>
        </w:tc>
      </w:tr>
      <w:tr>
        <w:tc>
          <w:tcPr>
            <w:tcW w:type="dxa" w:w="4153"/>
          </w:tcPr>
          <w:p>
            <w:r>
              <w:rPr/>
              <w:t>验收要求</w:t>
            </w:r>
          </w:p>
        </w:tc>
        <w:tc>
          <w:tcPr>
            <w:tcW w:type="dxa" w:w="4153"/>
          </w:tcPr>
          <w:p/>
          <w:p/>
          <w:p/>
          <w:p>
            <w:r>
              <w:rPr/>
              <w:t>1期：1、服务期满后，由中标供应商提出项目验收，采购人应当在收到中标供应商项目验收建议之日7个工作日内按照合同的约定对履约情况进行验收，对每一项技术、服务、安全标准的履约情况进行确认。  2、验收由采购人组织相关人员依照有关标准、项目及合同要求进行。 3、验收完毕由采购人及中标供应商在验收报告上盖章确认。  4、中标供应商开展的相关工作及提交的验收内容应得到采购人认同、验收后方为完成合同内容；对验收不合格的部分，中标供应商应在采购人规定时间内及时整改完善直至合格。因整改完善所增加的时间不计入项目服务期，中标供应商不得以此要求增加任何费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检疫协检服务</w:t>
            </w:r>
          </w:p>
        </w:tc>
        <w:tc>
          <w:tcPr>
            <w:tcW w:type="dxa" w:w="933"/>
          </w:tcPr>
          <w:p>
            <w:pPr>
              <w:jc w:val="left"/>
            </w:pPr>
            <w:r>
              <w:rPr/>
              <w:t>年</w:t>
            </w:r>
          </w:p>
        </w:tc>
        <w:tc>
          <w:tcPr>
            <w:tcW w:type="dxa" w:w="933"/>
          </w:tcPr>
          <w:p>
            <w:pPr>
              <w:jc w:val="right"/>
            </w:pPr>
            <w:r>
              <w:rPr/>
              <w:t>1.00</w:t>
            </w:r>
          </w:p>
        </w:tc>
        <w:tc>
          <w:tcPr>
            <w:tcW w:type="dxa" w:w="933"/>
          </w:tcPr>
          <w:p>
            <w:pPr>
              <w:jc w:val="right"/>
            </w:pPr>
            <w:r>
              <w:rPr/>
              <w:t>1,090,000.00</w:t>
            </w:r>
          </w:p>
        </w:tc>
        <w:tc>
          <w:tcPr>
            <w:tcW w:type="dxa" w:w="933"/>
          </w:tcPr>
          <w:p>
            <w:pPr>
              <w:jc w:val="right"/>
            </w:pPr>
            <w:r>
              <w:rPr/>
              <w:t>1,090,000.00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检疫协检服务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（一）项目背景</w:t>
            </w:r>
            <w:r>
              <w:br/>
            </w:r>
            <w:r>
              <w:rPr/>
              <w:t>1.根据《中华人民共和国动物防疫法》、《动物检疫管理办法》、《家禽屠宰检疫规程》、《病死及病害动物无害化处理技术规范》、《广州市动物产品检疫监管工作指引（试行）》的文件部署及相关规范和要求，采购人对检疫协检服务进行采购。</w:t>
            </w:r>
            <w:r>
              <w:br/>
            </w:r>
            <w:r>
              <w:rPr/>
              <w:t>2.根据《动物检疫管理办法》以及采购人的“三定”方案的文件要求，黄埔区动物及其产品检疫工作和监督管理工作由广州市黄埔区动物卫生监督所实施。</w:t>
            </w:r>
            <w:r>
              <w:br/>
            </w:r>
            <w:r>
              <w:rPr/>
              <w:t>（二）项目任务</w:t>
            </w:r>
            <w:r>
              <w:br/>
            </w:r>
            <w:r>
              <w:rPr/>
              <w:t>1.项目及数量</w:t>
            </w:r>
            <w:r>
              <w:br/>
            </w:r>
            <w:r>
              <w:rPr/>
              <w:t>检疫协检服务任务为：</w:t>
            </w:r>
            <w:r>
              <w:br/>
            </w:r>
            <w:r>
              <w:rPr/>
              <w:t>（1）协助动监所检疫申报点处理屠宰检疫申报的相关工作；</w:t>
            </w:r>
            <w:r>
              <w:br/>
            </w:r>
            <w:r>
              <w:rPr/>
              <w:t>（2）协助对野生动物、实验动物、水产苗种、宠物运输等进行产地检疫（此部分工作不分节假日应全年开展），包括协助官方兽医对全区内动物（包括畜禽、水生苗种、实验动物、犬猫宠物等）、动物产品实施检疫，记录检疫情况等；</w:t>
            </w:r>
            <w:r>
              <w:br/>
            </w:r>
            <w:r>
              <w:rPr/>
              <w:t>（3）协助火村家禽深加工厂的屠宰检疫工作，该项工作需按照加工厂的生产时间派驻检疫人员24小时轮班开展检疫工作，目前火村家禽深加工厂日均屠宰量约10000羽，出证量每日约100张；</w:t>
            </w:r>
            <w:r>
              <w:br/>
            </w:r>
            <w:r>
              <w:rPr/>
              <w:t>（4）协助对零散动物饲养、马术俱乐部和区内实验养殖检查等情况进行检疫，每个月需开展3-4次。</w:t>
            </w:r>
            <w:r>
              <w:br/>
            </w:r>
            <w:r>
              <w:rPr/>
              <w:t>（5）协助参与重大动物疫情的应急检疫工作，协助开展病死畜禽无害化处理监管工作；</w:t>
            </w:r>
            <w:r>
              <w:br/>
            </w:r>
            <w:r>
              <w:rPr/>
              <w:t>（6）协助动物卫生监督执法专项工作，以及畜牧兽医行业内纠纷处理等综合服务。</w:t>
            </w:r>
            <w:r>
              <w:br/>
            </w:r>
            <w:r>
              <w:rPr/>
              <w:t>2.项目工作要求</w:t>
            </w:r>
            <w:r>
              <w:br/>
            </w:r>
            <w:r>
              <w:rPr/>
              <w:t>（1）根据《中华人民共和国动物防疫法》、《动物检疫管理办法》、《广州市动物产品检疫监管工作指引（试行）》的文件部署及相关规范和要求协助开展动物及动物产品检疫工作，主要工作内容为：负责检疫申报点动物和动物产品检疫申报工作；协助动物及动物产品现场检疫工作；负责检疫申报点动物和动物产品检疫出证工作。</w:t>
            </w:r>
            <w:r>
              <w:br/>
            </w:r>
            <w:r>
              <w:rPr/>
              <w:t>（2）根据《中华人民共和国动物防疫法》、《动物检疫管理办法》、《家禽屠宰检疫规程》、《病死及病害动物无害化处理技术规范》的要求，负责协助开展火村家禽深加工厂屠宰检疫工作，主要工作内容为：负责家禽屠宰检疫点动物和动物产品检疫申报工作；负责家禽屠宰检疫点动物和动物产品宰前检疫工作；负责家禽屠宰检疫点动物和动物产品屠宰检疫工作；负责家禽屠宰检疫点动物和动物产品检疫出证工作。</w:t>
            </w:r>
            <w:r>
              <w:br/>
            </w:r>
            <w:r>
              <w:rPr/>
              <w:t>（3）根据《中华人民共和国动物防疫法》协助采购人开展：①重大动物疫情的应急防疫检疫工作、②病死畜禽无害化应急处理监管工作、③动物卫生监督执法专项检疫工作。</w:t>
            </w:r>
            <w:r>
              <w:br/>
            </w:r>
            <w:r>
              <w:rPr/>
              <w:t>（4）未征得采购人同意前，中标人不得将检验任务外包或分包给其他机构。</w:t>
            </w:r>
            <w:r>
              <w:br/>
            </w:r>
            <w:r>
              <w:rPr/>
              <w:t>（5）工作完成后，根据采购人要求主动配合做好上级部门检查工作，按要求做好检疫记录、工作总结等，遵守采购人规章制度，不得将采购人的工作信息随意对外泄露。</w:t>
            </w:r>
            <w:r>
              <w:br/>
            </w:r>
            <w:r>
              <w:rPr/>
              <w:t>（6）中标人有义务及时向采购人提供项目服务人员有关资料，包括个人信息、健康证、劳动合同、社会保险证明、学历证明等个人资料，采购人不得随意对外泄露。</w:t>
            </w:r>
            <w:r>
              <w:br/>
            </w:r>
            <w:r>
              <w:rPr/>
              <w:t>（7）工作时间根据采购人动物检疫申报点和火村家禽深加工厂屠宰检疫点等设定。动物检疫申报点工作时间为：全年每天（9：00至12：00，14：00至18：00）。火村家禽深加工厂屠宰检疫点需全年每天24小时轮班驻场工作。</w:t>
            </w:r>
            <w:r>
              <w:br/>
            </w:r>
            <w:r>
              <w:rPr/>
              <w:t>（8）中标人须在本合同签订之日起5个工作日内，按照招标、投标文件的规定的人数、要求、服务时间，提供项目服务人员到采购人处到场服务。</w:t>
            </w:r>
            <w:r>
              <w:br/>
            </w:r>
            <w:r>
              <w:rPr/>
              <w:t>（9）中标人及其项目服务人员不得无故迟到早退、消极怠工、不服从工作安排、旷工；不得有泄露保密信息、严重失职等违反采购人管理制度的行为；不得有玩忽职守、营私舞弊、行政违法、刑事犯罪等违法行为。采购人发现有中标人派驻的项目服务人员有上述行为的，有权要求中标人更换人员，并在10个工作日内另行派驻符合合同约定的人员。</w:t>
            </w:r>
            <w:r>
              <w:br/>
            </w:r>
            <w:r>
              <w:rPr/>
              <w:t>（10）中标人应每年不少于2次对本项目服务人员加强业务技术和安全责任培训。</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广州市黄埔区动物卫生监督所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黎颖欣、董镜</w:t>
      </w:r>
    </w:p>
    <w:p>
      <w:pPr>
        <w:ind w:firstLine="480"/>
      </w:pPr>
      <w:r>
        <w:rPr/>
        <w:t>电话：</w:t>
      </w:r>
      <w:r>
        <w:rPr/>
        <w:t>020-87688289、020-87776423</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政府采购监督管理机构名称：广州市黄埔区财政局债务和采购管理处</w:t>
      </w:r>
    </w:p>
    <w:p>
      <w:r>
        <w:rPr/>
        <w:t>地  址：广州市黄埔区香雪三路1号行政中心E座123室</w:t>
      </w:r>
    </w:p>
    <w:p>
      <w:r>
        <w:rPr/>
        <w:t>电  话：020-82376610</w:t>
      </w:r>
    </w:p>
    <w:p>
      <w:r>
        <w:rPr/>
        <w:t>邮  编：510700</w:t>
      </w:r>
    </w:p>
    <w:p>
      <w:r>
        <w:rPr/>
        <w:t>传  真：020-82118411</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采购包1(检疫协检服务)：综合评分法,是指投标文件满足招标文件全部实质性要求，且按照评审因素的量化指标评审得分最高的投标人为中标候选人的评标方法。（最低报价不是中标的唯一依据。）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采购包1（检疫协检服务）：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采购包1（检疫协检服务）：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w:t>
            </w:r>
          </w:p>
        </w:tc>
        <w:tc>
          <w:tcPr>
            <w:tcW w:type="dxa" w:w="4238"/>
          </w:tcPr>
          <w:p>
            <w:r>
              <w:rPr/>
              <w:t>投标人具有有效的CMA资质认定证书（CMA证书附表中核定的计量认证范围必须包含动物疫病检测相关内容）（注：需提供相关证明材料）</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采购包1（检疫协检服务）：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采购包1(检疫协检服务):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总体服务方案（一） (3.0分)</w:t>
            </w:r>
            <w:r>
              <w:rPr/>
              <w:t>，（等次分值选择：</w:t>
            </w:r>
            <w:r>
              <w:rPr/>
              <w:t>0.0;</w:t>
            </w:r>
            <w:r>
              <w:rPr/>
              <w:t>1.0;</w:t>
            </w:r>
            <w:r>
              <w:rPr/>
              <w:t>2.0;</w:t>
            </w:r>
            <w:r>
              <w:rPr/>
              <w:t>3.0;</w:t>
            </w:r>
            <w:r>
              <w:rPr/>
              <w:t>）</w:t>
            </w:r>
          </w:p>
        </w:tc>
        <w:tc>
          <w:tcPr>
            <w:tcW w:type="dxa" w:w="5076"/>
          </w:tcPr>
          <w:p>
            <w:pPr>
              <w:jc w:val="left"/>
            </w:pPr>
            <w:r>
              <w:rPr/>
              <w:t>评标委员会根据投标人提供的总体服务方案进行综合评审，方案应包括（投标文件中方案标题应以下列方案名称命名）： 1、包含抽/取样方案； 2、检验方案； 3、响应速度。 提供全部内容得3分，每缺1项扣1分。</w:t>
            </w:r>
          </w:p>
        </w:tc>
      </w:tr>
      <w:tr>
        <w:tc>
          <w:tcPr>
            <w:tcW w:type="dxa" w:w="922"/>
            <w:gridSpan w:val="2"/>
            <w:vMerge/>
          </w:tcPr>
          <w:p/>
        </w:tc>
        <w:tc>
          <w:tcPr>
            <w:tcW w:type="dxa" w:w="2307"/>
          </w:tcPr>
          <w:p>
            <w:pPr>
              <w:jc w:val="left"/>
            </w:pPr>
            <w:r>
              <w:rPr/>
              <w:t>总体服务方案（二） (10.0分)</w:t>
            </w:r>
            <w:r>
              <w:rPr/>
              <w:t>，（等次分值选择：</w:t>
            </w:r>
            <w:r>
              <w:rPr/>
              <w:t>0.0;</w:t>
            </w:r>
            <w:r>
              <w:rPr/>
              <w:t>1.0;</w:t>
            </w:r>
            <w:r>
              <w:rPr/>
              <w:t>5.0;</w:t>
            </w:r>
            <w:r>
              <w:rPr/>
              <w:t>10.0;</w:t>
            </w:r>
            <w:r>
              <w:rPr/>
              <w:t>）</w:t>
            </w:r>
          </w:p>
        </w:tc>
        <w:tc>
          <w:tcPr>
            <w:tcW w:type="dxa" w:w="5076"/>
          </w:tcPr>
          <w:p>
            <w:pPr>
              <w:jc w:val="left"/>
            </w:pPr>
            <w:r>
              <w:rPr/>
              <w:t>评标委员会根据投标人提供的总体服务方案（一）的详细内容进行综合评审：  1、投标人项目总体服务方案有利于本项目实施，有利于实现服务效果,方案全面详细，响应速度、实施能力及可行性强得10分；   2、投标人项目总体服务方案基本满足本项目服务实施，基本满足服务效果，方案全面、实施能力及可行性一般得5分；  3、投标人项目总体服务方案不满足本项目服务实施，达不到服务效果，方案考虑不够全面、实施能力差得 1 分；  4、不提供不得分。  注：本项最高的10分。</w:t>
            </w:r>
          </w:p>
        </w:tc>
      </w:tr>
      <w:tr>
        <w:tc>
          <w:tcPr>
            <w:tcW w:type="dxa" w:w="922"/>
            <w:gridSpan w:val="2"/>
            <w:vMerge/>
          </w:tcPr>
          <w:p/>
        </w:tc>
        <w:tc>
          <w:tcPr>
            <w:tcW w:type="dxa" w:w="2307"/>
          </w:tcPr>
          <w:p>
            <w:pPr>
              <w:jc w:val="left"/>
            </w:pPr>
            <w:r>
              <w:rPr/>
              <w:t>服务团队人员专业及数量情况 (12.0分)</w:t>
            </w:r>
          </w:p>
        </w:tc>
        <w:tc>
          <w:tcPr>
            <w:tcW w:type="dxa" w:w="5076"/>
          </w:tcPr>
          <w:p>
            <w:pPr>
              <w:jc w:val="left"/>
            </w:pPr>
            <w:r>
              <w:rPr/>
              <w:t>1、每提供1名畜牧兽医类专业或食品类专业或检测类专业人员具体承担业务工作得2分，最高得10分。  2、每提供1名管理类或者法律类专业人员负责本项目的综合服务，包括协助本项目业务量调配、人员安排和考勤考核，以及涉及到检疫防疫业务法务事务或纠纷事务的处理，提升本项目综合服务水平的，得2分，最高得2分。 注：需提供人员相关证书复印件和人员近六个月内（扣除发布招标公告当月往前顺推六个月）任一个月在投标人单位缴纳社保的证明复印件（或与投标人单位签订的劳动合同复印件）。不符合或不提供不得分。</w:t>
            </w:r>
          </w:p>
        </w:tc>
      </w:tr>
      <w:tr>
        <w:tc>
          <w:tcPr>
            <w:tcW w:type="dxa" w:w="922"/>
            <w:gridSpan w:val="2"/>
            <w:vMerge/>
          </w:tcPr>
          <w:p/>
        </w:tc>
        <w:tc>
          <w:tcPr>
            <w:tcW w:type="dxa" w:w="2307"/>
          </w:tcPr>
          <w:p>
            <w:pPr>
              <w:jc w:val="left"/>
            </w:pPr>
            <w:r>
              <w:rPr/>
              <w:t>服务水平情况 (9.0分)</w:t>
            </w:r>
          </w:p>
        </w:tc>
        <w:tc>
          <w:tcPr>
            <w:tcW w:type="dxa" w:w="5076"/>
          </w:tcPr>
          <w:p>
            <w:pPr>
              <w:jc w:val="left"/>
            </w:pPr>
            <w:r>
              <w:rPr/>
              <w:t>在满足拟投入本项目“服务团队人员专业及数量情况”要求的人员中，每具有1个本科或以上学历的得1.5分，最高9分。  注：提供相关证明材料加盖公章。</w:t>
            </w:r>
          </w:p>
        </w:tc>
      </w:tr>
      <w:tr>
        <w:tc>
          <w:tcPr>
            <w:tcW w:type="dxa" w:w="922"/>
            <w:gridSpan w:val="2"/>
            <w:vMerge/>
          </w:tcPr>
          <w:p/>
        </w:tc>
        <w:tc>
          <w:tcPr>
            <w:tcW w:type="dxa" w:w="2307"/>
          </w:tcPr>
          <w:p>
            <w:pPr>
              <w:jc w:val="left"/>
            </w:pPr>
            <w:r>
              <w:rPr/>
              <w:t>服务承诺及质量保证措施（一） (3.0分)</w:t>
            </w:r>
            <w:r>
              <w:rPr/>
              <w:t>，（等次分值选择：</w:t>
            </w:r>
            <w:r>
              <w:rPr/>
              <w:t>0.0;</w:t>
            </w:r>
            <w:r>
              <w:rPr/>
              <w:t>1.0;</w:t>
            </w:r>
            <w:r>
              <w:rPr/>
              <w:t>2.0;</w:t>
            </w:r>
            <w:r>
              <w:rPr/>
              <w:t>3.0;</w:t>
            </w:r>
            <w:r>
              <w:rPr/>
              <w:t>）</w:t>
            </w:r>
          </w:p>
        </w:tc>
        <w:tc>
          <w:tcPr>
            <w:tcW w:type="dxa" w:w="5076"/>
          </w:tcPr>
          <w:p>
            <w:pPr>
              <w:jc w:val="left"/>
            </w:pPr>
            <w:r>
              <w:rPr/>
              <w:t>评标委员会根据投标人提供的服务承诺及质量保证措施进行综合评审，方案应包括（投标文件中方案标题应以下列方案名称命名）： 1、质量控制； 2、保障措施和方法； 3、服务保障承诺。 提供全部内容得3分，每缺1项扣1分。</w:t>
            </w:r>
          </w:p>
        </w:tc>
      </w:tr>
      <w:tr>
        <w:tc>
          <w:tcPr>
            <w:tcW w:type="dxa" w:w="922"/>
            <w:gridSpan w:val="2"/>
            <w:vMerge/>
          </w:tcPr>
          <w:p/>
        </w:tc>
        <w:tc>
          <w:tcPr>
            <w:tcW w:type="dxa" w:w="2307"/>
          </w:tcPr>
          <w:p>
            <w:pPr>
              <w:jc w:val="left"/>
            </w:pPr>
            <w:r>
              <w:rPr/>
              <w:t>服务承诺及质量保证措施（二） (10.0分)</w:t>
            </w:r>
            <w:r>
              <w:rPr/>
              <w:t>，（等次分值选择：</w:t>
            </w:r>
            <w:r>
              <w:rPr/>
              <w:t>0.0;</w:t>
            </w:r>
            <w:r>
              <w:rPr/>
              <w:t>1.0;</w:t>
            </w:r>
            <w:r>
              <w:rPr/>
              <w:t>5.0;</w:t>
            </w:r>
            <w:r>
              <w:rPr/>
              <w:t>10.0;</w:t>
            </w:r>
            <w:r>
              <w:rPr/>
              <w:t>）</w:t>
            </w:r>
          </w:p>
        </w:tc>
        <w:tc>
          <w:tcPr>
            <w:tcW w:type="dxa" w:w="5076"/>
          </w:tcPr>
          <w:p>
            <w:pPr>
              <w:jc w:val="left"/>
            </w:pPr>
            <w:r>
              <w:rPr/>
              <w:t>评标委员会根据投标人提供的服务承诺及质量保证措施（一）的详细内容进行综合评审：  1、投标人的服务承诺及质量保证措施有利于本项目实施，有利于实现服务效果,措施完善全面，项目质量控制能力很强得10分； 2、投标人的服务承诺及质量保证措施基本满足本项目服务实施，基本满足服务效果，措施一般完善全面，项目质量控制能力一般得5分；  3、投标人的服务承诺及质量保证措施不满足本项目服务实施，达不到服务效果，措施较差，项目质量控制能力较差得 1 分；  4、不提供不得分。  注：本项最高的10分。</w:t>
            </w:r>
          </w:p>
        </w:tc>
      </w:tr>
      <w:tr>
        <w:tc>
          <w:tcPr>
            <w:tcW w:type="dxa" w:w="922"/>
            <w:gridSpan w:val="2"/>
            <w:vMerge/>
          </w:tcPr>
          <w:p/>
        </w:tc>
        <w:tc>
          <w:tcPr>
            <w:tcW w:type="dxa" w:w="2307"/>
          </w:tcPr>
          <w:p>
            <w:pPr>
              <w:jc w:val="left"/>
            </w:pPr>
            <w:r>
              <w:rPr/>
              <w:t>项目计划实施的制度保障（一） (3.0分)</w:t>
            </w:r>
            <w:r>
              <w:rPr/>
              <w:t>，（等次分值选择：</w:t>
            </w:r>
            <w:r>
              <w:rPr/>
              <w:t>0.0;</w:t>
            </w:r>
            <w:r>
              <w:rPr/>
              <w:t>1.0;</w:t>
            </w:r>
            <w:r>
              <w:rPr/>
              <w:t>2.0;</w:t>
            </w:r>
            <w:r>
              <w:rPr/>
              <w:t>3.0;</w:t>
            </w:r>
            <w:r>
              <w:rPr/>
              <w:t>）</w:t>
            </w:r>
          </w:p>
        </w:tc>
        <w:tc>
          <w:tcPr>
            <w:tcW w:type="dxa" w:w="5076"/>
          </w:tcPr>
          <w:p>
            <w:pPr>
              <w:jc w:val="left"/>
            </w:pPr>
            <w:r>
              <w:rPr/>
              <w:t>评标委员会根据投标人提供的项目计划实施的制度保障进行综合评审，方案应包括（投标文件中方案标题应以下列方案名称命名）： 1、计划实施制定； 2、工作制度； 3、保障服务计划。 提供全部内容得3分，每缺1项扣1分。</w:t>
            </w:r>
          </w:p>
        </w:tc>
      </w:tr>
      <w:tr>
        <w:tc>
          <w:tcPr>
            <w:tcW w:type="dxa" w:w="922"/>
            <w:gridSpan w:val="2"/>
            <w:vMerge/>
          </w:tcPr>
          <w:p/>
        </w:tc>
        <w:tc>
          <w:tcPr>
            <w:tcW w:type="dxa" w:w="2307"/>
          </w:tcPr>
          <w:p>
            <w:pPr>
              <w:jc w:val="left"/>
            </w:pPr>
            <w:r>
              <w:rPr/>
              <w:t>项目计划实施的制度保障（二） (10.0分)</w:t>
            </w:r>
            <w:r>
              <w:rPr/>
              <w:t>，（等次分值选择：</w:t>
            </w:r>
            <w:r>
              <w:rPr/>
              <w:t>0.0;</w:t>
            </w:r>
            <w:r>
              <w:rPr/>
              <w:t>1.0;</w:t>
            </w:r>
            <w:r>
              <w:rPr/>
              <w:t>5.0;</w:t>
            </w:r>
            <w:r>
              <w:rPr/>
              <w:t>10.0;</w:t>
            </w:r>
            <w:r>
              <w:rPr/>
              <w:t>）</w:t>
            </w:r>
          </w:p>
        </w:tc>
        <w:tc>
          <w:tcPr>
            <w:tcW w:type="dxa" w:w="5076"/>
          </w:tcPr>
          <w:p>
            <w:pPr>
              <w:jc w:val="left"/>
            </w:pPr>
            <w:r>
              <w:rPr/>
              <w:t>评标委员会根据投标人提供的项目计划实施的制度保障（一）的详细内容进行综合评审：  1、有系统的服务保障制度，有利于本项目实施，有利于实现服务效果,制度合理性和可执行性强，得10分；  2、有系统的服务保障制度，基本满足本项目服务实施，基本满足服务效果，具有一定的合理性和可执行性，得5分；  3、有服务保障制度，不满足本项目服务实施，达不到服务效果，但可执行性较低的，得1分；  4、无相关保障运行制度的，得 0 分。  注：本项最高的10分。</w:t>
            </w:r>
          </w:p>
        </w:tc>
      </w:tr>
      <w:tr>
        <w:tc>
          <w:tcPr>
            <w:tcW w:type="dxa" w:w="922"/>
            <w:gridSpan w:val="2"/>
            <w:vMerge w:val="restart"/>
          </w:tcPr>
          <w:p>
            <w:pPr>
              <w:jc w:val="center"/>
            </w:pPr>
            <w:r>
              <w:rPr/>
              <w:t>商务部分</w:t>
            </w:r>
          </w:p>
        </w:tc>
        <w:tc>
          <w:tcPr>
            <w:tcW w:type="dxa" w:w="2307"/>
          </w:tcPr>
          <w:p>
            <w:pPr>
              <w:jc w:val="left"/>
            </w:pPr>
            <w:r>
              <w:rPr/>
              <w:t>管理体系认证证 (9.0分)</w:t>
            </w:r>
          </w:p>
        </w:tc>
        <w:tc>
          <w:tcPr>
            <w:tcW w:type="dxa" w:w="5076"/>
          </w:tcPr>
          <w:p>
            <w:pPr>
              <w:jc w:val="left"/>
            </w:pPr>
            <w:r>
              <w:rPr/>
              <w:t>投标人具有有效期内的质量管理体系认证证书、环境管理体系认证证书、职业健康安全管理体系认证证书，每提供一项认证得3分，最高得9分。  注：需提供相关证书复印件并加盖公章，不提供不得分。</w:t>
            </w:r>
          </w:p>
        </w:tc>
      </w:tr>
      <w:tr>
        <w:tc>
          <w:tcPr>
            <w:tcW w:type="dxa" w:w="922"/>
            <w:gridSpan w:val="2"/>
            <w:vMerge/>
          </w:tcPr>
          <w:p/>
        </w:tc>
        <w:tc>
          <w:tcPr>
            <w:tcW w:type="dxa" w:w="2307"/>
          </w:tcPr>
          <w:p>
            <w:pPr>
              <w:jc w:val="left"/>
            </w:pPr>
            <w:r>
              <w:rPr/>
              <w:t>投标人的同类项目经验 (7.0分)</w:t>
            </w:r>
          </w:p>
        </w:tc>
        <w:tc>
          <w:tcPr>
            <w:tcW w:type="dxa" w:w="5076"/>
          </w:tcPr>
          <w:p>
            <w:pPr>
              <w:jc w:val="left"/>
            </w:pPr>
            <w:r>
              <w:rPr/>
              <w:t>投标人2020年1月1日以来独立承担过同类项目业绩，每项得1分，本项最高7分。  注：以合同签订时间为准，须同时提供合同及检验报告复印件，提供材料不全或者不提供不得分。</w:t>
            </w:r>
          </w:p>
        </w:tc>
      </w:tr>
      <w:tr>
        <w:tc>
          <w:tcPr>
            <w:tcW w:type="dxa" w:w="922"/>
            <w:gridSpan w:val="2"/>
            <w:vMerge/>
          </w:tcPr>
          <w:p/>
        </w:tc>
        <w:tc>
          <w:tcPr>
            <w:tcW w:type="dxa" w:w="2307"/>
          </w:tcPr>
          <w:p>
            <w:pPr>
              <w:jc w:val="left"/>
            </w:pPr>
            <w:r>
              <w:rPr/>
              <w:t>承担检疫内容的完整度 (9.0分)</w:t>
            </w:r>
          </w:p>
        </w:tc>
        <w:tc>
          <w:tcPr>
            <w:tcW w:type="dxa" w:w="5076"/>
          </w:tcPr>
          <w:p>
            <w:pPr>
              <w:jc w:val="left"/>
            </w:pPr>
            <w:r>
              <w:rPr/>
              <w:t>依据《家禽屠宰检疫规程》能够完成禽白血病、鸭瘟、禽痘、禽结核病、高致病性禽流感、新城疫、小鹅瘟、马立克氏病、鸡球虫病。能承检所有检验项目的得9分；不能承检的单项项目每一个扣1分，扣完为止。  注：需提供承诺函并加盖公章，格式自拟，不提供不得分。本项最高的9分。</w:t>
            </w:r>
          </w:p>
        </w:tc>
      </w:tr>
      <w:tr>
        <w:tc>
          <w:tcPr>
            <w:tcW w:type="dxa" w:w="922"/>
            <w:gridSpan w:val="2"/>
            <w:vMerge/>
          </w:tcPr>
          <w:p/>
        </w:tc>
        <w:tc>
          <w:tcPr>
            <w:tcW w:type="dxa" w:w="2307"/>
          </w:tcPr>
          <w:p>
            <w:pPr>
              <w:jc w:val="left"/>
            </w:pPr>
            <w:r>
              <w:rPr/>
              <w:t>企业实力 (5.0分)</w:t>
            </w:r>
          </w:p>
        </w:tc>
        <w:tc>
          <w:tcPr>
            <w:tcW w:type="dxa" w:w="5076"/>
          </w:tcPr>
          <w:p>
            <w:pPr>
              <w:jc w:val="left"/>
            </w:pPr>
            <w:r>
              <w:rPr/>
              <w:t>投标人获中国合格评定国家认可委员会（CNAS）认可的，得5分。 注：需提供认可证书复印件，认可证书中载明地址需与企业注册的地址一致，不提供不得分。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jc w:val="center"/>
      </w:pPr>
    </w:p>
    <w:p/>
    <w:p>
      <w:pPr>
        <w:jc w:val="center"/>
      </w:pPr>
      <w:r>
        <w:rPr>
          <w:b/>
          <w:sz w:val="28"/>
        </w:rPr>
        <w:t>政府采购合同</w:t>
      </w:r>
    </w:p>
    <w:p>
      <w:r>
        <w:rPr/>
        <w:t xml:space="preserve"> </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签订类型：年度合同</w:t>
      </w:r>
    </w:p>
    <w:p>
      <w:pPr>
        <w:jc w:val="both"/>
      </w:pPr>
      <w:r>
        <w:rPr>
          <w:sz w:val="21"/>
        </w:rPr>
        <w:t>合同范本：采购合同</w:t>
      </w:r>
    </w:p>
    <w:p>
      <w:pPr>
        <w:jc w:val="both"/>
      </w:pPr>
      <w:r>
        <w:rPr>
          <w:sz w:val="21"/>
        </w:rPr>
        <w:t>合同期限：</w:t>
      </w:r>
    </w:p>
    <w:p>
      <w:pPr>
        <w:jc w:val="both"/>
      </w:pPr>
      <w:r>
        <w:rPr>
          <w:sz w:val="21"/>
        </w:rPr>
        <w:t>是否包含涉密条款：否</w:t>
      </w:r>
    </w:p>
    <w:p>
      <w:pPr>
        <w:jc w:val="both"/>
      </w:pPr>
      <w:r>
        <w:rPr>
          <w:sz w:val="21"/>
        </w:rPr>
        <w:t>备注：</w:t>
      </w: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根据《中华人民共和国政府采购法》、《中华人民共和国民法典》等相关法律法规及检疫协检服务招标文件（项目编号：</w:t>
      </w:r>
      <w:r>
        <w:rPr>
          <w:sz w:val="21"/>
        </w:rPr>
        <w:t>GZGK23D234C0714Z）的要求，经双方协商，本着平等互利和诚实信用的原则，一致同意签订本合同。</w:t>
      </w:r>
    </w:p>
    <w:p>
      <w:pPr>
        <w:jc w:val="both"/>
      </w:pPr>
      <w:r>
        <w:rPr/>
        <w:t>一、合同采购内容</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1127"/>
        <w:gridCol w:w="1448"/>
        <w:gridCol w:w="1627"/>
        <w:gridCol w:w="1730"/>
        <w:gridCol w:w="1448"/>
        <w:gridCol w:w="1448"/>
        <w:gridCol w:w="1192"/>
        <w:gridCol w:w="1192"/>
        <w:gridCol w:w="1192"/>
      </w:tblGrid>
      <w:tr>
        <w:tc>
          <w:tcPr>
            <w:tcW w:type="dxa" w:w="112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448"/>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627"/>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730"/>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1448"/>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1448"/>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1192"/>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1192"/>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1192"/>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112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48"/>
            <w:tcBorders>
              <w:top w:val="none" w:color="000000" w:sz="4"/>
              <w:left w:val="none" w:color="000000" w:sz="4"/>
              <w:bottom w:val="single" w:color="000000" w:sz="4"/>
              <w:right w:val="single" w:color="000000" w:sz="4"/>
            </w:tcBorders>
            <w:vAlign w:val="top"/>
          </w:tcPr>
          <w:p>
            <w:pPr>
              <w:jc w:val="both"/>
            </w:pPr>
          </w:p>
        </w:tc>
        <w:tc>
          <w:tcPr>
            <w:tcW w:type="dxa" w:w="1627"/>
            <w:tcBorders>
              <w:top w:val="none" w:color="000000" w:sz="4"/>
              <w:left w:val="none" w:color="000000" w:sz="4"/>
              <w:bottom w:val="single" w:color="000000" w:sz="4"/>
              <w:right w:val="single" w:color="000000" w:sz="4"/>
            </w:tcBorders>
            <w:vAlign w:val="top"/>
          </w:tcPr>
          <w:p>
            <w:pPr>
              <w:jc w:val="both"/>
            </w:pPr>
          </w:p>
        </w:tc>
        <w:tc>
          <w:tcPr>
            <w:tcW w:type="dxa" w:w="1730"/>
            <w:tcBorders>
              <w:top w:val="none" w:color="000000" w:sz="4"/>
              <w:left w:val="none" w:color="000000" w:sz="4"/>
              <w:bottom w:val="single" w:color="000000" w:sz="4"/>
              <w:right w:val="single" w:color="000000" w:sz="4"/>
            </w:tcBorders>
            <w:vAlign w:val="top"/>
          </w:tcPr>
          <w:p>
            <w:pPr>
              <w:jc w:val="both"/>
            </w:pPr>
          </w:p>
        </w:tc>
        <w:tc>
          <w:tcPr>
            <w:tcW w:type="dxa" w:w="1448"/>
            <w:tcBorders>
              <w:top w:val="none" w:color="000000" w:sz="4"/>
              <w:left w:val="none" w:color="000000" w:sz="4"/>
              <w:bottom w:val="single" w:color="000000" w:sz="4"/>
              <w:right w:val="single" w:color="000000" w:sz="4"/>
            </w:tcBorders>
            <w:vAlign w:val="top"/>
          </w:tcPr>
          <w:p>
            <w:pPr>
              <w:jc w:val="both"/>
            </w:pPr>
          </w:p>
        </w:tc>
        <w:tc>
          <w:tcPr>
            <w:tcW w:type="dxa" w:w="1448"/>
            <w:tcBorders>
              <w:top w:val="none" w:color="000000" w:sz="4"/>
              <w:left w:val="none" w:color="000000" w:sz="4"/>
              <w:bottom w:val="single" w:color="000000" w:sz="4"/>
              <w:right w:val="single" w:color="000000" w:sz="4"/>
            </w:tcBorders>
            <w:vAlign w:val="top"/>
          </w:tcPr>
          <w:p>
            <w:pPr>
              <w:jc w:val="both"/>
            </w:pPr>
          </w:p>
        </w:tc>
        <w:tc>
          <w:tcPr>
            <w:tcW w:type="dxa" w:w="1192"/>
            <w:tcBorders>
              <w:top w:val="none" w:color="000000" w:sz="4"/>
              <w:left w:val="none" w:color="000000" w:sz="4"/>
              <w:bottom w:val="single" w:color="000000" w:sz="4"/>
              <w:right w:val="single" w:color="000000" w:sz="4"/>
            </w:tcBorders>
            <w:vAlign w:val="top"/>
          </w:tcPr>
          <w:p>
            <w:pPr>
              <w:jc w:val="both"/>
            </w:pPr>
          </w:p>
        </w:tc>
        <w:tc>
          <w:tcPr>
            <w:tcW w:type="dxa" w:w="1192"/>
            <w:tcBorders>
              <w:top w:val="none" w:color="000000" w:sz="4"/>
              <w:left w:val="none" w:color="000000" w:sz="4"/>
              <w:bottom w:val="single" w:color="000000" w:sz="4"/>
              <w:right w:val="single" w:color="000000" w:sz="4"/>
            </w:tcBorders>
            <w:vAlign w:val="top"/>
          </w:tcPr>
          <w:p>
            <w:pPr>
              <w:jc w:val="both"/>
            </w:pPr>
          </w:p>
        </w:tc>
        <w:tc>
          <w:tcPr>
            <w:tcW w:type="dxa" w:w="1192"/>
            <w:tcBorders>
              <w:top w:val="none" w:color="000000" w:sz="4"/>
              <w:left w:val="none" w:color="000000" w:sz="4"/>
              <w:bottom w:val="single" w:color="000000" w:sz="4"/>
              <w:right w:val="single" w:color="000000" w:sz="4"/>
            </w:tcBorders>
            <w:vAlign w:val="top"/>
          </w:tcPr>
          <w:p>
            <w:pPr>
              <w:jc w:val="both"/>
            </w:pPr>
          </w:p>
        </w:tc>
      </w:tr>
      <w:tr>
        <w:tc>
          <w:tcPr>
            <w:tcW w:type="dxa" w:w="112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48"/>
            <w:tcBorders>
              <w:top w:val="none" w:color="000000" w:sz="4"/>
              <w:left w:val="none" w:color="000000" w:sz="4"/>
              <w:bottom w:val="single" w:color="000000" w:sz="4"/>
              <w:right w:val="single" w:color="000000" w:sz="4"/>
            </w:tcBorders>
            <w:vAlign w:val="top"/>
          </w:tcPr>
          <w:p>
            <w:pPr>
              <w:jc w:val="both"/>
            </w:pPr>
          </w:p>
        </w:tc>
        <w:tc>
          <w:tcPr>
            <w:tcW w:type="dxa" w:w="1627"/>
            <w:tcBorders>
              <w:top w:val="none" w:color="000000" w:sz="4"/>
              <w:left w:val="none" w:color="000000" w:sz="4"/>
              <w:bottom w:val="single" w:color="000000" w:sz="4"/>
              <w:right w:val="single" w:color="000000" w:sz="4"/>
            </w:tcBorders>
            <w:vAlign w:val="top"/>
          </w:tcPr>
          <w:p>
            <w:pPr>
              <w:jc w:val="both"/>
            </w:pPr>
          </w:p>
        </w:tc>
        <w:tc>
          <w:tcPr>
            <w:tcW w:type="dxa" w:w="1730"/>
            <w:tcBorders>
              <w:top w:val="none" w:color="000000" w:sz="4"/>
              <w:left w:val="none" w:color="000000" w:sz="4"/>
              <w:bottom w:val="single" w:color="000000" w:sz="4"/>
              <w:right w:val="single" w:color="000000" w:sz="4"/>
            </w:tcBorders>
            <w:vAlign w:val="top"/>
          </w:tcPr>
          <w:p>
            <w:pPr>
              <w:jc w:val="both"/>
            </w:pPr>
          </w:p>
        </w:tc>
        <w:tc>
          <w:tcPr>
            <w:tcW w:type="dxa" w:w="1448"/>
            <w:tcBorders>
              <w:top w:val="none" w:color="000000" w:sz="4"/>
              <w:left w:val="none" w:color="000000" w:sz="4"/>
              <w:bottom w:val="single" w:color="000000" w:sz="4"/>
              <w:right w:val="single" w:color="000000" w:sz="4"/>
            </w:tcBorders>
            <w:vAlign w:val="top"/>
          </w:tcPr>
          <w:p>
            <w:pPr>
              <w:jc w:val="both"/>
            </w:pPr>
          </w:p>
        </w:tc>
        <w:tc>
          <w:tcPr>
            <w:tcW w:type="dxa" w:w="1448"/>
            <w:tcBorders>
              <w:top w:val="none" w:color="000000" w:sz="4"/>
              <w:left w:val="none" w:color="000000" w:sz="4"/>
              <w:bottom w:val="single" w:color="000000" w:sz="4"/>
              <w:right w:val="single" w:color="000000" w:sz="4"/>
            </w:tcBorders>
            <w:vAlign w:val="top"/>
          </w:tcPr>
          <w:p>
            <w:pPr>
              <w:jc w:val="both"/>
            </w:pPr>
          </w:p>
        </w:tc>
        <w:tc>
          <w:tcPr>
            <w:tcW w:type="dxa" w:w="1192"/>
            <w:tcBorders>
              <w:top w:val="none" w:color="000000" w:sz="4"/>
              <w:left w:val="none" w:color="000000" w:sz="4"/>
              <w:bottom w:val="single" w:color="000000" w:sz="4"/>
              <w:right w:val="single" w:color="000000" w:sz="4"/>
            </w:tcBorders>
            <w:vAlign w:val="top"/>
          </w:tcPr>
          <w:p>
            <w:pPr>
              <w:jc w:val="both"/>
            </w:pPr>
          </w:p>
        </w:tc>
        <w:tc>
          <w:tcPr>
            <w:tcW w:type="dxa" w:w="1192"/>
            <w:tcBorders>
              <w:top w:val="none" w:color="000000" w:sz="4"/>
              <w:left w:val="none" w:color="000000" w:sz="4"/>
              <w:bottom w:val="single" w:color="000000" w:sz="4"/>
              <w:right w:val="single" w:color="000000" w:sz="4"/>
            </w:tcBorders>
            <w:vAlign w:val="top"/>
          </w:tcPr>
          <w:p>
            <w:pPr>
              <w:jc w:val="both"/>
            </w:pPr>
          </w:p>
        </w:tc>
        <w:tc>
          <w:tcPr>
            <w:tcW w:type="dxa" w:w="1192"/>
            <w:tcBorders>
              <w:top w:val="none" w:color="000000" w:sz="4"/>
              <w:left w:val="none" w:color="000000" w:sz="4"/>
              <w:bottom w:val="single" w:color="000000" w:sz="4"/>
              <w:right w:val="single" w:color="000000" w:sz="4"/>
            </w:tcBorders>
            <w:vAlign w:val="top"/>
          </w:tcPr>
          <w:p>
            <w:pPr>
              <w:jc w:val="both"/>
            </w:pPr>
          </w:p>
        </w:tc>
      </w:tr>
      <w:tr>
        <w:tc>
          <w:tcPr>
            <w:tcW w:type="dxa" w:w="112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48"/>
            <w:tcBorders>
              <w:top w:val="none" w:color="000000" w:sz="4"/>
              <w:left w:val="none" w:color="000000" w:sz="4"/>
              <w:bottom w:val="single" w:color="000000" w:sz="4"/>
              <w:right w:val="single" w:color="000000" w:sz="4"/>
            </w:tcBorders>
            <w:vAlign w:val="top"/>
          </w:tcPr>
          <w:p>
            <w:pPr>
              <w:jc w:val="both"/>
            </w:pPr>
          </w:p>
        </w:tc>
        <w:tc>
          <w:tcPr>
            <w:tcW w:type="dxa" w:w="1627"/>
            <w:tcBorders>
              <w:top w:val="none" w:color="000000" w:sz="4"/>
              <w:left w:val="none" w:color="000000" w:sz="4"/>
              <w:bottom w:val="single" w:color="000000" w:sz="4"/>
              <w:right w:val="single" w:color="000000" w:sz="4"/>
            </w:tcBorders>
            <w:vAlign w:val="top"/>
          </w:tcPr>
          <w:p>
            <w:pPr>
              <w:jc w:val="both"/>
            </w:pPr>
          </w:p>
        </w:tc>
        <w:tc>
          <w:tcPr>
            <w:tcW w:type="dxa" w:w="1730"/>
            <w:tcBorders>
              <w:top w:val="none" w:color="000000" w:sz="4"/>
              <w:left w:val="none" w:color="000000" w:sz="4"/>
              <w:bottom w:val="single" w:color="000000" w:sz="4"/>
              <w:right w:val="single" w:color="000000" w:sz="4"/>
            </w:tcBorders>
            <w:vAlign w:val="top"/>
          </w:tcPr>
          <w:p>
            <w:pPr>
              <w:jc w:val="both"/>
            </w:pPr>
          </w:p>
        </w:tc>
        <w:tc>
          <w:tcPr>
            <w:tcW w:type="dxa" w:w="1448"/>
            <w:tcBorders>
              <w:top w:val="none" w:color="000000" w:sz="4"/>
              <w:left w:val="none" w:color="000000" w:sz="4"/>
              <w:bottom w:val="single" w:color="000000" w:sz="4"/>
              <w:right w:val="single" w:color="000000" w:sz="4"/>
            </w:tcBorders>
            <w:vAlign w:val="top"/>
          </w:tcPr>
          <w:p>
            <w:pPr>
              <w:jc w:val="both"/>
            </w:pPr>
          </w:p>
        </w:tc>
        <w:tc>
          <w:tcPr>
            <w:tcW w:type="dxa" w:w="1448"/>
            <w:tcBorders>
              <w:top w:val="none" w:color="000000" w:sz="4"/>
              <w:left w:val="none" w:color="000000" w:sz="4"/>
              <w:bottom w:val="single" w:color="000000" w:sz="4"/>
              <w:right w:val="single" w:color="000000" w:sz="4"/>
            </w:tcBorders>
            <w:vAlign w:val="top"/>
          </w:tcPr>
          <w:p>
            <w:pPr>
              <w:jc w:val="both"/>
            </w:pPr>
          </w:p>
        </w:tc>
        <w:tc>
          <w:tcPr>
            <w:tcW w:type="dxa" w:w="1192"/>
            <w:tcBorders>
              <w:top w:val="none" w:color="000000" w:sz="4"/>
              <w:left w:val="none" w:color="000000" w:sz="4"/>
              <w:bottom w:val="single" w:color="000000" w:sz="4"/>
              <w:right w:val="single" w:color="000000" w:sz="4"/>
            </w:tcBorders>
            <w:vAlign w:val="top"/>
          </w:tcPr>
          <w:p>
            <w:pPr>
              <w:jc w:val="both"/>
            </w:pPr>
          </w:p>
        </w:tc>
        <w:tc>
          <w:tcPr>
            <w:tcW w:type="dxa" w:w="1192"/>
            <w:tcBorders>
              <w:top w:val="none" w:color="000000" w:sz="4"/>
              <w:left w:val="none" w:color="000000" w:sz="4"/>
              <w:bottom w:val="single" w:color="000000" w:sz="4"/>
              <w:right w:val="single" w:color="000000" w:sz="4"/>
            </w:tcBorders>
            <w:vAlign w:val="top"/>
          </w:tcPr>
          <w:p>
            <w:pPr>
              <w:jc w:val="both"/>
            </w:pPr>
          </w:p>
        </w:tc>
        <w:tc>
          <w:tcPr>
            <w:tcW w:type="dxa" w:w="1192"/>
            <w:tcBorders>
              <w:top w:val="none" w:color="000000" w:sz="4"/>
              <w:left w:val="none" w:color="000000" w:sz="4"/>
              <w:bottom w:val="single" w:color="000000" w:sz="4"/>
              <w:right w:val="single" w:color="000000" w:sz="4"/>
            </w:tcBorders>
            <w:vAlign w:val="top"/>
          </w:tcPr>
          <w:p>
            <w:pPr>
              <w:jc w:val="both"/>
            </w:pPr>
          </w:p>
        </w:tc>
      </w:tr>
    </w:tbl>
    <w:p>
      <w:pPr>
        <w:jc w:val="both"/>
      </w:pPr>
      <w:r>
        <w:rPr/>
        <w:t>二、合同金额</w:t>
      </w:r>
      <w:r>
        <w:br/>
      </w:r>
      <w:r>
        <w:rPr/>
        <w:t>合计金额人民币（大写）：                     （￥                ）</w:t>
      </w:r>
      <w:r>
        <w:br/>
      </w:r>
      <w:r>
        <w:rPr/>
        <w:t>三、服务范围</w:t>
      </w:r>
      <w:r>
        <w:br/>
      </w:r>
      <w:r>
        <w:rPr/>
        <w:t>　　甲方聘请乙方提供以下服务：</w:t>
      </w:r>
      <w:r>
        <w:br/>
      </w:r>
      <w:r>
        <w:rPr/>
        <w:t>1．本合同项下的服务指                            。</w:t>
      </w:r>
      <w:r>
        <w:br/>
      </w:r>
      <w:r>
        <w:rPr/>
        <w:t xml:space="preserve">2．...... </w:t>
      </w:r>
      <w:r>
        <w:br/>
      </w:r>
      <w:r>
        <w:rPr/>
        <w:t>四、服务要求（质量保证及售后服务）</w:t>
      </w:r>
      <w:r>
        <w:br/>
      </w:r>
      <w:r>
        <w:rPr/>
        <w:t>（按采购需求要求）</w:t>
      </w:r>
      <w:r>
        <w:br/>
      </w:r>
      <w:r>
        <w:rPr/>
        <w:t>五、交付时间、地点、方式</w:t>
      </w:r>
      <w:r>
        <w:br/>
      </w:r>
      <w:r>
        <w:rPr/>
        <w:t>1．交付时间（服务期限）：     年    月     日至    年    月    日</w:t>
      </w:r>
      <w:r>
        <w:br/>
      </w:r>
      <w:r>
        <w:rPr/>
        <w:t xml:space="preserve">2．交付地点（服务地点）：                        </w:t>
      </w:r>
      <w:r>
        <w:br/>
      </w:r>
      <w:r>
        <w:rPr/>
        <w:t>3．交付条件：项目验收通过</w:t>
      </w:r>
      <w:r>
        <w:br/>
      </w:r>
      <w:r>
        <w:rPr/>
        <w:t>4．甲方联系人及联系电话：</w:t>
      </w:r>
      <w:r>
        <w:br/>
      </w:r>
      <w:r>
        <w:rPr/>
        <w:t>5．乙方联系人及联系电话：</w:t>
      </w:r>
      <w:r>
        <w:br/>
      </w:r>
      <w:r>
        <w:rPr/>
        <w:t>六、甲方乙方的权利和义务</w:t>
      </w:r>
      <w:r>
        <w:br/>
      </w:r>
      <w:r>
        <w:rPr/>
        <w:t>（一） 甲方的权利和义务：</w:t>
      </w:r>
      <w:r>
        <w:br/>
      </w:r>
      <w:r>
        <w:rPr/>
        <w:t>（二） 乙方的权利和义务：</w:t>
      </w:r>
      <w:r>
        <w:br/>
      </w:r>
      <w:r>
        <w:rPr/>
        <w:t>七、付款方式、时间及付款条件</w:t>
      </w:r>
      <w:r>
        <w:br/>
      </w:r>
      <w:r>
        <w:rPr/>
        <w:t>付款时间及条件：（按采购需求要求）</w:t>
      </w:r>
      <w:r>
        <w:br/>
      </w:r>
      <w:r>
        <w:rPr/>
        <w:t>付款方式：</w:t>
      </w:r>
      <w:r>
        <w:br/>
      </w:r>
      <w:r>
        <w:rPr/>
        <w:t>八、项目验收评估</w:t>
      </w:r>
      <w:r>
        <w:br/>
      </w:r>
      <w:r>
        <w:rPr/>
        <w:t>1.具体要求以招标文件以及乙方的投标文件承诺为准，如招标文件与投标文件不一致时，以更有利于甲方的条款执行。</w:t>
      </w:r>
      <w:r>
        <w:br/>
      </w:r>
      <w:r>
        <w:rPr/>
        <w:t>2. 验收期限：全部服务完成后   天内完成项目验收。</w:t>
      </w:r>
      <w:r>
        <w:br/>
      </w:r>
      <w:r>
        <w:rPr/>
        <w:t>九、知识产权归属</w:t>
      </w:r>
      <w:r>
        <w:br/>
      </w:r>
      <w:r>
        <w:rPr/>
        <w:t>乙方必须保证甲方在中华人民共和国境内使用投标资料、服务或其任何一部分时，享有不受限制的无偿使用权，不会产生因第三方提出侵犯其专利权、商标权或其它知识产权而引起的法律或经济纠纷。</w:t>
      </w:r>
      <w:r>
        <w:br/>
      </w:r>
      <w:r>
        <w:rPr/>
        <w:t>十、保密</w:t>
      </w:r>
      <w:r>
        <w:br/>
      </w:r>
      <w:r>
        <w:rPr/>
        <w:t>1．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r>
        <w:br/>
      </w:r>
      <w:r>
        <w:rPr/>
        <w:t>2．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r>
        <w:br/>
      </w:r>
      <w:r>
        <w:rPr/>
        <w:t>十一、违约责任与赔偿损失</w:t>
      </w:r>
      <w:r>
        <w:br/>
      </w:r>
      <w:r>
        <w:rPr/>
        <w:t>1．乙方提供的服务不符合招标文件、投标文件或本合同规定的，甲方有权拒收，并且乙方须向甲方支付本合同总价5%的违约金。</w:t>
      </w:r>
      <w:r>
        <w:br/>
      </w:r>
      <w:r>
        <w:rPr/>
        <w:t>2． 乙方未能按本合同规定的交货时间提供服务，从逾期之日起每日按本合同总价3‰的数额向甲方支付违约金；逾期半个月以上的，甲方有权终止合同，由此造成的甲方经济损失由乙方承担。</w:t>
      </w:r>
      <w:r>
        <w:br/>
      </w:r>
      <w:r>
        <w:rPr/>
        <w:t>3．甲方无正当理由拒绝接受服务，到期拒付服务款项的，甲方向乙方偿付本合同总价的5%的违约金。甲方逾期付款，则每日按本合同总价的3‰向乙方偿付违约金。</w:t>
      </w:r>
      <w:r>
        <w:br/>
      </w:r>
      <w:r>
        <w:rPr/>
        <w:t>4．因甲方原因导致变更、中止或者终止政府采购合同的，甲方对乙方受到的损失予以赔偿或者补偿，赔偿或者补偿金额为： 按本合同总价的1%</w:t>
      </w:r>
      <w:r>
        <w:br/>
      </w:r>
      <w:r>
        <w:rPr/>
        <w:t>5．其它违约责任按《中华人民共和国民法典》处理。</w:t>
      </w:r>
      <w:r>
        <w:br/>
      </w:r>
      <w:r>
        <w:rPr/>
        <w:t>十二、争端的解决</w:t>
      </w:r>
      <w:r>
        <w:br/>
      </w:r>
      <w:r>
        <w:rPr/>
        <w:t>合同执行过程中发生的任何争议，如双方不能通过友好协商解决，则向甲方所在地有管辖权的人民法院提起诉讼。</w:t>
      </w:r>
      <w:r>
        <w:br/>
      </w:r>
      <w:r>
        <w:rPr/>
        <w:t>十三、不可抗力</w:t>
      </w:r>
      <w:r>
        <w:br/>
      </w:r>
      <w:r>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r>
        <w:br/>
      </w:r>
      <w:r>
        <w:rPr/>
        <w:t>十四、税费</w:t>
      </w:r>
      <w:r>
        <w:br/>
      </w:r>
      <w:r>
        <w:rPr/>
        <w:t>在中国境内、外发生的与本合同执行有关的一切税费均由乙方负担。</w:t>
      </w:r>
      <w:r>
        <w:br/>
      </w:r>
      <w:r>
        <w:rPr/>
        <w:t>十五、其它</w:t>
      </w:r>
      <w:r>
        <w:br/>
      </w:r>
      <w:r>
        <w:rPr/>
        <w:t>1．本合同所有附件、招标文件、投标文件、中标通知书均为合同的有效组成部分，与本合同具有同等法律效力。</w:t>
      </w:r>
      <w:r>
        <w:br/>
      </w:r>
      <w:r>
        <w:rPr/>
        <w:t>2．在执行本合同的过程中，所有经双方签署确认的文件（包括会议纪要、补充协议）即成为本合同的有效组成部分。</w:t>
      </w:r>
      <w:r>
        <w:br/>
      </w:r>
      <w:r>
        <w:rPr/>
        <w:t xml:space="preserve">3．如一方地址、电话、传真号码有变更，应在变更当日内书面通知对方，否则，应承担相应责任。 </w:t>
      </w:r>
      <w:r>
        <w:br/>
      </w:r>
      <w:r>
        <w:rPr/>
        <w:t>4．除甲方事先书面同意外，乙方不得部分或全部转让其应履行的合同项下的义务。</w:t>
      </w:r>
      <w:r>
        <w:br/>
      </w:r>
      <w:r>
        <w:rPr/>
        <w:t>5．本合同正本一式    份，具有同等法律效力，甲、乙双方各执    份，采购代理机构壹份。合同自双方签字或盖章之日起即时生效。</w:t>
      </w:r>
      <w:r>
        <w:br/>
      </w:r>
      <w:r>
        <w:rPr/>
        <w:t>6．本合同未尽事宜，由双方协商处理。</w:t>
      </w:r>
      <w:r>
        <w:br/>
      </w:r>
      <w:r>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48"/>
      </w:tblGrid>
      <w:tr>
        <w:tc>
          <w:tcPr>
            <w:tcW w:type="dxa" w:w="3658"/>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8"/>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440112-2023-05736</w:t>
      </w:r>
    </w:p>
    <w:p>
      <w:pPr>
        <w:jc w:val="center"/>
      </w:pPr>
      <w:r>
        <w:rPr>
          <w:b/>
          <w:sz w:val="24"/>
        </w:rPr>
        <w:t>采购项目编号：</w:t>
      </w:r>
      <w:r>
        <w:rPr>
          <w:b/>
          <w:sz w:val="24"/>
        </w:rPr>
        <w:t>GZGK23D234C0714Z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检疫协检服务</w:t>
      </w:r>
      <w:r>
        <w:rPr>
          <w:u w:val="single"/>
        </w:rPr>
        <w:t>”</w:t>
      </w:r>
      <w:r>
        <w:rPr/>
        <w:t>项目的招标[采购项目编号为：</w:t>
      </w:r>
      <w:r>
        <w:rPr>
          <w:u w:val="single"/>
        </w:rPr>
        <w:t>GZGK23D234C0714Z</w:t>
      </w:r>
      <w:r>
        <w:rPr/>
        <w:t>]，我方愿参与投标。</w:t>
      </w:r>
    </w:p>
    <w:p>
      <w:pPr>
        <w:ind w:firstLine="480"/>
      </w:pPr>
      <w:r>
        <w:rPr/>
        <w:t>我方确认收到贵方提供的</w:t>
      </w:r>
      <w:r>
        <w:rPr>
          <w:u w:val="single"/>
        </w:rPr>
        <w:t>“</w:t>
      </w:r>
      <w:r>
        <w:rPr>
          <w:u w:val="single"/>
        </w:rPr>
        <w:t>检疫协检服务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检疫协检服务</w:t>
      </w:r>
      <w:r>
        <w:rPr/>
        <w:t>”项目采购[采购项目编号为</w:t>
      </w:r>
      <w:r>
        <w:rPr/>
        <w:t>GZGK23D234C0714Z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广州市黄埔区动物卫生监督所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检疫协检服务</w:t>
      </w:r>
      <w:r>
        <w:rPr/>
        <w:t>招标中获中标（采购项目编号：</w:t>
      </w:r>
      <w:r>
        <w:rPr/>
        <w:t>GZGK23D234C0714Z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