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440001-2023-44727</w:t>
      </w:r>
    </w:p>
    <w:p>
      <w:pPr>
        <w:jc w:val="center"/>
      </w:pPr>
      <w:r>
        <w:rPr>
          <w:b/>
          <w:sz w:val="24"/>
        </w:rPr>
        <w:t>采购项目编号：</w:t>
      </w:r>
      <w:r>
        <w:rPr>
          <w:b/>
          <w:sz w:val="24"/>
        </w:rPr>
        <w:t>GZGK23P192C0639Z</w:t>
      </w:r>
    </w:p>
    <w:p>
      <w:pPr>
        <w:jc w:val="center"/>
      </w:pPr>
      <w:r>
        <w:rPr>
          <w:b/>
          <w:sz w:val="24"/>
        </w:rPr>
        <w:t>项目名称：</w:t>
      </w:r>
      <w:r>
        <w:rPr>
          <w:b/>
          <w:sz w:val="24"/>
        </w:rPr>
        <w:t>广东省科学院生物与医学工程研究所配餐服务点采购项目</w:t>
      </w:r>
    </w:p>
    <w:p>
      <w:pPr>
        <w:jc w:val="center"/>
      </w:pPr>
      <w:r>
        <w:rPr>
          <w:b/>
          <w:sz w:val="24"/>
        </w:rPr>
        <w:t>采购人：</w:t>
      </w:r>
      <w:r>
        <w:rPr>
          <w:b/>
          <w:sz w:val="24"/>
        </w:rPr>
        <w:t>广东省科学院生物与医学工程研究所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广东省科学院生物与医学工程研究所</w:t>
      </w:r>
      <w:r>
        <w:rPr/>
        <w:t>的委托，采用</w:t>
      </w:r>
      <w:r>
        <w:rPr/>
        <w:t>公开招标</w:t>
      </w:r>
      <w:r>
        <w:rPr/>
        <w:t>方式组织采购</w:t>
      </w:r>
      <w:r>
        <w:rPr/>
        <w:t>广东省科学院生物与医学工程研究所配餐服务点采购项目</w:t>
      </w:r>
      <w:r>
        <w:rPr/>
        <w:t>。欢迎符合资格条件的国内供应商参加投标。</w:t>
      </w:r>
    </w:p>
    <w:p>
      <w:r>
        <w:rPr>
          <w:b/>
          <w:sz w:val="28"/>
        </w:rPr>
        <w:t>一.项目概述</w:t>
      </w:r>
    </w:p>
    <w:p>
      <w:r>
        <w:rPr>
          <w:b/>
          <w:sz w:val="24"/>
        </w:rPr>
        <w:t>1.名称与编号</w:t>
      </w:r>
    </w:p>
    <w:p>
      <w:pPr>
        <w:ind w:firstLine="480"/>
      </w:pPr>
      <w:r>
        <w:rPr/>
        <w:t>项目名称：</w:t>
      </w:r>
      <w:r>
        <w:rPr/>
        <w:t>广东省科学院生物与医学工程研究所配餐服务点采购项目</w:t>
      </w:r>
    </w:p>
    <w:p>
      <w:pPr>
        <w:ind w:firstLine="480"/>
      </w:pPr>
      <w:r>
        <w:rPr/>
        <w:t>采购计划编号：</w:t>
      </w:r>
      <w:r>
        <w:rPr/>
        <w:t>440001-2023-44727</w:t>
      </w:r>
    </w:p>
    <w:p>
      <w:pPr>
        <w:ind w:firstLine="480"/>
      </w:pPr>
      <w:r>
        <w:rPr/>
        <w:t>采购项目编号：</w:t>
      </w:r>
      <w:r>
        <w:rPr/>
        <w:t>GZGK23P192C0639Z</w:t>
      </w:r>
    </w:p>
    <w:p>
      <w:pPr>
        <w:ind w:firstLine="480"/>
      </w:pPr>
      <w:r>
        <w:rPr/>
        <w:t>采购方式：</w:t>
      </w:r>
      <w:r>
        <w:rPr/>
        <w:t>公开招标</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采购包1(江海点配餐服务点1):</w:t>
      </w:r>
    </w:p>
    <w:p>
      <w:r>
        <w:rPr/>
        <w:t>采购包预算金额：800,000.00元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餐饮服务</w:t>
            </w:r>
          </w:p>
        </w:tc>
        <w:tc>
          <w:tcPr>
            <w:tcW w:type="dxa" w:w="2052"/>
          </w:tcPr>
          <w:p>
            <w:r>
              <w:rPr/>
              <w:t>江海点配餐服务店1</w:t>
            </w:r>
          </w:p>
        </w:tc>
        <w:tc>
          <w:tcPr>
            <w:tcW w:type="dxa" w:w="977"/>
          </w:tcPr>
          <w:p>
            <w:r>
              <w:rPr/>
              <w:t>1.00(年)</w:t>
            </w:r>
          </w:p>
        </w:tc>
        <w:tc>
          <w:tcPr>
            <w:tcW w:type="dxa" w:w="977"/>
          </w:tcPr>
          <w:p>
            <w:r>
              <w:rPr/>
              <w:t>详见第二章</w:t>
            </w:r>
          </w:p>
        </w:tc>
        <w:tc>
          <w:tcPr>
            <w:tcW w:type="dxa" w:w="977"/>
          </w:tcPr>
          <w:p>
            <w:r>
              <w:rPr/>
              <w:t>800,000.00</w:t>
            </w:r>
          </w:p>
        </w:tc>
        <w:tc>
          <w:tcPr>
            <w:tcW w:type="dxa" w:w="977"/>
          </w:tcPr>
          <w:p>
            <w:r>
              <w:rPr/>
              <w:t>否</w:t>
            </w:r>
          </w:p>
        </w:tc>
      </w:tr>
    </w:tbl>
    <w:p/>
    <w:p>
      <w:r>
        <w:rPr/>
        <w:t>本采购包不接受联合体投标</w:t>
      </w:r>
    </w:p>
    <w:p/>
    <w:p>
      <w:r>
        <w:rPr/>
        <w:t>合同履行期限：见“标的提供时间”要求。</w:t>
      </w:r>
    </w:p>
    <w:p/>
    <w:p>
      <w:r>
        <w:rPr/>
        <w:t>采购包2(江海点配餐服务点2):</w:t>
      </w:r>
    </w:p>
    <w:p>
      <w:r>
        <w:rPr/>
        <w:t>采购包预算金额：400,000.00元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餐饮服务</w:t>
            </w:r>
          </w:p>
        </w:tc>
        <w:tc>
          <w:tcPr>
            <w:tcW w:type="dxa" w:w="2052"/>
          </w:tcPr>
          <w:p>
            <w:r>
              <w:rPr/>
              <w:t>江海点配餐服务点2</w:t>
            </w:r>
          </w:p>
        </w:tc>
        <w:tc>
          <w:tcPr>
            <w:tcW w:type="dxa" w:w="977"/>
          </w:tcPr>
          <w:p>
            <w:r>
              <w:rPr/>
              <w:t>1.00(年)</w:t>
            </w:r>
          </w:p>
        </w:tc>
        <w:tc>
          <w:tcPr>
            <w:tcW w:type="dxa" w:w="977"/>
          </w:tcPr>
          <w:p>
            <w:r>
              <w:rPr/>
              <w:t>详见第二章</w:t>
            </w:r>
          </w:p>
        </w:tc>
        <w:tc>
          <w:tcPr>
            <w:tcW w:type="dxa" w:w="977"/>
          </w:tcPr>
          <w:p>
            <w:r>
              <w:rPr/>
              <w:t>400,000.00</w:t>
            </w:r>
          </w:p>
        </w:tc>
        <w:tc>
          <w:tcPr>
            <w:tcW w:type="dxa" w:w="977"/>
          </w:tcPr>
          <w:p>
            <w:r>
              <w:rPr/>
              <w:t>否</w:t>
            </w:r>
          </w:p>
        </w:tc>
      </w:tr>
    </w:tbl>
    <w:p/>
    <w:p>
      <w:r>
        <w:rPr/>
        <w:t>本采购包不接受联合体投标</w:t>
      </w:r>
    </w:p>
    <w:p/>
    <w:p>
      <w:r>
        <w:rPr/>
        <w:t>合同履行期限：见“标的提供时间”要求。</w:t>
      </w:r>
    </w:p>
    <w:p/>
    <w:p>
      <w:r>
        <w:rPr/>
        <w:t>采购包3(江海点配餐服务点3):</w:t>
      </w:r>
    </w:p>
    <w:p>
      <w:r>
        <w:rPr/>
        <w:t>采购包预算金额：300,000.00元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餐饮服务</w:t>
            </w:r>
          </w:p>
        </w:tc>
        <w:tc>
          <w:tcPr>
            <w:tcW w:type="dxa" w:w="2052"/>
          </w:tcPr>
          <w:p>
            <w:r>
              <w:rPr/>
              <w:t>江海点配餐服务点3</w:t>
            </w:r>
          </w:p>
        </w:tc>
        <w:tc>
          <w:tcPr>
            <w:tcW w:type="dxa" w:w="977"/>
          </w:tcPr>
          <w:p>
            <w:r>
              <w:rPr/>
              <w:t>1.00(年)</w:t>
            </w:r>
          </w:p>
        </w:tc>
        <w:tc>
          <w:tcPr>
            <w:tcW w:type="dxa" w:w="977"/>
          </w:tcPr>
          <w:p>
            <w:r>
              <w:rPr/>
              <w:t>详见第二章</w:t>
            </w:r>
          </w:p>
        </w:tc>
        <w:tc>
          <w:tcPr>
            <w:tcW w:type="dxa" w:w="977"/>
          </w:tcPr>
          <w:p>
            <w:r>
              <w:rPr/>
              <w:t>300,000.00</w:t>
            </w:r>
          </w:p>
        </w:tc>
        <w:tc>
          <w:tcPr>
            <w:tcW w:type="dxa" w:w="977"/>
          </w:tcPr>
          <w:p>
            <w:r>
              <w:rPr/>
              <w:t>否</w:t>
            </w:r>
          </w:p>
        </w:tc>
      </w:tr>
    </w:tbl>
    <w:p/>
    <w:p>
      <w:r>
        <w:rPr/>
        <w:t>本采购包不接受联合体投标</w:t>
      </w:r>
    </w:p>
    <w:p/>
    <w:p>
      <w:r>
        <w:rPr/>
        <w:t>合同履行期限：见“标的提供时间”要求。</w:t>
      </w:r>
    </w:p>
    <w:p/>
    <w:p>
      <w:r>
        <w:rPr/>
        <w:t>采购包4(广州大道配餐服务点4):</w:t>
      </w:r>
    </w:p>
    <w:p>
      <w:r>
        <w:rPr/>
        <w:t>采购包预算金额：180,000.00元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餐饮服务</w:t>
            </w:r>
          </w:p>
        </w:tc>
        <w:tc>
          <w:tcPr>
            <w:tcW w:type="dxa" w:w="2052"/>
          </w:tcPr>
          <w:p>
            <w:r>
              <w:rPr/>
              <w:t>广州大道配餐服务点4</w:t>
            </w:r>
          </w:p>
        </w:tc>
        <w:tc>
          <w:tcPr>
            <w:tcW w:type="dxa" w:w="977"/>
          </w:tcPr>
          <w:p>
            <w:r>
              <w:rPr/>
              <w:t>1.00(年)</w:t>
            </w:r>
          </w:p>
        </w:tc>
        <w:tc>
          <w:tcPr>
            <w:tcW w:type="dxa" w:w="977"/>
          </w:tcPr>
          <w:p>
            <w:r>
              <w:rPr/>
              <w:t>详见第二章</w:t>
            </w:r>
          </w:p>
        </w:tc>
        <w:tc>
          <w:tcPr>
            <w:tcW w:type="dxa" w:w="977"/>
          </w:tcPr>
          <w:p>
            <w:r>
              <w:rPr/>
              <w:t>180,000.00</w:t>
            </w:r>
          </w:p>
        </w:tc>
        <w:tc>
          <w:tcPr>
            <w:tcW w:type="dxa" w:w="977"/>
          </w:tcPr>
          <w:p>
            <w:r>
              <w:rPr/>
              <w:t>否</w:t>
            </w:r>
          </w:p>
        </w:tc>
      </w:tr>
    </w:tbl>
    <w:p/>
    <w:p>
      <w:r>
        <w:rPr/>
        <w:t>本采购包不接受联合体投标</w:t>
      </w:r>
    </w:p>
    <w:p/>
    <w:p>
      <w:r>
        <w:rPr/>
        <w:t>合同履行期限：见“标的提供时间”要求。</w:t>
      </w:r>
    </w:p>
    <w:p/>
    <w:p>
      <w:r>
        <w:rPr/>
        <w:t>采购包5(广州大道配餐服务点5):</w:t>
      </w:r>
    </w:p>
    <w:p>
      <w:r>
        <w:rPr/>
        <w:t>采购包预算金额：120,000.00元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5-1</w:t>
            </w:r>
          </w:p>
        </w:tc>
        <w:tc>
          <w:tcPr>
            <w:tcW w:type="dxa" w:w="1368"/>
          </w:tcPr>
          <w:p>
            <w:r>
              <w:rPr/>
              <w:t>餐饮服务</w:t>
            </w:r>
          </w:p>
        </w:tc>
        <w:tc>
          <w:tcPr>
            <w:tcW w:type="dxa" w:w="2052"/>
          </w:tcPr>
          <w:p>
            <w:r>
              <w:rPr/>
              <w:t>广州大道配餐服务点5</w:t>
            </w:r>
          </w:p>
        </w:tc>
        <w:tc>
          <w:tcPr>
            <w:tcW w:type="dxa" w:w="977"/>
          </w:tcPr>
          <w:p>
            <w:r>
              <w:rPr/>
              <w:t>1.00(年)</w:t>
            </w:r>
          </w:p>
        </w:tc>
        <w:tc>
          <w:tcPr>
            <w:tcW w:type="dxa" w:w="977"/>
          </w:tcPr>
          <w:p>
            <w:r>
              <w:rPr/>
              <w:t>详见第二章</w:t>
            </w:r>
          </w:p>
        </w:tc>
        <w:tc>
          <w:tcPr>
            <w:tcW w:type="dxa" w:w="977"/>
          </w:tcPr>
          <w:p>
            <w:r>
              <w:rPr/>
              <w:t>120,000.00</w:t>
            </w:r>
          </w:p>
        </w:tc>
        <w:tc>
          <w:tcPr>
            <w:tcW w:type="dxa" w:w="977"/>
          </w:tcPr>
          <w:p>
            <w:r>
              <w:rPr/>
              <w:t>否</w:t>
            </w:r>
          </w:p>
        </w:tc>
      </w:tr>
    </w:tbl>
    <w:p/>
    <w:p>
      <w:r>
        <w:rPr/>
        <w:t>本采购包不接受联合体投标</w:t>
      </w:r>
    </w:p>
    <w:p/>
    <w:p>
      <w:r>
        <w:rPr/>
        <w:t>合同履行期限：见“标的提供时间”要求。</w:t>
      </w:r>
    </w:p>
    <w:p/>
    <w:p>
      <w:r>
        <w:rPr/>
        <w:t>采购包6(高科路配餐服务点6):</w:t>
      </w:r>
    </w:p>
    <w:p>
      <w:r>
        <w:rPr/>
        <w:t>采购包预算金额：120,000.00元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6-1</w:t>
            </w:r>
          </w:p>
        </w:tc>
        <w:tc>
          <w:tcPr>
            <w:tcW w:type="dxa" w:w="1368"/>
          </w:tcPr>
          <w:p>
            <w:r>
              <w:rPr/>
              <w:t>餐饮服务</w:t>
            </w:r>
          </w:p>
        </w:tc>
        <w:tc>
          <w:tcPr>
            <w:tcW w:type="dxa" w:w="2052"/>
          </w:tcPr>
          <w:p>
            <w:r>
              <w:rPr/>
              <w:t>高科路配餐服务点6</w:t>
            </w:r>
          </w:p>
        </w:tc>
        <w:tc>
          <w:tcPr>
            <w:tcW w:type="dxa" w:w="977"/>
          </w:tcPr>
          <w:p>
            <w:r>
              <w:rPr/>
              <w:t>1.00(年)</w:t>
            </w:r>
          </w:p>
        </w:tc>
        <w:tc>
          <w:tcPr>
            <w:tcW w:type="dxa" w:w="977"/>
          </w:tcPr>
          <w:p>
            <w:r>
              <w:rPr/>
              <w:t>详见第二章</w:t>
            </w:r>
          </w:p>
        </w:tc>
        <w:tc>
          <w:tcPr>
            <w:tcW w:type="dxa" w:w="977"/>
          </w:tcPr>
          <w:p>
            <w:r>
              <w:rPr/>
              <w:t>120,000.00</w:t>
            </w:r>
          </w:p>
        </w:tc>
        <w:tc>
          <w:tcPr>
            <w:tcW w:type="dxa" w:w="977"/>
          </w:tcPr>
          <w:p>
            <w:r>
              <w:rPr/>
              <w:t>否</w:t>
            </w:r>
          </w:p>
        </w:tc>
      </w:tr>
    </w:tbl>
    <w:p/>
    <w:p>
      <w:r>
        <w:rPr/>
        <w:t>本采购包不接受联合体投标</w:t>
      </w:r>
    </w:p>
    <w:p/>
    <w:p>
      <w:r>
        <w:rPr/>
        <w:t>合同履行期限：见“标的提供时间”要求。</w:t>
      </w:r>
    </w:p>
    <w:p/>
    <w:p>
      <w:r>
        <w:rPr/>
        <w:t>采购包7(高科路配餐服务点7):</w:t>
      </w:r>
    </w:p>
    <w:p>
      <w:r>
        <w:rPr/>
        <w:t>采购包预算金额：80,000.00元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7-1</w:t>
            </w:r>
          </w:p>
        </w:tc>
        <w:tc>
          <w:tcPr>
            <w:tcW w:type="dxa" w:w="1368"/>
          </w:tcPr>
          <w:p>
            <w:r>
              <w:rPr/>
              <w:t>餐饮服务</w:t>
            </w:r>
          </w:p>
        </w:tc>
        <w:tc>
          <w:tcPr>
            <w:tcW w:type="dxa" w:w="2052"/>
          </w:tcPr>
          <w:p>
            <w:r>
              <w:rPr/>
              <w:t>高科路配餐服务点7</w:t>
            </w:r>
          </w:p>
        </w:tc>
        <w:tc>
          <w:tcPr>
            <w:tcW w:type="dxa" w:w="977"/>
          </w:tcPr>
          <w:p>
            <w:r>
              <w:rPr/>
              <w:t>1.00(年)</w:t>
            </w:r>
          </w:p>
        </w:tc>
        <w:tc>
          <w:tcPr>
            <w:tcW w:type="dxa" w:w="977"/>
          </w:tcPr>
          <w:p>
            <w:r>
              <w:rPr/>
              <w:t>详见第二章</w:t>
            </w:r>
          </w:p>
        </w:tc>
        <w:tc>
          <w:tcPr>
            <w:tcW w:type="dxa" w:w="977"/>
          </w:tcPr>
          <w:p>
            <w:r>
              <w:rPr/>
              <w:t>80,000.00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采购包1（江海点配餐服务点1）：</w:t>
      </w:r>
      <w:r>
        <w:rPr/>
        <w:t>本采购包不属于专门面向中小企业采购的项目。</w:t>
      </w:r>
    </w:p>
    <w:p>
      <w:pPr>
        <w:jc w:val="left"/>
      </w:pPr>
    </w:p>
    <w:p>
      <w:r>
        <w:rPr/>
        <w:t>采购包2（江海点配餐服务点2）：</w:t>
      </w:r>
      <w:r>
        <w:rPr/>
        <w:t>本采购包不属于专门面向中小企业采购的项目。</w:t>
      </w:r>
    </w:p>
    <w:p>
      <w:pPr>
        <w:jc w:val="left"/>
      </w:pPr>
    </w:p>
    <w:p>
      <w:r>
        <w:rPr/>
        <w:t>采购包3（江海点配餐服务点3）：</w:t>
      </w:r>
      <w:r>
        <w:rPr/>
        <w:t>本采购包不属于专门面向中小企业采购的项目。</w:t>
      </w:r>
    </w:p>
    <w:p>
      <w:pPr>
        <w:jc w:val="left"/>
      </w:pPr>
    </w:p>
    <w:p>
      <w:r>
        <w:rPr/>
        <w:t>采购包4（广州大道配餐服务点4）：</w:t>
      </w:r>
      <w:r>
        <w:rPr/>
        <w:t>本采购包不属于专门面向中小企业采购的项目。</w:t>
      </w:r>
    </w:p>
    <w:p>
      <w:pPr>
        <w:jc w:val="left"/>
      </w:pPr>
    </w:p>
    <w:p>
      <w:r>
        <w:rPr/>
        <w:t>采购包5（广州大道配餐服务点5）：</w:t>
      </w:r>
      <w:r>
        <w:rPr/>
        <w:t>本采购包不属于专门面向中小企业采购的项目。</w:t>
      </w:r>
    </w:p>
    <w:p>
      <w:pPr>
        <w:jc w:val="left"/>
      </w:pPr>
    </w:p>
    <w:p>
      <w:r>
        <w:rPr/>
        <w:t>采购包6（高科路配餐服务点6）：</w:t>
      </w:r>
      <w:r>
        <w:rPr/>
        <w:t>本采购包不属于专门面向中小企业采购的项目。</w:t>
      </w:r>
    </w:p>
    <w:p>
      <w:pPr>
        <w:jc w:val="left"/>
      </w:pPr>
    </w:p>
    <w:p>
      <w:r>
        <w:rPr/>
        <w:t>采购包7（高科路配餐服务点7）：</w:t>
      </w:r>
      <w:r>
        <w:rPr/>
        <w:t>本采购包不属于专门面向中小企业采购的项目。</w:t>
      </w:r>
    </w:p>
    <w:p/>
    <w:p>
      <w:r>
        <w:rPr>
          <w:b/>
          <w:sz w:val="24"/>
        </w:rPr>
        <w:t>3.本项目特定的资格要求：</w:t>
      </w:r>
    </w:p>
    <w:p>
      <w:pPr>
        <w:ind w:firstLine="480"/>
      </w:pPr>
    </w:p>
    <w:p/>
    <w:p>
      <w:r>
        <w:rPr/>
        <w:t>采购包1（江海点配餐服务点1）：</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3)具有《食品经营许可证》（提供有效期内的证书复印件，如国家另有规定，则适用其规定）。</w:t>
      </w:r>
    </w:p>
    <w:p/>
    <w:p>
      <w:r>
        <w:rPr/>
        <w:t>4)已获取本项目采购文件。</w:t>
      </w:r>
    </w:p>
    <w:p/>
    <w:p>
      <w:r>
        <w:rPr/>
        <w:t>采购包2（江海点配餐服务点2）：</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3)具有《食品经营许可证》（提供有效期内的证书复印件，如国家另有规定，则适用其规定）。</w:t>
      </w:r>
    </w:p>
    <w:p/>
    <w:p>
      <w:r>
        <w:rPr/>
        <w:t>4)已获取本项目采购文件。</w:t>
      </w:r>
    </w:p>
    <w:p/>
    <w:p>
      <w:r>
        <w:rPr/>
        <w:t>采购包3（江海点配餐服务点3）：</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3)具有《食品经营许可证》（提供有效期内的证书复印件，如国家另有规定，则适用其规定）。</w:t>
      </w:r>
    </w:p>
    <w:p/>
    <w:p>
      <w:r>
        <w:rPr/>
        <w:t>4)已获取本项目采购文件。</w:t>
      </w:r>
    </w:p>
    <w:p/>
    <w:p>
      <w:r>
        <w:rPr/>
        <w:t>采购包4（广州大道配餐服务点4）：</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3)具有《食品经营许可证》（提供有效期内的证书复印件，如国家另有规定，则适用其规定）。</w:t>
      </w:r>
    </w:p>
    <w:p/>
    <w:p>
      <w:r>
        <w:rPr/>
        <w:t>4)已获取本项目采购文件。</w:t>
      </w:r>
    </w:p>
    <w:p/>
    <w:p>
      <w:r>
        <w:rPr/>
        <w:t>采购包5（广州大道配餐服务点5）：</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3)具有《食品经营许可证》（提供有效期内的证书复印件，如国家另有规定，则适用其规定）。</w:t>
      </w:r>
    </w:p>
    <w:p/>
    <w:p>
      <w:r>
        <w:rPr/>
        <w:t>4)已获取本项目采购文件。</w:t>
      </w:r>
    </w:p>
    <w:p/>
    <w:p>
      <w:r>
        <w:rPr/>
        <w:t>采购包6（高科路配餐服务点6）：</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3)具有《食品经营许可证》（提供有效期内的证书复印件，如国家另有规定，则适用其规定）。</w:t>
      </w:r>
    </w:p>
    <w:p/>
    <w:p>
      <w:r>
        <w:rPr/>
        <w:t>4)已获取本项目采购文件。</w:t>
      </w:r>
    </w:p>
    <w:p/>
    <w:p>
      <w:r>
        <w:rPr/>
        <w:t>采购包7（高科路配餐服务点7）：</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3)具有《食品经营许可证》（提供有效期内的证书复印件，如国家另有规定，则适用其规定）。</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广东省科学院生物与医学工程研究所</w:t>
      </w:r>
    </w:p>
    <w:p>
      <w:pPr>
        <w:ind w:firstLine="480"/>
      </w:pPr>
      <w:r>
        <w:rPr/>
        <w:t>地址：</w:t>
      </w:r>
      <w:r>
        <w:rPr/>
        <w:t>广州市海珠区石榴岗路10号</w:t>
      </w:r>
    </w:p>
    <w:p>
      <w:pPr>
        <w:ind w:firstLine="480"/>
      </w:pPr>
      <w:r>
        <w:rPr/>
        <w:t>联系方式：</w:t>
      </w:r>
      <w:r>
        <w:rPr/>
        <w:t>020-84168856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020-37814404、020-87684402</w:t>
      </w:r>
    </w:p>
    <w:p>
      <w:r>
        <w:rPr>
          <w:b/>
          <w:sz w:val="24"/>
        </w:rPr>
        <w:t>3.项目联系方式</w:t>
      </w:r>
    </w:p>
    <w:p>
      <w:pPr>
        <w:ind w:firstLine="480"/>
      </w:pPr>
      <w:r>
        <w:rPr/>
        <w:t>项目联系人：</w:t>
      </w:r>
      <w:r>
        <w:rPr/>
        <w:t>吕永珊、吴秋娜</w:t>
      </w:r>
    </w:p>
    <w:p>
      <w:pPr>
        <w:ind w:firstLine="480"/>
      </w:pPr>
      <w:r>
        <w:rPr/>
        <w:t>电话：</w:t>
      </w:r>
      <w:r>
        <w:rPr/>
        <w:t>020-37814404、020-87684402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（一）项目编号：GZGK23P192C0639Z</w:t>
      </w:r>
      <w:r>
        <w:br/>
      </w:r>
      <w:r>
        <w:rPr/>
        <w:t>（二）项目名称：广东省科学院生物与医学工程研究所配餐服务点采购项目</w:t>
      </w:r>
      <w:r>
        <w:br/>
      </w:r>
      <w:r>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3、投标人应对采购需求中的服务指标在响应详细内容中列出明确承诺。如果投标人只注明“正偏离”或“无偏离”，将可能被视为“负偏离”，从而可能导致严重影响评标结果。</w:t>
      </w:r>
      <w:r>
        <w:br/>
      </w:r>
      <w:r>
        <w:rPr/>
        <w:t>4、投标人没有在投标文件中注明偏离（文字说明或在响应表注明）的条款视为被投标人完全接受。</w:t>
      </w:r>
      <w:r>
        <w:br/>
      </w:r>
      <w:r>
        <w:rPr/>
        <w:t>5、投标人应保证，采购人在中华人民共和国使用该服务或服务的任何一部分时，免受第三方提出的侵犯其专利权、商标权、著作权或其它知识产权的起诉。</w:t>
      </w:r>
      <w:r>
        <w:br/>
      </w:r>
      <w:r>
        <w:rPr/>
        <w:t>6、不允许中标供应商转包、分包中标采购包的内容。</w:t>
      </w:r>
      <w:r>
        <w:br/>
      </w:r>
      <w:r>
        <w:rPr/>
        <w:t>7、小型和微型企业、监狱企业和残疾人福利性单位必须按照招标（采购）文件第三章内容提供相应的资料。</w:t>
      </w:r>
      <w:r>
        <w:br/>
      </w:r>
      <w:r>
        <w:rPr/>
        <w:t>8、需落实政府采购政策为：促进中小企业发展政策、支持监狱企业发展政策、支持残疾人福利性单位发展政策、优先采购节能产品、环境标志产品相关政策等。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1.投标报价包括：货款、加工、检测（包括第三方检测机构检测）、包装、仓储、搬运、运输及各类保险、人工费、社保、五险一金、质保期服务、各项税费、利润及合同实施过程中不可预见费用等。</w:t>
      </w:r>
      <w:r>
        <w:br/>
      </w:r>
      <w:r>
        <w:rPr/>
        <w:t>2.投标人报价时应充分考虑合同期内因原材料、人员工资、运输等成本上涨所带来的风险。</w:t>
      </w:r>
      <w:r>
        <w:br/>
      </w:r>
      <w:r>
        <w:rPr/>
        <w:t>3.实际采购中，配餐数量根据采购人就餐及送餐的实际需要供餐，结算以职工实际消费为准。</w:t>
      </w:r>
      <w:r>
        <w:br/>
      </w:r>
      <w:r>
        <w:rPr/>
        <w:t>4.各采购包以供应商对外市面公布的价格为基准价，以投标折扣率的形式报出，所有货物适用于同一个投标折扣率。投标人保证不得使用市场价格外的价格进行投标或结算，同等品类数量不得少于市场数量，如有发现，招标人有权取消投标人的投标资格或中止合同，并要求投标人返还差价，必要时追究投标人的法律责任。</w:t>
      </w:r>
      <w:r>
        <w:br/>
      </w:r>
      <w:r>
        <w:rPr/>
        <w:t>投标折扣率＝（结算价格÷基准单价最高限价）×100.00%。投标折扣率是固定唯一的，且0.00%＜投标折扣率≤100.00%，若投标折扣率超出此范围则投标无效。投标折扣率必须为固定报价，不接受区间报价。</w:t>
      </w:r>
      <w:r>
        <w:br/>
      </w:r>
      <w:r>
        <w:rPr/>
        <w:t>例如：某货物的基准单价为10.00元，投标拟优惠2.00元，结算价格为8.00元，则投标折扣率为：（8.00/10.00）*100%=80.00%。</w:t>
      </w:r>
      <w:r>
        <w:br/>
      </w:r>
      <w:r>
        <w:rPr/>
        <w:t>（六）结算说明：由采购人统一在供应点根据实际需要安装智慧食堂使用终端，费用由采购人提供，用于统计采购人单位职工用餐消费情况。如中标供应商需另增加终端，费用由中标供应商自理。</w:t>
      </w:r>
      <w:r>
        <w:br/>
      </w:r>
      <w:r>
        <w:rPr/>
        <w:t>（七）实现的目标</w:t>
      </w:r>
      <w:r>
        <w:br/>
      </w:r>
      <w:r>
        <w:rPr/>
        <w:t>本项目拟通过公开招标方式，各采购包选取1名中标供应商，为采购人单位职工提供配餐服务。</w:t>
      </w:r>
      <w:r>
        <w:br/>
      </w:r>
      <w:r>
        <w:rPr/>
        <w:t>（八）需执行国家相关标准、行业标准、地方标准或者其他标准、规范。</w:t>
      </w:r>
    </w:p>
    <w:p>
      <w:pPr>
        <w:jc w:val="both"/>
      </w:pPr>
      <w:r>
        <w:rPr>
          <w:b/>
          <w:sz w:val="21"/>
        </w:rPr>
        <w:t>附件：</w:t>
      </w:r>
      <w:r>
        <w:rPr>
          <w:b/>
          <w:color w:val="000000"/>
          <w:sz w:val="21"/>
        </w:rPr>
        <w:t>项目考核情况表（总计</w:t>
      </w:r>
      <w:r>
        <w:rPr>
          <w:b/>
          <w:color w:val="000000"/>
          <w:sz w:val="21"/>
        </w:rPr>
        <w:t>100</w:t>
      </w:r>
      <w:r>
        <w:rPr>
          <w:b/>
          <w:color w:val="000000"/>
          <w:sz w:val="21"/>
        </w:rPr>
        <w:t>分）</w:t>
      </w:r>
    </w:p>
    <w:tbl>
      <w:tblPr>
        <w:tblW w:w="0" w:type="auto"/>
        <w:tblBorders>
          <w:top w:val="none" w:color="000000" w:sz="4"/>
          <w:left w:val="none" w:color="000000" w:sz="4"/>
          <w:bottom w:val="none" w:color="000000" w:sz="4"/>
          <w:right w:val="none" w:color="000000" w:sz="4"/>
          <w:insideH w:val="none"/>
          <w:insideV w:val="none"/>
        </w:tblBorders>
      </w:tblPr>
      <w:tblGrid>
        <w:gridCol w:w="1321"/>
        <w:gridCol w:w="1535"/>
        <w:gridCol w:w="4493"/>
        <w:gridCol w:w="956"/>
      </w:tblGrid>
      <w:tr>
        <w:tc>
          <w:tcPr>
            <w:tcW w:type="dxa" w:w="1321"/>
            <w:tcBorders>
              <w:top w:val="single" w:color="000000" w:sz="4"/>
              <w:left w:val="single" w:color="000000" w:sz="4"/>
              <w:bottom w:val="single" w:color="000000" w:sz="4"/>
              <w:right w:val="single" w:color="000000" w:sz="4"/>
            </w:tcBorders>
            <w:vAlign w:val="top"/>
          </w:tcPr>
          <w:p>
            <w:pPr>
              <w:ind w:firstLine="183"/>
              <w:jc w:val="center"/>
            </w:pPr>
            <w:r>
              <w:rPr>
                <w:b/>
                <w:color w:val="000000"/>
                <w:sz w:val="21"/>
              </w:rPr>
              <w:t>项目</w:t>
            </w:r>
          </w:p>
        </w:tc>
        <w:tc>
          <w:tcPr>
            <w:tcW w:type="dxa" w:w="1535"/>
            <w:tcBorders>
              <w:top w:val="single" w:color="000000" w:sz="4"/>
              <w:left w:val="single" w:color="000000" w:sz="4"/>
              <w:bottom w:val="single" w:color="000000" w:sz="4"/>
              <w:right w:val="single" w:color="000000" w:sz="4"/>
            </w:tcBorders>
            <w:vAlign w:val="top"/>
          </w:tcPr>
          <w:p>
            <w:pPr>
              <w:jc w:val="center"/>
            </w:pPr>
            <w:r>
              <w:rPr>
                <w:b/>
                <w:color w:val="000000"/>
                <w:sz w:val="21"/>
              </w:rPr>
              <w:t>考核内容</w:t>
            </w:r>
          </w:p>
        </w:tc>
        <w:tc>
          <w:tcPr>
            <w:tcW w:type="dxa" w:w="4493"/>
            <w:tcBorders>
              <w:top w:val="single" w:color="000000" w:sz="4"/>
              <w:left w:val="single" w:color="000000" w:sz="4"/>
              <w:bottom w:val="single" w:color="000000" w:sz="4"/>
              <w:right w:val="single" w:color="000000" w:sz="4"/>
            </w:tcBorders>
            <w:vAlign w:val="top"/>
          </w:tcPr>
          <w:p>
            <w:pPr>
              <w:jc w:val="center"/>
            </w:pPr>
            <w:r>
              <w:rPr>
                <w:b/>
                <w:color w:val="000000"/>
                <w:sz w:val="21"/>
              </w:rPr>
              <w:t>扣分细则</w:t>
            </w:r>
          </w:p>
        </w:tc>
        <w:tc>
          <w:tcPr>
            <w:tcW w:type="dxa" w:w="956"/>
            <w:tcBorders>
              <w:top w:val="single" w:color="000000" w:sz="4"/>
              <w:left w:val="single" w:color="000000" w:sz="4"/>
              <w:bottom w:val="single" w:color="000000" w:sz="4"/>
              <w:right w:val="single" w:color="000000" w:sz="4"/>
            </w:tcBorders>
            <w:vAlign w:val="top"/>
          </w:tcPr>
          <w:p>
            <w:pPr>
              <w:jc w:val="center"/>
            </w:pPr>
            <w:r>
              <w:rPr>
                <w:b/>
                <w:color w:val="000000"/>
                <w:sz w:val="21"/>
              </w:rPr>
              <w:t>分数占比</w:t>
            </w:r>
          </w:p>
        </w:tc>
      </w:tr>
      <w:tr>
        <w:tc>
          <w:tcPr>
            <w:tcW w:type="dxa" w:w="1321"/>
            <w:tcBorders>
              <w:top w:val="none" w:color="000000" w:sz="4"/>
              <w:left w:val="single" w:color="000000" w:sz="4"/>
              <w:bottom w:val="single" w:color="000000" w:sz="4"/>
              <w:right w:val="single" w:color="000000" w:sz="4"/>
            </w:tcBorders>
            <w:vAlign w:val="top"/>
          </w:tcPr>
          <w:p>
            <w:pPr>
              <w:jc w:val="center"/>
            </w:pPr>
            <w:r>
              <w:rPr>
                <w:color w:val="000000"/>
                <w:sz w:val="21"/>
              </w:rPr>
              <w:t>食品安全事故责任</w:t>
            </w:r>
          </w:p>
        </w:tc>
        <w:tc>
          <w:tcPr>
            <w:tcW w:type="dxa" w:w="1535"/>
            <w:tcBorders>
              <w:top w:val="none" w:color="000000" w:sz="4"/>
              <w:left w:val="single" w:color="000000" w:sz="4"/>
              <w:bottom w:val="single" w:color="000000" w:sz="4"/>
              <w:right w:val="single" w:color="000000" w:sz="4"/>
            </w:tcBorders>
            <w:vAlign w:val="top"/>
          </w:tcPr>
          <w:p>
            <w:pPr>
              <w:jc w:val="both"/>
            </w:pPr>
            <w:r>
              <w:rPr>
                <w:color w:val="000000"/>
                <w:sz w:val="21"/>
              </w:rPr>
              <w:t>如因食品加工、存放不当或场地设备（设施）、器具消毒、保洁不到位的原因造成的食品安全事故的，由此产生的责任由供应商承担。</w:t>
            </w:r>
          </w:p>
        </w:tc>
        <w:tc>
          <w:tcPr>
            <w:tcW w:type="dxa" w:w="4493"/>
            <w:tcBorders>
              <w:top w:val="none" w:color="000000" w:sz="4"/>
              <w:left w:val="single" w:color="000000" w:sz="4"/>
              <w:bottom w:val="single" w:color="000000" w:sz="4"/>
              <w:right w:val="single" w:color="000000" w:sz="4"/>
            </w:tcBorders>
            <w:vAlign w:val="top"/>
          </w:tcPr>
          <w:p>
            <w:pPr>
              <w:numPr>
                <w:ilvl w:val="0"/>
                <w:numId w:val="1"/>
              </w:numPr>
              <w:jc w:val="left"/>
            </w:pPr>
            <w:r>
              <w:rPr>
                <w:color w:val="000000"/>
                <w:sz w:val="21"/>
              </w:rPr>
              <w:t>造成食品安全事故一次扣</w:t>
            </w:r>
            <w:r>
              <w:rPr>
                <w:color w:val="000000"/>
                <w:sz w:val="21"/>
              </w:rPr>
              <w:t>30分；</w:t>
            </w:r>
          </w:p>
          <w:p>
            <w:pPr>
              <w:numPr>
                <w:ilvl w:val="0"/>
                <w:numId w:val="1"/>
              </w:numPr>
              <w:jc w:val="left"/>
            </w:pPr>
            <w:r>
              <w:rPr>
                <w:color w:val="000000"/>
                <w:sz w:val="21"/>
              </w:rPr>
              <w:t>对采购人提出的合理意见不改正的，发现一次扣</w:t>
            </w:r>
            <w:r>
              <w:rPr>
                <w:color w:val="000000"/>
                <w:sz w:val="21"/>
              </w:rPr>
              <w:t>5分。</w:t>
            </w:r>
          </w:p>
        </w:tc>
        <w:tc>
          <w:tcPr>
            <w:tcW w:type="dxa" w:w="956"/>
            <w:tcBorders>
              <w:top w:val="none" w:color="000000" w:sz="4"/>
              <w:left w:val="single" w:color="000000" w:sz="4"/>
              <w:bottom w:val="single" w:color="000000" w:sz="4"/>
              <w:right w:val="single" w:color="000000" w:sz="4"/>
            </w:tcBorders>
            <w:vAlign w:val="top"/>
          </w:tcPr>
          <w:p>
            <w:pPr>
              <w:jc w:val="center"/>
            </w:pPr>
            <w:r>
              <w:rPr>
                <w:color w:val="000000"/>
                <w:sz w:val="21"/>
              </w:rPr>
              <w:t>30分</w:t>
            </w:r>
          </w:p>
        </w:tc>
      </w:tr>
      <w:tr>
        <w:tc>
          <w:tcPr>
            <w:tcW w:type="dxa" w:w="1321"/>
            <w:vMerge w:val="restart"/>
            <w:tcBorders>
              <w:top w:val="none" w:color="000000" w:sz="4"/>
              <w:left w:val="single" w:color="000000" w:sz="4"/>
              <w:bottom w:val="single" w:color="000000" w:sz="4"/>
              <w:right w:val="single" w:color="000000" w:sz="4"/>
            </w:tcBorders>
            <w:vAlign w:val="top"/>
          </w:tcPr>
          <w:p>
            <w:pPr>
              <w:jc w:val="center"/>
            </w:pPr>
            <w:r>
              <w:rPr>
                <w:sz w:val="21"/>
              </w:rPr>
              <w:t>其他要求</w:t>
            </w:r>
          </w:p>
        </w:tc>
        <w:tc>
          <w:tcPr>
            <w:tcW w:type="dxa" w:w="1535"/>
            <w:tcBorders>
              <w:top w:val="none" w:color="000000" w:sz="4"/>
              <w:left w:val="single" w:color="000000" w:sz="4"/>
              <w:bottom w:val="single" w:color="000000" w:sz="4"/>
              <w:right w:val="single" w:color="000000" w:sz="4"/>
            </w:tcBorders>
            <w:vAlign w:val="top"/>
          </w:tcPr>
          <w:p>
            <w:pPr>
              <w:jc w:val="both"/>
            </w:pPr>
            <w:r>
              <w:rPr>
                <w:sz w:val="21"/>
              </w:rPr>
              <w:t>1、服装要求</w:t>
            </w:r>
          </w:p>
        </w:tc>
        <w:tc>
          <w:tcPr>
            <w:tcW w:type="dxa" w:w="4493"/>
            <w:tcBorders>
              <w:top w:val="none" w:color="000000" w:sz="4"/>
              <w:left w:val="single" w:color="000000" w:sz="4"/>
              <w:bottom w:val="single" w:color="000000" w:sz="4"/>
              <w:right w:val="single" w:color="000000" w:sz="4"/>
            </w:tcBorders>
            <w:vAlign w:val="top"/>
          </w:tcPr>
          <w:p>
            <w:pPr>
              <w:jc w:val="left"/>
            </w:pPr>
            <w:r>
              <w:rPr>
                <w:color w:val="000000"/>
                <w:sz w:val="21"/>
              </w:rPr>
              <w:t>在岗期间，服务人员不按规定着装的，每发现</w:t>
            </w:r>
            <w:r>
              <w:rPr>
                <w:color w:val="000000"/>
                <w:sz w:val="21"/>
              </w:rPr>
              <w:t>1</w:t>
            </w:r>
            <w:r>
              <w:rPr>
                <w:color w:val="000000"/>
                <w:sz w:val="21"/>
              </w:rPr>
              <w:t>人，扣</w:t>
            </w:r>
            <w:r>
              <w:rPr>
                <w:color w:val="000000"/>
                <w:sz w:val="21"/>
              </w:rPr>
              <w:t>1</w:t>
            </w:r>
            <w:r>
              <w:rPr>
                <w:color w:val="000000"/>
                <w:sz w:val="21"/>
              </w:rPr>
              <w:t>分。</w:t>
            </w:r>
          </w:p>
        </w:tc>
        <w:tc>
          <w:tcPr>
            <w:tcW w:type="dxa" w:w="956"/>
            <w:tcBorders>
              <w:top w:val="none" w:color="000000" w:sz="4"/>
              <w:left w:val="single" w:color="000000" w:sz="4"/>
              <w:bottom w:val="single" w:color="000000" w:sz="4"/>
              <w:right w:val="single" w:color="000000" w:sz="4"/>
            </w:tcBorders>
            <w:vAlign w:val="top"/>
          </w:tcPr>
          <w:p>
            <w:pPr>
              <w:jc w:val="center"/>
            </w:pPr>
            <w:r>
              <w:rPr>
                <w:color w:val="000000"/>
                <w:sz w:val="21"/>
              </w:rPr>
              <w:t>5分</w:t>
            </w:r>
          </w:p>
        </w:tc>
      </w:tr>
      <w:tr>
        <w:tc>
          <w:tcPr>
            <w:tcW w:type="dxa" w:w="1321"/>
            <w:vMerge/>
            <w:tcBorders>
              <w:top w:val="none" w:color="000000" w:sz="4"/>
              <w:left w:val="single" w:color="000000" w:sz="4"/>
              <w:bottom w:val="single" w:color="000000" w:sz="4"/>
              <w:right w:val="single" w:color="000000" w:sz="4"/>
            </w:tcBorders>
          </w:tcPr>
          <w:p/>
        </w:tc>
        <w:tc>
          <w:tcPr>
            <w:tcW w:type="dxa" w:w="1535"/>
            <w:tcBorders>
              <w:top w:val="none" w:color="000000" w:sz="4"/>
              <w:left w:val="single" w:color="000000" w:sz="4"/>
              <w:bottom w:val="single" w:color="000000" w:sz="4"/>
              <w:right w:val="single" w:color="000000" w:sz="4"/>
            </w:tcBorders>
            <w:vAlign w:val="top"/>
          </w:tcPr>
          <w:p>
            <w:pPr>
              <w:jc w:val="both"/>
            </w:pPr>
            <w:r>
              <w:rPr>
                <w:sz w:val="21"/>
              </w:rPr>
              <w:t>2、个人卫生要求</w:t>
            </w:r>
          </w:p>
        </w:tc>
        <w:tc>
          <w:tcPr>
            <w:tcW w:type="dxa" w:w="4493"/>
            <w:tcBorders>
              <w:top w:val="none" w:color="000000" w:sz="4"/>
              <w:left w:val="single" w:color="000000" w:sz="4"/>
              <w:bottom w:val="single" w:color="000000" w:sz="4"/>
              <w:right w:val="single" w:color="000000" w:sz="4"/>
            </w:tcBorders>
            <w:vAlign w:val="top"/>
          </w:tcPr>
          <w:p>
            <w:pPr>
              <w:jc w:val="left"/>
            </w:pPr>
            <w:r>
              <w:rPr>
                <w:color w:val="000000"/>
                <w:sz w:val="21"/>
              </w:rPr>
              <w:t>在岗期间，服务人员不遵守个人卫生制度，每发现</w:t>
            </w:r>
            <w:r>
              <w:rPr>
                <w:color w:val="000000"/>
                <w:sz w:val="21"/>
              </w:rPr>
              <w:t>1</w:t>
            </w:r>
            <w:r>
              <w:rPr>
                <w:color w:val="000000"/>
                <w:sz w:val="21"/>
              </w:rPr>
              <w:t>人，扣</w:t>
            </w:r>
            <w:r>
              <w:rPr>
                <w:color w:val="000000"/>
                <w:sz w:val="21"/>
              </w:rPr>
              <w:t>1</w:t>
            </w:r>
            <w:r>
              <w:rPr>
                <w:color w:val="000000"/>
                <w:sz w:val="21"/>
              </w:rPr>
              <w:t>分。</w:t>
            </w:r>
          </w:p>
        </w:tc>
        <w:tc>
          <w:tcPr>
            <w:tcW w:type="dxa" w:w="956"/>
            <w:tcBorders>
              <w:top w:val="none" w:color="000000" w:sz="4"/>
              <w:left w:val="single" w:color="000000" w:sz="4"/>
              <w:bottom w:val="single" w:color="000000" w:sz="4"/>
              <w:right w:val="single" w:color="000000" w:sz="4"/>
            </w:tcBorders>
            <w:vAlign w:val="top"/>
          </w:tcPr>
          <w:p>
            <w:pPr>
              <w:jc w:val="center"/>
            </w:pPr>
            <w:r>
              <w:rPr>
                <w:color w:val="000000"/>
                <w:sz w:val="21"/>
              </w:rPr>
              <w:t>10分</w:t>
            </w:r>
          </w:p>
        </w:tc>
      </w:tr>
      <w:tr>
        <w:tc>
          <w:tcPr>
            <w:tcW w:type="dxa" w:w="1321"/>
            <w:vMerge/>
            <w:tcBorders>
              <w:top w:val="none" w:color="000000" w:sz="4"/>
              <w:left w:val="single" w:color="000000" w:sz="4"/>
              <w:bottom w:val="single" w:color="000000" w:sz="4"/>
              <w:right w:val="single" w:color="000000" w:sz="4"/>
            </w:tcBorders>
          </w:tcPr>
          <w:p/>
        </w:tc>
        <w:tc>
          <w:tcPr>
            <w:tcW w:type="dxa" w:w="1535"/>
            <w:tcBorders>
              <w:top w:val="none" w:color="000000" w:sz="4"/>
              <w:left w:val="single" w:color="000000" w:sz="4"/>
              <w:bottom w:val="single" w:color="000000" w:sz="4"/>
              <w:right w:val="single" w:color="000000" w:sz="4"/>
            </w:tcBorders>
            <w:vAlign w:val="top"/>
          </w:tcPr>
          <w:p>
            <w:pPr>
              <w:jc w:val="both"/>
            </w:pPr>
            <w:r>
              <w:rPr>
                <w:sz w:val="21"/>
              </w:rPr>
              <w:t>3、食物加工制作要求</w:t>
            </w:r>
          </w:p>
        </w:tc>
        <w:tc>
          <w:tcPr>
            <w:tcW w:type="dxa" w:w="4493"/>
            <w:tcBorders>
              <w:top w:val="none" w:color="000000" w:sz="4"/>
              <w:left w:val="single" w:color="000000" w:sz="4"/>
              <w:bottom w:val="single" w:color="000000" w:sz="4"/>
              <w:right w:val="single" w:color="000000" w:sz="4"/>
            </w:tcBorders>
            <w:vAlign w:val="top"/>
          </w:tcPr>
          <w:p>
            <w:pPr>
              <w:jc w:val="left"/>
            </w:pPr>
            <w:r>
              <w:rPr>
                <w:color w:val="000000"/>
                <w:sz w:val="21"/>
              </w:rPr>
              <w:t>1、对腐败变质或感官异常的原料仍加工使用，每发现一次扣3分；</w:t>
            </w:r>
          </w:p>
          <w:p>
            <w:pPr>
              <w:jc w:val="left"/>
            </w:pPr>
            <w:r>
              <w:rPr>
                <w:color w:val="000000"/>
                <w:sz w:val="21"/>
              </w:rPr>
              <w:t>2、蔬菜与肉类、水产品不分池清洗，发现一次扣1分；</w:t>
            </w:r>
          </w:p>
          <w:p>
            <w:pPr>
              <w:jc w:val="left"/>
            </w:pPr>
            <w:r>
              <w:rPr>
                <w:color w:val="000000"/>
                <w:sz w:val="21"/>
              </w:rPr>
              <w:t>3、刀、墩、板、桶、盆、筐、抹布及其它工具、容器不洗净、不定位存放，每发现一次扣1分；</w:t>
            </w:r>
          </w:p>
          <w:p>
            <w:pPr>
              <w:jc w:val="left"/>
            </w:pPr>
            <w:r>
              <w:rPr>
                <w:color w:val="000000"/>
                <w:sz w:val="21"/>
              </w:rPr>
              <w:t>4、食品不烧熟煮透，熟品与原料或半成品不分开存放，每发现一次扣2分；</w:t>
            </w:r>
          </w:p>
          <w:p>
            <w:pPr>
              <w:jc w:val="left"/>
            </w:pPr>
            <w:r>
              <w:rPr>
                <w:color w:val="000000"/>
                <w:sz w:val="21"/>
              </w:rPr>
              <w:t>5、较长时间不食用的熟品不冷藏，发现一次扣2分；</w:t>
            </w:r>
          </w:p>
          <w:p>
            <w:pPr>
              <w:jc w:val="left"/>
            </w:pPr>
            <w:r>
              <w:rPr>
                <w:color w:val="000000"/>
                <w:sz w:val="21"/>
              </w:rPr>
              <w:t>6、加工凉菜的工具、容器不是专用，用前不消毒的，发现一次扣2分。</w:t>
            </w:r>
          </w:p>
        </w:tc>
        <w:tc>
          <w:tcPr>
            <w:tcW w:type="dxa" w:w="956"/>
            <w:tcBorders>
              <w:top w:val="none" w:color="000000" w:sz="4"/>
              <w:left w:val="single" w:color="000000" w:sz="4"/>
              <w:bottom w:val="single" w:color="000000" w:sz="4"/>
              <w:right w:val="single" w:color="000000" w:sz="4"/>
            </w:tcBorders>
            <w:vAlign w:val="top"/>
          </w:tcPr>
          <w:p>
            <w:pPr>
              <w:jc w:val="center"/>
            </w:pPr>
            <w:r>
              <w:rPr>
                <w:color w:val="000000"/>
                <w:sz w:val="21"/>
              </w:rPr>
              <w:t>10分</w:t>
            </w:r>
          </w:p>
        </w:tc>
      </w:tr>
      <w:tr>
        <w:tc>
          <w:tcPr>
            <w:tcW w:type="dxa" w:w="1321"/>
            <w:vMerge/>
            <w:tcBorders>
              <w:top w:val="none" w:color="000000" w:sz="4"/>
              <w:left w:val="single" w:color="000000" w:sz="4"/>
              <w:bottom w:val="single" w:color="000000" w:sz="4"/>
              <w:right w:val="single" w:color="000000" w:sz="4"/>
            </w:tcBorders>
          </w:tcPr>
          <w:p/>
        </w:tc>
        <w:tc>
          <w:tcPr>
            <w:tcW w:type="dxa" w:w="1535"/>
            <w:tcBorders>
              <w:top w:val="none" w:color="000000" w:sz="4"/>
              <w:left w:val="single" w:color="000000" w:sz="4"/>
              <w:bottom w:val="single" w:color="000000" w:sz="4"/>
              <w:right w:val="single" w:color="000000" w:sz="4"/>
            </w:tcBorders>
            <w:vAlign w:val="top"/>
          </w:tcPr>
          <w:p>
            <w:pPr>
              <w:jc w:val="both"/>
            </w:pPr>
            <w:r>
              <w:rPr>
                <w:color w:val="000000"/>
                <w:sz w:val="21"/>
              </w:rPr>
              <w:t>4、食品配送容器卫生要求</w:t>
            </w:r>
          </w:p>
        </w:tc>
        <w:tc>
          <w:tcPr>
            <w:tcW w:type="dxa" w:w="4493"/>
            <w:tcBorders>
              <w:top w:val="none" w:color="000000" w:sz="4"/>
              <w:left w:val="single" w:color="000000" w:sz="4"/>
              <w:bottom w:val="single" w:color="000000" w:sz="4"/>
              <w:right w:val="single" w:color="000000" w:sz="4"/>
            </w:tcBorders>
            <w:vAlign w:val="top"/>
          </w:tcPr>
          <w:p>
            <w:pPr>
              <w:jc w:val="left"/>
            </w:pPr>
            <w:r>
              <w:rPr>
                <w:color w:val="000000"/>
                <w:sz w:val="21"/>
              </w:rPr>
              <w:t>1、配送容器未经消毒使用的，发现一次扣2分；</w:t>
            </w:r>
          </w:p>
          <w:p>
            <w:pPr>
              <w:jc w:val="left"/>
            </w:pPr>
            <w:r>
              <w:rPr>
                <w:color w:val="000000"/>
                <w:sz w:val="21"/>
              </w:rPr>
              <w:t>2、容器和餐具不使用专用水池或水盘清洗，发现一次扣1分；</w:t>
            </w:r>
          </w:p>
          <w:p>
            <w:pPr>
              <w:jc w:val="left"/>
            </w:pPr>
            <w:r>
              <w:rPr>
                <w:color w:val="000000"/>
                <w:sz w:val="21"/>
              </w:rPr>
              <w:t>3、熟食容器和半成品容器、原料容器不区分使用并做好标记的，发现一次扣1分；</w:t>
            </w:r>
          </w:p>
          <w:p>
            <w:pPr>
              <w:jc w:val="left"/>
            </w:pPr>
            <w:r>
              <w:rPr>
                <w:color w:val="000000"/>
                <w:sz w:val="21"/>
              </w:rPr>
              <w:t>4、消毒后的容器不贮在专用保洁柜，发现一次扣1分；</w:t>
            </w:r>
          </w:p>
          <w:p>
            <w:pPr>
              <w:jc w:val="left"/>
            </w:pPr>
            <w:r>
              <w:rPr>
                <w:color w:val="000000"/>
                <w:sz w:val="21"/>
              </w:rPr>
              <w:t>5、保洁柜不定期清洗、不洁净的，发现一次扣1分。</w:t>
            </w:r>
          </w:p>
        </w:tc>
        <w:tc>
          <w:tcPr>
            <w:tcW w:type="dxa" w:w="956"/>
            <w:tcBorders>
              <w:top w:val="none" w:color="000000" w:sz="4"/>
              <w:left w:val="single" w:color="000000" w:sz="4"/>
              <w:bottom w:val="single" w:color="000000" w:sz="4"/>
              <w:right w:val="single" w:color="000000" w:sz="4"/>
            </w:tcBorders>
            <w:vAlign w:val="top"/>
          </w:tcPr>
          <w:p>
            <w:pPr>
              <w:jc w:val="center"/>
            </w:pPr>
            <w:r>
              <w:rPr>
                <w:color w:val="000000"/>
                <w:sz w:val="21"/>
              </w:rPr>
              <w:t>10分</w:t>
            </w:r>
          </w:p>
        </w:tc>
      </w:tr>
      <w:tr>
        <w:tc>
          <w:tcPr>
            <w:tcW w:type="dxa" w:w="1321"/>
            <w:vMerge/>
            <w:tcBorders>
              <w:top w:val="none" w:color="000000" w:sz="4"/>
              <w:left w:val="single" w:color="000000" w:sz="4"/>
              <w:bottom w:val="single" w:color="000000" w:sz="4"/>
              <w:right w:val="single" w:color="000000" w:sz="4"/>
            </w:tcBorders>
          </w:tcPr>
          <w:p/>
        </w:tc>
        <w:tc>
          <w:tcPr>
            <w:tcW w:type="dxa" w:w="1535"/>
            <w:tcBorders>
              <w:top w:val="none" w:color="000000" w:sz="4"/>
              <w:left w:val="single" w:color="000000" w:sz="4"/>
              <w:bottom w:val="single" w:color="000000" w:sz="4"/>
              <w:right w:val="single" w:color="000000" w:sz="4"/>
            </w:tcBorders>
            <w:vAlign w:val="top"/>
          </w:tcPr>
          <w:p>
            <w:pPr>
              <w:jc w:val="both"/>
            </w:pPr>
            <w:r>
              <w:rPr>
                <w:color w:val="000000"/>
                <w:sz w:val="21"/>
              </w:rPr>
              <w:t>5、加工场所保洁要求</w:t>
            </w:r>
          </w:p>
        </w:tc>
        <w:tc>
          <w:tcPr>
            <w:tcW w:type="dxa" w:w="4493"/>
            <w:tcBorders>
              <w:top w:val="none" w:color="000000" w:sz="4"/>
              <w:left w:val="single" w:color="000000" w:sz="4"/>
              <w:bottom w:val="single" w:color="000000" w:sz="4"/>
              <w:right w:val="single" w:color="000000" w:sz="4"/>
            </w:tcBorders>
            <w:vAlign w:val="top"/>
          </w:tcPr>
          <w:p>
            <w:pPr>
              <w:jc w:val="left"/>
            </w:pPr>
            <w:r>
              <w:rPr>
                <w:color w:val="000000"/>
                <w:sz w:val="21"/>
              </w:rPr>
              <w:t>1、工作间不干净、整洁，发现一次扣0.5分；</w:t>
            </w:r>
          </w:p>
          <w:p>
            <w:pPr>
              <w:jc w:val="left"/>
            </w:pPr>
            <w:r>
              <w:rPr>
                <w:color w:val="000000"/>
                <w:sz w:val="21"/>
              </w:rPr>
              <w:t>2、排水沟堵塞，有积水或发臭等情况，发现一次扣1分；</w:t>
            </w:r>
          </w:p>
          <w:p>
            <w:pPr>
              <w:jc w:val="left"/>
            </w:pPr>
            <w:r>
              <w:rPr>
                <w:color w:val="000000"/>
                <w:sz w:val="21"/>
              </w:rPr>
              <w:t>3、泔水桶不加盖、废物袋不扎口，不放在上风、不远离工作间等，发现一次扣0.5分；</w:t>
            </w:r>
          </w:p>
          <w:p>
            <w:pPr>
              <w:jc w:val="left"/>
            </w:pPr>
            <w:r>
              <w:rPr>
                <w:color w:val="000000"/>
                <w:sz w:val="21"/>
              </w:rPr>
              <w:t>4、苍蝇、蚊子、老鼠、蟑螂等害虫到处可见，发现一次扣1分；</w:t>
            </w:r>
          </w:p>
          <w:p>
            <w:pPr>
              <w:jc w:val="left"/>
            </w:pPr>
            <w:r>
              <w:rPr>
                <w:color w:val="000000"/>
                <w:sz w:val="21"/>
              </w:rPr>
              <w:t>5、乱倒垃圾和污水，发现一次扣1分。</w:t>
            </w:r>
          </w:p>
        </w:tc>
        <w:tc>
          <w:tcPr>
            <w:tcW w:type="dxa" w:w="956"/>
            <w:tcBorders>
              <w:top w:val="none" w:color="000000" w:sz="4"/>
              <w:left w:val="single" w:color="000000" w:sz="4"/>
              <w:bottom w:val="single" w:color="000000" w:sz="4"/>
              <w:right w:val="single" w:color="000000" w:sz="4"/>
            </w:tcBorders>
            <w:vAlign w:val="top"/>
          </w:tcPr>
          <w:p>
            <w:pPr>
              <w:jc w:val="center"/>
            </w:pPr>
            <w:r>
              <w:rPr>
                <w:color w:val="000000"/>
                <w:sz w:val="21"/>
              </w:rPr>
              <w:t>5分</w:t>
            </w:r>
          </w:p>
        </w:tc>
      </w:tr>
      <w:tr>
        <w:tc>
          <w:tcPr>
            <w:tcW w:type="dxa" w:w="1321"/>
            <w:vMerge/>
            <w:tcBorders>
              <w:top w:val="none" w:color="000000" w:sz="4"/>
              <w:left w:val="single" w:color="000000" w:sz="4"/>
              <w:bottom w:val="single" w:color="000000" w:sz="4"/>
              <w:right w:val="single" w:color="000000" w:sz="4"/>
            </w:tcBorders>
          </w:tcPr>
          <w:p/>
        </w:tc>
        <w:tc>
          <w:tcPr>
            <w:tcW w:type="dxa" w:w="1535"/>
            <w:tcBorders>
              <w:top w:val="none" w:color="000000" w:sz="4"/>
              <w:left w:val="single" w:color="000000" w:sz="4"/>
              <w:bottom w:val="single" w:color="000000" w:sz="4"/>
              <w:right w:val="single" w:color="000000" w:sz="4"/>
            </w:tcBorders>
            <w:vAlign w:val="top"/>
          </w:tcPr>
          <w:p>
            <w:pPr>
              <w:jc w:val="both"/>
            </w:pPr>
            <w:r>
              <w:rPr>
                <w:color w:val="000000"/>
                <w:sz w:val="21"/>
              </w:rPr>
              <w:t>6、加工设备使用要求</w:t>
            </w:r>
          </w:p>
        </w:tc>
        <w:tc>
          <w:tcPr>
            <w:tcW w:type="dxa" w:w="4493"/>
            <w:tcBorders>
              <w:top w:val="none" w:color="000000" w:sz="4"/>
              <w:left w:val="single" w:color="000000" w:sz="4"/>
              <w:bottom w:val="single" w:color="000000" w:sz="4"/>
              <w:right w:val="single" w:color="000000" w:sz="4"/>
            </w:tcBorders>
            <w:vAlign w:val="top"/>
          </w:tcPr>
          <w:p>
            <w:pPr>
              <w:jc w:val="left"/>
            </w:pPr>
            <w:r>
              <w:rPr>
                <w:color w:val="000000"/>
                <w:sz w:val="21"/>
              </w:rPr>
              <w:t>没按要求及时清洗、保养加工设备的，每发现一次，扣</w:t>
            </w:r>
            <w:r>
              <w:rPr>
                <w:color w:val="000000"/>
                <w:sz w:val="21"/>
              </w:rPr>
              <w:t>1</w:t>
            </w:r>
            <w:r>
              <w:rPr>
                <w:color w:val="000000"/>
                <w:sz w:val="21"/>
              </w:rPr>
              <w:t>分。</w:t>
            </w:r>
          </w:p>
        </w:tc>
        <w:tc>
          <w:tcPr>
            <w:tcW w:type="dxa" w:w="956"/>
            <w:tcBorders>
              <w:top w:val="none" w:color="000000" w:sz="4"/>
              <w:left w:val="single" w:color="000000" w:sz="4"/>
              <w:bottom w:val="single" w:color="000000" w:sz="4"/>
              <w:right w:val="single" w:color="000000" w:sz="4"/>
            </w:tcBorders>
            <w:vAlign w:val="top"/>
          </w:tcPr>
          <w:p>
            <w:pPr>
              <w:jc w:val="center"/>
            </w:pPr>
            <w:r>
              <w:rPr>
                <w:color w:val="000000"/>
                <w:sz w:val="21"/>
              </w:rPr>
              <w:t>10分</w:t>
            </w:r>
          </w:p>
        </w:tc>
      </w:tr>
      <w:tr>
        <w:tc>
          <w:tcPr>
            <w:tcW w:type="dxa" w:w="1321"/>
            <w:vMerge/>
            <w:tcBorders>
              <w:top w:val="none" w:color="000000" w:sz="4"/>
              <w:left w:val="single" w:color="000000" w:sz="4"/>
              <w:bottom w:val="single" w:color="000000" w:sz="4"/>
              <w:right w:val="single" w:color="000000" w:sz="4"/>
            </w:tcBorders>
          </w:tcPr>
          <w:p/>
        </w:tc>
        <w:tc>
          <w:tcPr>
            <w:tcW w:type="dxa" w:w="1535"/>
            <w:tcBorders>
              <w:top w:val="none" w:color="000000" w:sz="4"/>
              <w:left w:val="single" w:color="000000" w:sz="4"/>
              <w:bottom w:val="single" w:color="000000" w:sz="4"/>
              <w:right w:val="single" w:color="000000" w:sz="4"/>
            </w:tcBorders>
            <w:vAlign w:val="top"/>
          </w:tcPr>
          <w:p>
            <w:pPr>
              <w:jc w:val="both"/>
            </w:pPr>
            <w:r>
              <w:rPr>
                <w:color w:val="000000"/>
                <w:sz w:val="21"/>
              </w:rPr>
              <w:t>7、供餐要求</w:t>
            </w:r>
          </w:p>
        </w:tc>
        <w:tc>
          <w:tcPr>
            <w:tcW w:type="dxa" w:w="4493"/>
            <w:tcBorders>
              <w:top w:val="none" w:color="000000" w:sz="4"/>
              <w:left w:val="single" w:color="000000" w:sz="4"/>
              <w:bottom w:val="single" w:color="000000" w:sz="4"/>
              <w:right w:val="single" w:color="000000" w:sz="4"/>
            </w:tcBorders>
            <w:vAlign w:val="top"/>
          </w:tcPr>
          <w:p>
            <w:pPr>
              <w:jc w:val="left"/>
            </w:pPr>
            <w:r>
              <w:rPr>
                <w:sz w:val="21"/>
              </w:rPr>
              <w:t>不支持采购人管</w:t>
            </w:r>
            <w:r>
              <w:rPr>
                <w:color w:val="000000"/>
                <w:sz w:val="21"/>
              </w:rPr>
              <w:t>理要求，没在规定的时间内做好配餐工作的，每被出现投诉一次扣</w:t>
            </w:r>
            <w:r>
              <w:rPr>
                <w:color w:val="000000"/>
                <w:sz w:val="21"/>
              </w:rPr>
              <w:t>2</w:t>
            </w:r>
            <w:r>
              <w:rPr>
                <w:color w:val="000000"/>
                <w:sz w:val="21"/>
              </w:rPr>
              <w:t>分。</w:t>
            </w:r>
          </w:p>
        </w:tc>
        <w:tc>
          <w:tcPr>
            <w:tcW w:type="dxa" w:w="956"/>
            <w:tcBorders>
              <w:top w:val="none" w:color="000000" w:sz="4"/>
              <w:left w:val="single" w:color="000000" w:sz="4"/>
              <w:bottom w:val="single" w:color="000000" w:sz="4"/>
              <w:right w:val="single" w:color="000000" w:sz="4"/>
            </w:tcBorders>
            <w:vAlign w:val="top"/>
          </w:tcPr>
          <w:p>
            <w:pPr>
              <w:jc w:val="center"/>
            </w:pPr>
            <w:r>
              <w:rPr>
                <w:color w:val="000000"/>
                <w:sz w:val="21"/>
              </w:rPr>
              <w:t>10分</w:t>
            </w:r>
          </w:p>
        </w:tc>
      </w:tr>
      <w:tr>
        <w:tc>
          <w:tcPr>
            <w:tcW w:type="dxa" w:w="1321"/>
            <w:vMerge/>
            <w:tcBorders>
              <w:top w:val="none" w:color="000000" w:sz="4"/>
              <w:left w:val="single" w:color="000000" w:sz="4"/>
              <w:bottom w:val="single" w:color="000000" w:sz="4"/>
              <w:right w:val="single" w:color="000000" w:sz="4"/>
            </w:tcBorders>
          </w:tcPr>
          <w:p/>
        </w:tc>
        <w:tc>
          <w:tcPr>
            <w:tcW w:type="dxa" w:w="1535"/>
            <w:tcBorders>
              <w:top w:val="none" w:color="000000" w:sz="4"/>
              <w:left w:val="single" w:color="000000" w:sz="4"/>
              <w:bottom w:val="single" w:color="000000" w:sz="4"/>
              <w:right w:val="single" w:color="000000" w:sz="4"/>
            </w:tcBorders>
            <w:vAlign w:val="top"/>
          </w:tcPr>
          <w:p>
            <w:pPr>
              <w:jc w:val="both"/>
            </w:pPr>
            <w:r>
              <w:rPr>
                <w:color w:val="000000"/>
                <w:sz w:val="21"/>
              </w:rPr>
              <w:t>8、物资保管要求</w:t>
            </w:r>
          </w:p>
        </w:tc>
        <w:tc>
          <w:tcPr>
            <w:tcW w:type="dxa" w:w="4493"/>
            <w:tcBorders>
              <w:top w:val="none" w:color="000000" w:sz="4"/>
              <w:left w:val="single" w:color="000000" w:sz="4"/>
              <w:bottom w:val="single" w:color="000000" w:sz="4"/>
              <w:right w:val="single" w:color="000000" w:sz="4"/>
            </w:tcBorders>
            <w:vAlign w:val="top"/>
          </w:tcPr>
          <w:p>
            <w:pPr>
              <w:jc w:val="left"/>
            </w:pPr>
            <w:r>
              <w:rPr>
                <w:color w:val="000000"/>
                <w:sz w:val="21"/>
              </w:rPr>
              <w:t>1、新鲜果、蔬原料存于积水、无遮阳、不通风的场地，发现一次扣1分；</w:t>
            </w:r>
          </w:p>
          <w:p>
            <w:pPr>
              <w:jc w:val="left"/>
            </w:pPr>
            <w:r>
              <w:rPr>
                <w:color w:val="000000"/>
                <w:sz w:val="21"/>
              </w:rPr>
              <w:t>2、对腐败、霉烂原料不及时剔除，污染其它食品或原料的，发现一次扣2分；</w:t>
            </w:r>
          </w:p>
          <w:p>
            <w:pPr>
              <w:jc w:val="left"/>
            </w:pPr>
            <w:r>
              <w:rPr>
                <w:color w:val="000000"/>
                <w:sz w:val="21"/>
              </w:rPr>
              <w:t>3、同位置存放相互影响风味的材料的，发现一次扣1分；</w:t>
            </w:r>
          </w:p>
          <w:p>
            <w:pPr>
              <w:jc w:val="left"/>
            </w:pPr>
            <w:r>
              <w:rPr>
                <w:color w:val="000000"/>
                <w:sz w:val="21"/>
              </w:rPr>
              <w:t>4、不实行原材料先进先出的，发现一次扣1分。</w:t>
            </w:r>
          </w:p>
        </w:tc>
        <w:tc>
          <w:tcPr>
            <w:tcW w:type="dxa" w:w="956"/>
            <w:tcBorders>
              <w:top w:val="none" w:color="000000" w:sz="4"/>
              <w:left w:val="single" w:color="000000" w:sz="4"/>
              <w:bottom w:val="single" w:color="000000" w:sz="4"/>
              <w:right w:val="single" w:color="000000" w:sz="4"/>
            </w:tcBorders>
            <w:vAlign w:val="top"/>
          </w:tcPr>
          <w:p>
            <w:pPr>
              <w:jc w:val="center"/>
            </w:pPr>
            <w:r>
              <w:rPr>
                <w:color w:val="000000"/>
                <w:sz w:val="21"/>
              </w:rPr>
              <w:t>10分</w:t>
            </w:r>
          </w:p>
        </w:tc>
      </w:tr>
      <w:tr>
        <w:tc>
          <w:tcPr>
            <w:tcW w:type="dxa" w:w="1321"/>
            <w:tcBorders>
              <w:top w:val="none" w:color="000000" w:sz="4"/>
              <w:left w:val="single" w:color="000000" w:sz="4"/>
              <w:bottom w:val="single" w:color="000000" w:sz="4"/>
              <w:right w:val="single" w:color="000000" w:sz="4"/>
            </w:tcBorders>
            <w:vAlign w:val="top"/>
          </w:tcPr>
          <w:p>
            <w:pPr>
              <w:jc w:val="center"/>
            </w:pPr>
            <w:r>
              <w:rPr>
                <w:color w:val="000000"/>
                <w:sz w:val="21"/>
              </w:rPr>
              <w:t>其它</w:t>
            </w:r>
          </w:p>
        </w:tc>
        <w:tc>
          <w:tcPr>
            <w:tcW w:type="dxa" w:w="1535"/>
            <w:tcBorders>
              <w:top w:val="none" w:color="000000" w:sz="4"/>
              <w:left w:val="single" w:color="000000" w:sz="4"/>
              <w:bottom w:val="single" w:color="000000" w:sz="4"/>
              <w:right w:val="single" w:color="000000" w:sz="4"/>
            </w:tcBorders>
            <w:vAlign w:val="top"/>
          </w:tcPr>
          <w:p>
            <w:pPr>
              <w:jc w:val="both"/>
            </w:pPr>
          </w:p>
        </w:tc>
        <w:tc>
          <w:tcPr>
            <w:tcW w:type="dxa" w:w="4493"/>
            <w:tcBorders>
              <w:top w:val="none" w:color="000000" w:sz="4"/>
              <w:left w:val="single" w:color="000000" w:sz="4"/>
              <w:bottom w:val="single" w:color="000000" w:sz="4"/>
              <w:right w:val="single" w:color="000000" w:sz="4"/>
            </w:tcBorders>
            <w:vAlign w:val="top"/>
          </w:tcPr>
          <w:p>
            <w:pPr>
              <w:jc w:val="center"/>
            </w:pPr>
          </w:p>
        </w:tc>
        <w:tc>
          <w:tcPr>
            <w:tcW w:type="dxa" w:w="956"/>
            <w:tcBorders>
              <w:top w:val="none" w:color="000000" w:sz="4"/>
              <w:left w:val="single" w:color="000000" w:sz="4"/>
              <w:bottom w:val="single" w:color="000000" w:sz="4"/>
              <w:right w:val="single" w:color="000000" w:sz="4"/>
            </w:tcBorders>
            <w:vAlign w:val="top"/>
          </w:tcPr>
          <w:p>
            <w:pPr>
              <w:jc w:val="left"/>
            </w:pPr>
          </w:p>
        </w:tc>
      </w:tr>
      <w:tr>
        <w:tc>
          <w:tcPr>
            <w:tcW w:type="dxa" w:w="1321"/>
            <w:tcBorders>
              <w:top w:val="none" w:color="000000" w:sz="4"/>
              <w:left w:val="single" w:color="000000" w:sz="4"/>
              <w:bottom w:val="single" w:color="000000" w:sz="4"/>
              <w:right w:val="single" w:color="000000" w:sz="4"/>
            </w:tcBorders>
            <w:vAlign w:val="top"/>
          </w:tcPr>
          <w:p>
            <w:pPr>
              <w:jc w:val="center"/>
            </w:pPr>
            <w:r>
              <w:rPr>
                <w:color w:val="000000"/>
                <w:sz w:val="21"/>
              </w:rPr>
              <w:t>总得分</w:t>
            </w:r>
          </w:p>
        </w:tc>
        <w:tc>
          <w:tcPr>
            <w:tcW w:type="dxa" w:w="6984"/>
            <w:gridSpan w:val="3"/>
            <w:tcBorders>
              <w:top w:val="none" w:color="000000" w:sz="4"/>
              <w:left w:val="single" w:color="000000" w:sz="4"/>
              <w:bottom w:val="single" w:color="000000" w:sz="4"/>
              <w:right w:val="single" w:color="000000" w:sz="4"/>
            </w:tcBorders>
            <w:vAlign w:val="top"/>
          </w:tcPr>
          <w:p>
            <w:pPr>
              <w:jc w:val="both"/>
            </w:pPr>
          </w:p>
        </w:tc>
      </w:tr>
      <w:tr>
        <w:tc>
          <w:tcPr>
            <w:tcW w:type="dxa" w:w="1321"/>
            <w:tcBorders>
              <w:top w:val="none" w:color="000000" w:sz="4"/>
              <w:left w:val="single" w:color="000000" w:sz="4"/>
              <w:bottom w:val="single" w:color="000000" w:sz="4"/>
              <w:right w:val="single" w:color="000000" w:sz="4"/>
            </w:tcBorders>
            <w:vAlign w:val="top"/>
          </w:tcPr>
          <w:p>
            <w:pPr>
              <w:jc w:val="both"/>
            </w:pPr>
            <w:r>
              <w:rPr>
                <w:color w:val="000000"/>
                <w:sz w:val="21"/>
              </w:rPr>
              <w:t>考核小组签名</w:t>
            </w:r>
          </w:p>
        </w:tc>
        <w:tc>
          <w:tcPr>
            <w:tcW w:type="dxa" w:w="6984"/>
            <w:gridSpan w:val="3"/>
            <w:tcBorders>
              <w:top w:val="none" w:color="000000" w:sz="4"/>
              <w:left w:val="single" w:color="000000" w:sz="4"/>
              <w:bottom w:val="single" w:color="000000" w:sz="4"/>
              <w:right w:val="single" w:color="000000" w:sz="4"/>
            </w:tcBorders>
            <w:vAlign w:val="top"/>
          </w:tcPr>
          <w:p>
            <w:pPr>
              <w:jc w:val="both"/>
            </w:pPr>
          </w:p>
        </w:tc>
      </w:tr>
      <w:tr>
        <w:tc>
          <w:tcPr>
            <w:tcW w:type="dxa" w:w="1321"/>
            <w:tcBorders>
              <w:top w:val="none" w:color="000000" w:sz="4"/>
              <w:left w:val="single" w:color="000000" w:sz="4"/>
              <w:bottom w:val="single" w:color="000000" w:sz="4"/>
              <w:right w:val="single" w:color="000000" w:sz="4"/>
            </w:tcBorders>
            <w:vAlign w:val="top"/>
          </w:tcPr>
          <w:p>
            <w:pPr>
              <w:jc w:val="center"/>
            </w:pPr>
            <w:r>
              <w:rPr>
                <w:color w:val="000000"/>
                <w:sz w:val="21"/>
              </w:rPr>
              <w:t>被考核人（或代表人）签名</w:t>
            </w:r>
          </w:p>
        </w:tc>
        <w:tc>
          <w:tcPr>
            <w:tcW w:type="dxa" w:w="6984"/>
            <w:gridSpan w:val="3"/>
            <w:tcBorders>
              <w:top w:val="none" w:color="000000" w:sz="4"/>
              <w:left w:val="single" w:color="000000" w:sz="4"/>
              <w:bottom w:val="single" w:color="000000" w:sz="4"/>
              <w:right w:val="single" w:color="000000" w:sz="4"/>
            </w:tcBorders>
            <w:vAlign w:val="top"/>
          </w:tcPr>
          <w:p>
            <w:pPr>
              <w:jc w:val="both"/>
            </w:pPr>
          </w:p>
        </w:tc>
      </w:tr>
    </w:tbl>
    <w:p>
      <w:pPr>
        <w:jc w:val="left"/>
      </w:pPr>
    </w:p>
    <w:p>
      <w:pPr>
        <w:jc w:val="left"/>
      </w:pPr>
    </w:p>
    <w:p/>
    <w:p>
      <w:pPr>
        <w:ind w:firstLine="480"/>
      </w:pPr>
    </w:p>
    <w:p/>
    <w:p>
      <w:r>
        <w:rPr/>
        <w:t>采购包1（江海点配餐服务点1）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服务限期：自合同签订之日起壹年。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1期：支付比例100%,1.各采购包的配餐服务款项在服务期内据实结算。 2.中标供应商于每月15日前报送上月就餐情况，经采购人审核无误后15日内进行支付； 3.实际以中标供应商的中标折扣率、实际供货数量、基准单价为准及签订合同金额为限进行结算。结算金额=∑（各货物的基准单价最高限价×中标折扣率×实际采购数量）  4.如中标供应商为中小企业：（1）合同签订且收到履约保证金后5个工作日内采购人向中标供应商支付合同金额的30%（支付方式含银行转账、支票、银行承兑汇票、商业承兑汇票等形式）。（2）每笔实际结算金额按第1、2、3款方式先从预付款扣除，当扣除金额达到合同金额的30%后，再按第1、2、3款的方式支付剩余的70% 。 5.中标供应商凭以下有效文件与采购人结算：  1）合同；  2）中标供应商开具等额的正式发票；  3）供餐流水单（如采购人要求）。</w:t>
            </w:r>
          </w:p>
        </w:tc>
      </w:tr>
      <w:tr>
        <w:tc>
          <w:tcPr>
            <w:tcW w:type="dxa" w:w="4153"/>
          </w:tcPr>
          <w:p>
            <w:r>
              <w:rPr/>
              <w:t>验收要求</w:t>
            </w:r>
          </w:p>
        </w:tc>
        <w:tc>
          <w:tcPr>
            <w:tcW w:type="dxa" w:w="4153"/>
          </w:tcPr>
          <w:p/>
          <w:p/>
          <w:p/>
          <w:p>
            <w:r>
              <w:rPr/>
              <w:t>1期：1.本项目工作质量由采购人进行监督考核。 2.本项目所涉及的服务，由采购人组织对中标供应商进行月考核评估（项目考核情况表详见附件），服务期限内，每月的服务考核评估达不到80分时，要求中标供应商立刻整改。如整改后，中标供应商连续2个月服务考核还低于80分，采购人有权依法上报监管部门并追究中标供应商相关责任，中标供应商未能按合同提供服务给采购人造成的直接损失，追究其经济赔偿。</w:t>
            </w:r>
          </w:p>
        </w:tc>
      </w:tr>
      <w:tr>
        <w:tc>
          <w:tcPr>
            <w:tcW w:type="dxa" w:w="4153"/>
          </w:tcPr>
          <w:p>
            <w:r>
              <w:rPr/>
              <w:t>履约保证金</w:t>
            </w:r>
          </w:p>
        </w:tc>
        <w:tc>
          <w:tcPr>
            <w:tcW w:type="dxa" w:w="4153"/>
          </w:tcPr>
          <w:p/>
          <w:p/>
          <w:p/>
          <w:p/>
          <w:p>
            <w:r>
              <w:rPr/>
              <w:t>收取比例：5%,说明：1.中标供应商与采购人签订采购合同后5个工作日内，须向采购人缴纳对应采购包合同金额5%的履约保证金，履约保证金以支票、汇票、本票或者金融机构、担保机构出具的保函等非现金形式提交。 2.履约保证金用于按合同补偿采购人因中标供应商不能完成其合同义务而蒙受的损失；也可用于采购人对中标供应商未按要求提供服务的相应违约金处罚。凡因中标供应商责任，使采购人解除本合同的，履约保证金不向中标供应商退还。 3.中标供应商在合同期内没有违约行为，采购人在合同有效期满后30日内无息全额退还履约保证金。 4.采购人逾期退还履约保证金的，从逾期之日起每日按履约保证金3‰的数额向中标供应商支付违约金。但因中标供应商自身原因导致无法及时退还的除外。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江海点配餐服务店1</w:t>
            </w:r>
          </w:p>
        </w:tc>
        <w:tc>
          <w:tcPr>
            <w:tcW w:type="dxa" w:w="831"/>
          </w:tcPr>
          <w:p>
            <w:pPr>
              <w:jc w:val="left"/>
            </w:pPr>
            <w:r>
              <w:rPr/>
              <w:t>年</w:t>
            </w:r>
          </w:p>
        </w:tc>
        <w:tc>
          <w:tcPr>
            <w:tcW w:type="dxa" w:w="831"/>
          </w:tcPr>
          <w:p>
            <w:pPr>
              <w:jc w:val="right"/>
            </w:pPr>
            <w:r>
              <w:rPr/>
              <w:t>1.00</w:t>
            </w:r>
          </w:p>
        </w:tc>
        <w:tc>
          <w:tcPr>
            <w:tcW w:type="dxa" w:w="831"/>
          </w:tcPr>
          <w:p>
            <w:pPr>
              <w:jc w:val="right"/>
            </w:pPr>
            <w:r>
              <w:rPr/>
              <w:t>800,000.00</w:t>
            </w:r>
          </w:p>
        </w:tc>
        <w:tc>
          <w:tcPr>
            <w:tcW w:type="dxa" w:w="831"/>
          </w:tcPr>
          <w:p>
            <w:pPr>
              <w:jc w:val="right"/>
            </w:pPr>
            <w:r>
              <w:rPr/>
              <w:t>800,000.00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江海点配餐服务店1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210"/>
              <w:jc w:val="both"/>
            </w:pPr>
          </w:p>
          <w:p>
            <w:pPr>
              <w:jc w:val="both"/>
            </w:pPr>
          </w:p>
          <w:p>
            <w:pPr>
              <w:jc w:val="both"/>
            </w:pPr>
            <w:r>
              <w:rPr>
                <w:b/>
                <w:color w:val="000000"/>
                <w:sz w:val="21"/>
              </w:rPr>
              <w:t>一、项目要求</w:t>
            </w:r>
          </w:p>
          <w:p>
            <w:pPr>
              <w:ind w:firstLine="411"/>
              <w:jc w:val="both"/>
            </w:pPr>
            <w:r>
              <w:rPr>
                <w:color w:val="000000"/>
                <w:sz w:val="21"/>
              </w:rPr>
              <w:t>1.投标人要求</w:t>
            </w:r>
          </w:p>
          <w:p>
            <w:pPr>
              <w:ind w:firstLine="411"/>
              <w:jc w:val="both"/>
            </w:pPr>
            <w:r>
              <w:rPr>
                <w:color w:val="000000"/>
                <w:sz w:val="21"/>
              </w:rPr>
              <w:t>1.1投标人需符合</w:t>
            </w:r>
            <w:r>
              <w:rPr>
                <w:color w:val="000000"/>
                <w:sz w:val="21"/>
              </w:rPr>
              <w:t>必须达到国家市场监督管理总局《关于发布餐饮服务食品安全操作规范的公告》(2018 年第 12 号公告)规定的各类技术参数要求</w:t>
            </w:r>
            <w:r>
              <w:rPr>
                <w:color w:val="000000"/>
                <w:sz w:val="21"/>
              </w:rPr>
              <w:t>。</w:t>
            </w:r>
          </w:p>
          <w:p>
            <w:pPr>
              <w:ind w:firstLine="411"/>
              <w:jc w:val="both"/>
            </w:pPr>
            <w:r>
              <w:rPr>
                <w:color w:val="000000"/>
                <w:sz w:val="21"/>
              </w:rPr>
              <w:t>1.2投标人</w:t>
            </w:r>
            <w:r>
              <w:rPr>
                <w:color w:val="000000"/>
                <w:sz w:val="21"/>
              </w:rPr>
              <w:t>应建立检验检测室，对食品的原料、加工制作环境、食品成品等进行检验检测并登记，不得委托第三方进行检验检测。</w:t>
            </w:r>
          </w:p>
          <w:p>
            <w:pPr>
              <w:ind w:firstLine="411"/>
              <w:jc w:val="both"/>
            </w:pPr>
            <w:r>
              <w:rPr>
                <w:color w:val="000000"/>
                <w:sz w:val="21"/>
              </w:rPr>
              <w:t>2.服务对象及时间：采购人单位全体职工；用餐时间为工作日午餐</w:t>
            </w:r>
          </w:p>
          <w:p>
            <w:pPr>
              <w:ind w:firstLine="411"/>
              <w:jc w:val="both"/>
            </w:pPr>
            <w:r>
              <w:rPr>
                <w:color w:val="000000"/>
                <w:sz w:val="21"/>
              </w:rPr>
              <w:t>3.服务限期：自</w:t>
            </w:r>
            <w:r>
              <w:rPr>
                <w:color w:val="000000"/>
                <w:sz w:val="21"/>
              </w:rPr>
              <w:t>合同</w:t>
            </w:r>
            <w:r>
              <w:rPr>
                <w:color w:val="000000"/>
                <w:sz w:val="21"/>
              </w:rPr>
              <w:t>签订</w:t>
            </w:r>
            <w:r>
              <w:rPr>
                <w:color w:val="000000"/>
                <w:sz w:val="21"/>
              </w:rPr>
              <w:t>之日起</w:t>
            </w:r>
            <w:r>
              <w:rPr>
                <w:color w:val="000000"/>
                <w:sz w:val="21"/>
              </w:rPr>
              <w:t>壹年。</w:t>
            </w:r>
          </w:p>
          <w:p>
            <w:pPr>
              <w:ind w:firstLine="411"/>
              <w:jc w:val="both"/>
            </w:pPr>
            <w:r>
              <w:rPr>
                <w:color w:val="000000"/>
                <w:sz w:val="21"/>
              </w:rPr>
              <w:t>4.服务地点及就餐人数：</w:t>
            </w:r>
          </w:p>
          <w:p>
            <w:pPr>
              <w:ind w:firstLine="420"/>
              <w:jc w:val="left"/>
            </w:pPr>
            <w:r>
              <w:rPr>
                <w:color w:val="000000"/>
                <w:sz w:val="21"/>
              </w:rPr>
              <w:t>（1）采购包1-采购包3：</w:t>
            </w:r>
            <w:r>
              <w:rPr>
                <w:color w:val="000000"/>
                <w:sz w:val="21"/>
              </w:rPr>
              <w:t>广州市海珠区石榴岗路10号大院，职工人数约300人；</w:t>
            </w:r>
          </w:p>
          <w:p>
            <w:pPr>
              <w:ind w:firstLine="420"/>
              <w:jc w:val="left"/>
            </w:pPr>
            <w:r>
              <w:rPr>
                <w:color w:val="000000"/>
                <w:sz w:val="21"/>
              </w:rPr>
              <w:t>（2）</w:t>
            </w:r>
            <w:r>
              <w:rPr>
                <w:color w:val="000000"/>
                <w:sz w:val="21"/>
              </w:rPr>
              <w:t>采购包4-采购包5：</w:t>
            </w:r>
            <w:r>
              <w:rPr>
                <w:color w:val="000000"/>
                <w:sz w:val="21"/>
              </w:rPr>
              <w:t>广州市天河区广州大道中1307号，职工人数约60人；</w:t>
            </w:r>
          </w:p>
          <w:p>
            <w:pPr>
              <w:ind w:firstLine="420"/>
              <w:jc w:val="left"/>
            </w:pPr>
            <w:r>
              <w:rPr>
                <w:color w:val="000000"/>
                <w:sz w:val="21"/>
              </w:rPr>
              <w:t>（3）</w:t>
            </w:r>
            <w:r>
              <w:rPr>
                <w:color w:val="000000"/>
                <w:sz w:val="21"/>
              </w:rPr>
              <w:t>采购包6-采购包7：</w:t>
            </w:r>
            <w:r>
              <w:rPr>
                <w:color w:val="000000"/>
                <w:sz w:val="21"/>
              </w:rPr>
              <w:t>广州市天河区高科路36号，职工人数约40人。</w:t>
            </w:r>
          </w:p>
          <w:p>
            <w:pPr>
              <w:ind w:firstLine="210"/>
              <w:jc w:val="both"/>
            </w:pPr>
            <w:r>
              <w:rPr>
                <w:color w:val="000000"/>
                <w:sz w:val="21"/>
              </w:rPr>
              <w:t>▲</w:t>
            </w:r>
            <w:r>
              <w:rPr>
                <w:color w:val="000000"/>
                <w:sz w:val="21"/>
              </w:rPr>
              <w:t>5.为保证饭菜质量及方便采购人员工就餐，投标人需提供送餐或堂食两种就餐方式，堂食的</w:t>
            </w:r>
            <w:r>
              <w:rPr>
                <w:color w:val="000000"/>
                <w:sz w:val="21"/>
              </w:rPr>
              <w:t>就餐场所</w:t>
            </w:r>
            <w:r>
              <w:rPr>
                <w:color w:val="000000"/>
                <w:sz w:val="21"/>
              </w:rPr>
              <w:t>需在距离采购人步行25分钟内到达（以百度地图截</w:t>
            </w:r>
            <w:r>
              <w:rPr>
                <w:color w:val="000000"/>
                <w:sz w:val="21"/>
              </w:rPr>
              <w:t>图为准）。若</w:t>
            </w:r>
            <w:r>
              <w:rPr>
                <w:color w:val="000000"/>
                <w:sz w:val="21"/>
              </w:rPr>
              <w:t>承诺中标后在签订合同前设立就餐场所的，需提供承诺函和拟成立的服务点的位置及服务点经营方式。</w:t>
            </w:r>
          </w:p>
          <w:p>
            <w:pPr>
              <w:jc w:val="both"/>
            </w:pPr>
            <w:r>
              <w:rPr>
                <w:b/>
                <w:color w:val="000000"/>
                <w:sz w:val="21"/>
              </w:rPr>
              <w:t>二、服务要求</w:t>
            </w:r>
          </w:p>
          <w:p>
            <w:pPr>
              <w:ind w:firstLine="210"/>
              <w:jc w:val="both"/>
            </w:pPr>
            <w:r>
              <w:rPr>
                <w:color w:val="000000"/>
                <w:sz w:val="21"/>
              </w:rPr>
              <w:t>（一）人员要求：</w:t>
            </w:r>
          </w:p>
          <w:p>
            <w:pPr>
              <w:ind w:firstLine="411"/>
              <w:jc w:val="both"/>
            </w:pPr>
            <w:r>
              <w:rPr>
                <w:color w:val="000000"/>
                <w:sz w:val="21"/>
              </w:rPr>
              <w:t>1</w:t>
            </w:r>
            <w:r>
              <w:rPr>
                <w:color w:val="000000"/>
                <w:sz w:val="21"/>
              </w:rPr>
              <w:t>.投标人服务员均应为身体健康，经过卫生培训教育具有健康证，符合国家有关卫生法规的要求。</w:t>
            </w:r>
          </w:p>
          <w:p>
            <w:pPr>
              <w:ind w:firstLine="411"/>
              <w:jc w:val="both"/>
            </w:pPr>
            <w:r>
              <w:rPr>
                <w:color w:val="000000"/>
                <w:sz w:val="21"/>
              </w:rPr>
              <w:t>2</w:t>
            </w:r>
            <w:r>
              <w:rPr>
                <w:color w:val="000000"/>
                <w:sz w:val="21"/>
              </w:rPr>
              <w:t>.服务人员每半年必须进行健康检查，取得健康证明后方可投入项目服务。</w:t>
            </w:r>
          </w:p>
          <w:p>
            <w:pPr>
              <w:ind w:firstLine="420"/>
              <w:jc w:val="left"/>
            </w:pPr>
            <w:r>
              <w:rPr>
                <w:color w:val="000000"/>
                <w:sz w:val="21"/>
              </w:rPr>
              <w:t>3</w:t>
            </w:r>
            <w:r>
              <w:rPr>
                <w:color w:val="000000"/>
                <w:sz w:val="21"/>
              </w:rPr>
              <w:t>.投标人的服务人员需配备统一的工作服装（包括：衣、帽、鞋、口</w:t>
            </w:r>
            <w:r>
              <w:rPr>
                <w:color w:val="000000"/>
                <w:sz w:val="21"/>
              </w:rPr>
              <w:t>罩等），并穿着上岗，工作服装应有清洗保洁制度，工作期间应保持良好的形象，做到衣着整洁、仪容端正、礼仪规范。</w:t>
            </w:r>
          </w:p>
          <w:p>
            <w:pPr>
              <w:ind w:firstLine="420"/>
              <w:jc w:val="left"/>
            </w:pPr>
            <w:r>
              <w:rPr>
                <w:color w:val="000000"/>
                <w:sz w:val="21"/>
              </w:rPr>
              <w:t>4.在服务期间内，投标人须承担项目工作人员的意外责任和工伤责任险和所有服务风险。</w:t>
            </w:r>
          </w:p>
          <w:p>
            <w:pPr>
              <w:ind w:firstLine="420"/>
              <w:jc w:val="left"/>
            </w:pPr>
            <w:r>
              <w:rPr>
                <w:color w:val="000000"/>
                <w:sz w:val="21"/>
              </w:rPr>
              <w:t>5.投标人人员需无条件接受并配合采购人对服务工作的监督和检查。</w:t>
            </w:r>
          </w:p>
          <w:p>
            <w:pPr>
              <w:ind w:firstLine="210"/>
              <w:jc w:val="both"/>
            </w:pPr>
            <w:r>
              <w:rPr>
                <w:color w:val="000000"/>
                <w:sz w:val="21"/>
              </w:rPr>
              <w:t>（二）供餐要求：</w:t>
            </w:r>
          </w:p>
          <w:p>
            <w:pPr>
              <w:ind w:firstLine="411"/>
              <w:jc w:val="both"/>
            </w:pPr>
            <w:r>
              <w:rPr>
                <w:color w:val="000000"/>
                <w:sz w:val="21"/>
              </w:rPr>
              <w:t>1.投标人应根据采购</w:t>
            </w:r>
            <w:r>
              <w:rPr>
                <w:color w:val="000000"/>
                <w:sz w:val="21"/>
              </w:rPr>
              <w:t>人的11点前下单订餐要求，每个工作日</w:t>
            </w:r>
            <w:r>
              <w:rPr>
                <w:color w:val="000000"/>
                <w:sz w:val="21"/>
              </w:rPr>
              <w:t>11</w:t>
            </w:r>
            <w:r>
              <w:rPr>
                <w:color w:val="000000"/>
                <w:sz w:val="21"/>
              </w:rPr>
              <w:t>：55前把预订好的饭菜分别装入专用的容器运送至采购人指定地点，堂食的就餐时间也必须在每个工作日11：50前能开放就餐。</w:t>
            </w:r>
          </w:p>
          <w:p>
            <w:pPr>
              <w:ind w:firstLine="420"/>
              <w:jc w:val="both"/>
            </w:pPr>
            <w:r>
              <w:rPr>
                <w:color w:val="000000"/>
                <w:sz w:val="21"/>
              </w:rPr>
              <w:t>2.供应商配餐时须采用符合国家相关卫生标准规定的环保餐具，绿色环保、对人体无害的产品，鼓励使用环保餐具。用餐完的环保餐具需由中标供应商进行回收，回收后进行清洗并高温消毒。</w:t>
            </w:r>
          </w:p>
          <w:p>
            <w:pPr>
              <w:ind w:firstLine="411"/>
              <w:jc w:val="both"/>
            </w:pPr>
            <w:r>
              <w:rPr>
                <w:color w:val="000000"/>
                <w:sz w:val="21"/>
              </w:rPr>
              <w:t>3.堂食环境宽敞明亮，干净卫生，舒适度好，服务员待客文明礼貌，供餐流程操作熟悉快捷。</w:t>
            </w:r>
          </w:p>
          <w:p>
            <w:pPr>
              <w:ind w:firstLine="411"/>
              <w:jc w:val="both"/>
            </w:pPr>
            <w:r>
              <w:rPr>
                <w:color w:val="000000"/>
                <w:sz w:val="21"/>
              </w:rPr>
              <w:t>4.投标人必须遵守国家规定的卫生管理条例，严格执行《中华人民共和国食品安全法》，必须保证供应新鲜的鱼、肉、蔬菜等，并按下列质量标准提供配餐产品：</w:t>
            </w:r>
          </w:p>
          <w:p>
            <w:pPr>
              <w:ind w:firstLine="411"/>
              <w:jc w:val="both"/>
            </w:pPr>
            <w:r>
              <w:rPr>
                <w:color w:val="000000"/>
                <w:sz w:val="21"/>
              </w:rPr>
              <w:t>4.1蔬菜类：无黄叶，无腐烂，无泥沙，新鲜，无侵泡。</w:t>
            </w:r>
          </w:p>
          <w:p>
            <w:pPr>
              <w:ind w:firstLine="411"/>
              <w:jc w:val="both"/>
            </w:pPr>
            <w:r>
              <w:rPr>
                <w:color w:val="000000"/>
                <w:sz w:val="21"/>
              </w:rPr>
              <w:t>4.2水果类：新鲜无腐烂，无碰伤。</w:t>
            </w:r>
          </w:p>
          <w:p>
            <w:pPr>
              <w:ind w:firstLine="411"/>
              <w:jc w:val="both"/>
            </w:pPr>
            <w:r>
              <w:rPr>
                <w:color w:val="000000"/>
                <w:sz w:val="21"/>
              </w:rPr>
              <w:t>4.3粮油、副食干货类：无霉变，水分标准及杂质要求按国家标准执行。</w:t>
            </w:r>
          </w:p>
          <w:p>
            <w:pPr>
              <w:ind w:firstLine="411"/>
              <w:jc w:val="both"/>
            </w:pPr>
            <w:r>
              <w:rPr>
                <w:color w:val="000000"/>
                <w:sz w:val="21"/>
              </w:rPr>
              <w:t>4.4肉类、海鲜类：无注水，有生产厂家、生产日期、成分说明、逾期指示及完整包装。</w:t>
            </w:r>
          </w:p>
          <w:p>
            <w:pPr>
              <w:ind w:firstLine="411"/>
              <w:jc w:val="both"/>
            </w:pPr>
            <w:r>
              <w:rPr>
                <w:color w:val="000000"/>
                <w:sz w:val="21"/>
              </w:rPr>
              <w:t>4.5佐料类：新鲜无霉变，有生产厂家、生产日期、成分说明、逾期指示及完整包装。</w:t>
            </w:r>
          </w:p>
          <w:p>
            <w:pPr>
              <w:ind w:firstLine="411"/>
              <w:jc w:val="both"/>
            </w:pPr>
            <w:r>
              <w:rPr>
                <w:color w:val="000000"/>
                <w:sz w:val="21"/>
              </w:rPr>
              <w:t>4.6饮料类：有生产厂家、生产日期、成分说明、逾期指示及完整包装。</w:t>
            </w:r>
          </w:p>
          <w:p>
            <w:pPr>
              <w:ind w:firstLine="411"/>
              <w:jc w:val="both"/>
            </w:pPr>
            <w:r>
              <w:rPr>
                <w:color w:val="000000"/>
                <w:sz w:val="21"/>
              </w:rPr>
              <w:t>5.投标人不得采用转基因食品及含有转基因成分的主辅料，采购的大米、食用油、调味料以及禽畜肉类、果蔬、水产等食品原材料必须提供供货商资质证明、每批次的检验检疫证明。</w:t>
            </w:r>
          </w:p>
          <w:p>
            <w:pPr>
              <w:ind w:firstLine="411"/>
              <w:jc w:val="both"/>
            </w:pPr>
            <w:r>
              <w:rPr>
                <w:color w:val="000000"/>
                <w:sz w:val="21"/>
              </w:rPr>
              <w:t>6.</w:t>
            </w:r>
            <w:r>
              <w:rPr>
                <w:color w:val="000000"/>
                <w:sz w:val="21"/>
              </w:rPr>
              <w:t>投标人不得采购不合格食品（三无产品或原料），不得采购和使用散装食用油、散装调味料以及人工色素调味料，不外购散装</w:t>
            </w:r>
            <w:r>
              <w:rPr>
                <w:color w:val="000000"/>
                <w:sz w:val="21"/>
              </w:rPr>
              <w:t>熟食品，尽量采购新鲜肉制品，少食冷冻肉制品、油炸食品以及香肠、火腿、肉丸等加工肉制品等。且投标人承诺提供食品原料提供方也须具有《食品生产许可证》或食品经营许可证。</w:t>
            </w:r>
          </w:p>
          <w:p>
            <w:pPr>
              <w:ind w:firstLine="411"/>
              <w:jc w:val="both"/>
            </w:pPr>
            <w:r>
              <w:rPr>
                <w:color w:val="000000"/>
                <w:sz w:val="21"/>
              </w:rPr>
              <w:t>7.供餐标准：投标人需根据《中国居民膳食指南》和平衡膳食宝塔的要求，同时满足《中国居民膳食营养素参考摄入量（DRIs）》（2013）的需求，制定营养充足、搭配合理、菜品丰富的带量食谱。</w:t>
            </w:r>
          </w:p>
          <w:p>
            <w:pPr>
              <w:ind w:firstLine="411"/>
              <w:jc w:val="both"/>
            </w:pPr>
            <w:r>
              <w:rPr>
                <w:color w:val="000000"/>
                <w:sz w:val="21"/>
              </w:rPr>
              <w:t>8.供</w:t>
            </w:r>
            <w:r>
              <w:rPr>
                <w:color w:val="000000"/>
                <w:sz w:val="21"/>
              </w:rPr>
              <w:t>餐种类要求：</w:t>
            </w:r>
          </w:p>
          <w:p>
            <w:pPr>
              <w:ind w:firstLine="411"/>
              <w:jc w:val="both"/>
            </w:pPr>
            <w:r>
              <w:rPr>
                <w:color w:val="000000"/>
                <w:sz w:val="21"/>
              </w:rPr>
              <w:t>（1）采购包1，采购包4，采购包6供餐套餐须提供至少有20个或以上中餐的选择。</w:t>
            </w:r>
          </w:p>
          <w:p>
            <w:pPr>
              <w:ind w:firstLine="411"/>
              <w:jc w:val="both"/>
            </w:pPr>
            <w:r>
              <w:rPr>
                <w:color w:val="000000"/>
                <w:sz w:val="21"/>
              </w:rPr>
              <w:t>（2）采购包2、采购包3、采购包5、采购包7须提供至少有20个或以上的选择（包括但不限于西餐品种，例如：意粉、披萨、炸鸡、饮料等）</w:t>
            </w:r>
          </w:p>
          <w:p>
            <w:pPr>
              <w:ind w:firstLine="411"/>
              <w:jc w:val="both"/>
            </w:pPr>
            <w:r>
              <w:rPr>
                <w:color w:val="000000"/>
                <w:sz w:val="21"/>
              </w:rPr>
              <w:t>▲</w:t>
            </w:r>
            <w:r>
              <w:rPr>
                <w:color w:val="000000"/>
                <w:sz w:val="21"/>
              </w:rPr>
              <w:t>9.供应商须具有电话或线上订餐配送功能，并提供相关资料证明。</w:t>
            </w:r>
          </w:p>
          <w:p>
            <w:pPr>
              <w:ind w:firstLine="411"/>
              <w:jc w:val="both"/>
            </w:pPr>
            <w:r>
              <w:rPr>
                <w:color w:val="000000"/>
                <w:sz w:val="21"/>
              </w:rPr>
              <w:t>▲</w:t>
            </w:r>
            <w:r>
              <w:rPr>
                <w:color w:val="000000"/>
                <w:sz w:val="21"/>
              </w:rPr>
              <w:t>10.投标人须在投标文件中提供拟供应餐食的实物图片及价格表和堂食环境的现场图片。如实际供餐过程中，中标供应商提供的餐食及环境与其投标文件中的图片存在重大差异，采购人有权终止与中标供应商的合同，并按违反合同条款处理。</w:t>
            </w:r>
            <w:r>
              <w:rPr>
                <w:color w:val="000000"/>
                <w:sz w:val="21"/>
              </w:rPr>
              <w:t>承诺中标后在采购人附近再设立就餐场所的，需提供承诺函和拟成立的服务点的位置及服务点经营方式。</w:t>
            </w:r>
          </w:p>
          <w:p>
            <w:pPr>
              <w:ind w:firstLine="420"/>
              <w:jc w:val="both"/>
            </w:pPr>
          </w:p>
          <w:p>
            <w:pPr>
              <w:jc w:val="both"/>
            </w:pPr>
            <w:r>
              <w:rPr>
                <w:b/>
                <w:color w:val="000000"/>
                <w:sz w:val="21"/>
              </w:rPr>
              <w:t>三、售后要求</w:t>
            </w:r>
          </w:p>
          <w:p>
            <w:pPr>
              <w:ind w:firstLine="411"/>
              <w:jc w:val="both"/>
            </w:pPr>
            <w:r>
              <w:rPr>
                <w:color w:val="000000"/>
                <w:sz w:val="21"/>
              </w:rPr>
              <w:t>1.中标供应商必须制定严格的餐饮卫生管理制度和食品安全突发事故应急预案，严格执行国家《中华人民共和国食品安全法》及《餐饮服务食品安全操作规范》，规范经营。</w:t>
            </w:r>
          </w:p>
          <w:p>
            <w:pPr>
              <w:ind w:firstLine="411"/>
              <w:jc w:val="both"/>
            </w:pPr>
            <w:r>
              <w:rPr>
                <w:color w:val="000000"/>
                <w:sz w:val="21"/>
              </w:rPr>
              <w:t>2.整个配送过程科学合理，运输必须符合卫生要求的专用车辆运输，保持清洁和每天消毒，车辆内无不良气味、异味。在配送过程中，配送车辆严禁装载与配送食品无关的其他食品或物品。</w:t>
            </w:r>
          </w:p>
          <w:p>
            <w:pPr>
              <w:ind w:firstLine="411"/>
              <w:jc w:val="both"/>
            </w:pPr>
            <w:r>
              <w:rPr>
                <w:color w:val="000000"/>
                <w:sz w:val="21"/>
              </w:rPr>
              <w:t>3.使用的餐具需按照国家有关餐具管理要求，做好公共餐具消毒盒清洗工作，并按要求存放。</w:t>
            </w:r>
          </w:p>
          <w:p>
            <w:pPr>
              <w:ind w:firstLine="420"/>
              <w:jc w:val="left"/>
            </w:pPr>
            <w:r>
              <w:rPr>
                <w:color w:val="000000"/>
                <w:sz w:val="21"/>
              </w:rPr>
              <w:t>4.采购人依据《中华人民共和国食品卫生法》和相关的法规以及各项规章制度的要求，派出监督人员对中标供应商的操作程序、食品制作程序等进行不定期检查，以确保中标供应商的配餐服务符合食品安全法规和本项目的有关要求。若发现不符合要求的情况，中标供应商需立即整改，保证配餐食品安全。</w:t>
            </w:r>
          </w:p>
          <w:p>
            <w:pPr>
              <w:ind w:firstLine="420"/>
              <w:jc w:val="both"/>
            </w:pPr>
            <w:r>
              <w:rPr>
                <w:color w:val="000000"/>
                <w:sz w:val="21"/>
              </w:rPr>
              <w:t>5.就餐环境也必须符合国家餐饮环境的法律法规要求。（包括但不限于消防安全、卫生安全等）</w:t>
            </w:r>
          </w:p>
          <w:p>
            <w:pPr>
              <w:ind w:firstLine="411"/>
              <w:jc w:val="both"/>
            </w:pPr>
            <w:r>
              <w:rPr>
                <w:color w:val="000000"/>
                <w:sz w:val="21"/>
              </w:rPr>
              <w:t>6.如因中标供应商的过错，发生</w:t>
            </w:r>
            <w:r>
              <w:rPr>
                <w:color w:val="000000"/>
                <w:sz w:val="21"/>
              </w:rPr>
              <w:t>鱼、肉、蔬菜腐烂变质、人员中毒等</w:t>
            </w:r>
            <w:r>
              <w:rPr>
                <w:color w:val="000000"/>
                <w:sz w:val="21"/>
              </w:rPr>
              <w:t>导致食品安全事故的，其产生的一切损失，由中标供应商承</w:t>
            </w:r>
            <w:r>
              <w:rPr>
                <w:color w:val="000000"/>
                <w:sz w:val="21"/>
              </w:rPr>
              <w:t>担全部责任和赔偿</w:t>
            </w:r>
            <w:r>
              <w:rPr>
                <w:color w:val="000000"/>
                <w:sz w:val="21"/>
              </w:rPr>
              <w:t>（包括但不限于医疗费、误工费、精神损失费等）</w:t>
            </w:r>
            <w:r>
              <w:rPr>
                <w:color w:val="000000"/>
                <w:sz w:val="21"/>
              </w:rPr>
              <w:t>。若情节严重，采购人有权依法上报监管部门，追究中标供应商相关责任。</w:t>
            </w:r>
          </w:p>
          <w:p>
            <w:pPr>
              <w:ind w:firstLine="412"/>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采购包2（江海点配餐服务点2）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服务限期：自合同签订之日起壹年。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1期：支付比例100%,1.各采购包的配餐服务款项在服务期内据实结算。 2.中标供应商于每月15日前报送上月就餐情况，经采购人审核无误后15日内进行支付； 3.实际以中标供应商的中标折扣率、实际供货数量、基准单价为准及签订合同金额为限进行结算。结算金额=∑（各货物的基准单价最高限价×中标折扣率×实际采购数量）  4.如中标供应商为中小企业：（1）合同签订且收到履约保证金后5个工作日内采购人向中标供应商支付合同金额的30%（支付方式含银行转账、支票、银行承兑汇票、商业承兑汇票等形式）。（2）每笔实际结算金额按第1、2、3款方式先从预付款扣除，当扣除金额达到合同金额的30%后，再按第1、2、3款的方式支付剩余的70% 。 5.中标供应商凭以下有效文件与采购人结算：  1）合同；  2）中标供应商开具等额的正式发票；  3）供餐流水单（如采购人要求）。</w:t>
            </w:r>
          </w:p>
        </w:tc>
      </w:tr>
      <w:tr>
        <w:tc>
          <w:tcPr>
            <w:tcW w:type="dxa" w:w="4153"/>
          </w:tcPr>
          <w:p>
            <w:r>
              <w:rPr/>
              <w:t>验收要求</w:t>
            </w:r>
          </w:p>
        </w:tc>
        <w:tc>
          <w:tcPr>
            <w:tcW w:type="dxa" w:w="4153"/>
          </w:tcPr>
          <w:p/>
          <w:p/>
          <w:p/>
          <w:p>
            <w:r>
              <w:rPr/>
              <w:t>1期：1.本项目工作质量由采购人进行监督考核。 2.本项目所涉及的服务，由采购人组织对中标供应商进行月考核评估（项目考核情况表详见附件），服务期限内，每月的服务考核评估达不到80分时，要求中标供应商立刻整改。如整改后，中标供应商连续2个月服务考核还低于80分，采购人有权依法上报监管部门并追究中标供应商相关责任，中标供应商未能按合同提供服务给采购人造成的直接损失，追究其经济赔偿。</w:t>
            </w:r>
          </w:p>
        </w:tc>
      </w:tr>
      <w:tr>
        <w:tc>
          <w:tcPr>
            <w:tcW w:type="dxa" w:w="4153"/>
          </w:tcPr>
          <w:p>
            <w:r>
              <w:rPr/>
              <w:t>履约保证金</w:t>
            </w:r>
          </w:p>
        </w:tc>
        <w:tc>
          <w:tcPr>
            <w:tcW w:type="dxa" w:w="4153"/>
          </w:tcPr>
          <w:p/>
          <w:p/>
          <w:p/>
          <w:p/>
          <w:p>
            <w:r>
              <w:rPr/>
              <w:t>收取比例：5%,说明：1.中标供应商与采购人签订采购合同后5个工作日内，须向采购人缴纳对应采购包合同金额5%的履约保证金，履约保证金以支票、汇票、本票或者金融机构、担保机构出具的保函等非现金形式提交。 2.履约保证金用于按合同补偿采购人因中标供应商不能完成其合同义务而蒙受的损失；也可用于采购人对中标供应商未按要求提供服务的相应违约金处罚。凡因中标供应商责任，使采购人解除本合同的，履约保证金不向中标供应商退还。 3.中标供应商在合同期内没有违约行为，采购人在合同有效期满后30日内无息全额退还履约保证金。 4.采购人逾期退还履约保证金的，从逾期之日起每日按履约保证金3‰的数额向中标供应商支付违约金。但因中标供应商自身原因导致无法及时退还的除外。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江海点配餐服务点2</w:t>
            </w:r>
          </w:p>
        </w:tc>
        <w:tc>
          <w:tcPr>
            <w:tcW w:type="dxa" w:w="831"/>
          </w:tcPr>
          <w:p>
            <w:pPr>
              <w:jc w:val="left"/>
            </w:pPr>
            <w:r>
              <w:rPr/>
              <w:t>年</w:t>
            </w:r>
          </w:p>
        </w:tc>
        <w:tc>
          <w:tcPr>
            <w:tcW w:type="dxa" w:w="831"/>
          </w:tcPr>
          <w:p>
            <w:pPr>
              <w:jc w:val="right"/>
            </w:pPr>
            <w:r>
              <w:rPr/>
              <w:t>1.00</w:t>
            </w:r>
          </w:p>
        </w:tc>
        <w:tc>
          <w:tcPr>
            <w:tcW w:type="dxa" w:w="831"/>
          </w:tcPr>
          <w:p>
            <w:pPr>
              <w:jc w:val="right"/>
            </w:pPr>
            <w:r>
              <w:rPr/>
              <w:t>400,000.00</w:t>
            </w:r>
          </w:p>
        </w:tc>
        <w:tc>
          <w:tcPr>
            <w:tcW w:type="dxa" w:w="831"/>
          </w:tcPr>
          <w:p>
            <w:pPr>
              <w:jc w:val="right"/>
            </w:pPr>
            <w:r>
              <w:rPr/>
              <w:t>400,000.00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江海点配餐服务点2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采购包3（江海点配餐服务点3）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服务限期：自合同签订之日起壹年。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1期：支付比例100%,1.各采购包的配餐服务款项在服务期内据实结算。 2.中标供应商于每月15日前报送上月就餐情况，经采购人审核无误后15日内进行支付； 3.实际以中标供应商的中标折扣率、实际供货数量、基准单价为准及签订合同金额为限进行结算。结算金额=∑（各货物的基准单价最高限价×中标折扣率×实际采购数量）  4.如中标供应商为中小企业：（1）合同签订且收到履约保证金后5个工作日内采购人向中标供应商支付合同金额的30%（支付方式含银行转账、支票、银行承兑汇票、商业承兑汇票等形式）。（2）每笔实际结算金额按第1、2、3款方式先从预付款扣除，当扣除金额达到合同金额的30%后，再按第1、2、3款的方式支付剩余的70% 。 5.中标供应商凭以下有效文件与采购人结算：  1）合同；  2）中标供应商开具等额的正式发票；  3）供餐流水单（如采购人要求）。</w:t>
            </w:r>
          </w:p>
        </w:tc>
      </w:tr>
      <w:tr>
        <w:tc>
          <w:tcPr>
            <w:tcW w:type="dxa" w:w="4153"/>
          </w:tcPr>
          <w:p>
            <w:r>
              <w:rPr/>
              <w:t>验收要求</w:t>
            </w:r>
          </w:p>
        </w:tc>
        <w:tc>
          <w:tcPr>
            <w:tcW w:type="dxa" w:w="4153"/>
          </w:tcPr>
          <w:p/>
          <w:p/>
          <w:p/>
          <w:p>
            <w:r>
              <w:rPr/>
              <w:t>1期：1.本项目工作质量由采购人进行监督考核。 2.本项目所涉及的服务，由采购人组织对中标供应商进行月考核评估（项目考核情况表详见附件），服务期限内，每月的服务考核评估达不到80分时，要求中标供应商立刻整改。如整改后，中标供应商连续2个月服务考核还低于80分，采购人有权依法上报监管部门并追究中标供应商相关责任，中标供应商未能按合同提供服务给采购人造成的直接损失，追究其经济赔偿。</w:t>
            </w:r>
          </w:p>
        </w:tc>
      </w:tr>
      <w:tr>
        <w:tc>
          <w:tcPr>
            <w:tcW w:type="dxa" w:w="4153"/>
          </w:tcPr>
          <w:p>
            <w:r>
              <w:rPr/>
              <w:t>履约保证金</w:t>
            </w:r>
          </w:p>
        </w:tc>
        <w:tc>
          <w:tcPr>
            <w:tcW w:type="dxa" w:w="4153"/>
          </w:tcPr>
          <w:p/>
          <w:p/>
          <w:p/>
          <w:p/>
          <w:p>
            <w:r>
              <w:rPr/>
              <w:t>收取比例：5%,说明：1.中标供应商与采购人签订采购合同后5个工作日内，须向采购人缴纳对应采购包合同金额5%的履约保证金，履约保证金以支票、汇票、本票或者金融机构、担保机构出具的保函等非现金形式提交。 2.履约保证金用于按合同补偿采购人因中标供应商不能完成其合同义务而蒙受的损失；也可用于采购人对中标供应商未按要求提供服务的相应违约金处罚。凡因中标供应商责任，使采购人解除本合同的，履约保证金不向中标供应商退还。 3.中标供应商在合同期内没有违约行为，采购人在合同有效期满后30日内无息全额退还履约保证金。 4.采购人逾期退还履约保证金的，从逾期之日起每日按履约保证金3‰的数额向中标供应商支付违约金。但因中标供应商自身原因导致无法及时退还的除外。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江海点配餐服务点3</w:t>
            </w:r>
          </w:p>
        </w:tc>
        <w:tc>
          <w:tcPr>
            <w:tcW w:type="dxa" w:w="831"/>
          </w:tcPr>
          <w:p>
            <w:pPr>
              <w:jc w:val="left"/>
            </w:pPr>
            <w:r>
              <w:rPr/>
              <w:t>年</w:t>
            </w:r>
          </w:p>
        </w:tc>
        <w:tc>
          <w:tcPr>
            <w:tcW w:type="dxa" w:w="831"/>
          </w:tcPr>
          <w:p>
            <w:pPr>
              <w:jc w:val="right"/>
            </w:pPr>
            <w:r>
              <w:rPr/>
              <w:t>1.00</w:t>
            </w:r>
          </w:p>
        </w:tc>
        <w:tc>
          <w:tcPr>
            <w:tcW w:type="dxa" w:w="831"/>
          </w:tcPr>
          <w:p>
            <w:pPr>
              <w:jc w:val="right"/>
            </w:pPr>
            <w:r>
              <w:rPr/>
              <w:t>300,000.00</w:t>
            </w:r>
          </w:p>
        </w:tc>
        <w:tc>
          <w:tcPr>
            <w:tcW w:type="dxa" w:w="831"/>
          </w:tcPr>
          <w:p>
            <w:pPr>
              <w:jc w:val="right"/>
            </w:pPr>
            <w:r>
              <w:rPr/>
              <w:t>300,000.00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江海点配餐服务点3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采购包4（广州大道配餐服务点4）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服务限期：自合同签订之日起壹年。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1期：支付比例100%,1.各采购包的配餐服务款项在服务期内据实结算。 2.中标供应商于每月15日前报送上月就餐情况，经采购人审核无误后15日内进行支付； 3.实际以中标供应商的中标折扣率、实际供货数量、基准单价为准及签订合同金额为限进行结算。结算金额=∑（各货物的基准单价最高限价×中标折扣率×实际采购数量）  4.如中标供应商为中小企业：（1）合同签订且收到履约保证金后5个工作日内采购人向中标供应商支付合同金额的30%（支付方式含银行转账、支票、银行承兑汇票、商业承兑汇票等形式）。（2）每笔实际结算金额按第1、2、3款方式先从预付款扣除，当扣除金额达到合同金额的30%后，再按第1、2、3款的方式支付剩余的70% 。 5.中标供应商凭以下有效文件与采购人结算：  1）合同；  2）中标供应商开具等额的正式发票；  3）供餐流水单（如采购人要求）。</w:t>
            </w:r>
          </w:p>
        </w:tc>
      </w:tr>
      <w:tr>
        <w:tc>
          <w:tcPr>
            <w:tcW w:type="dxa" w:w="4153"/>
          </w:tcPr>
          <w:p>
            <w:r>
              <w:rPr/>
              <w:t>验收要求</w:t>
            </w:r>
          </w:p>
        </w:tc>
        <w:tc>
          <w:tcPr>
            <w:tcW w:type="dxa" w:w="4153"/>
          </w:tcPr>
          <w:p/>
          <w:p/>
          <w:p/>
          <w:p>
            <w:r>
              <w:rPr/>
              <w:t>1期：1.本项目工作质量由采购人进行监督考核。 2.本项目所涉及的服务，由采购人组织对中标供应商进行月考核评估（项目考核情况表详见附件），服务期限内，每月的服务考核评估达不到80分时，要求中标供应商立刻整改。如整改后，中标供应商连续2个月服务考核还低于80分，采购人有权依法上报监管部门并追究中标供应商相关责任，中标供应商未能按合同提供服务给采购人造成的直接损失，追究其经济赔偿。</w:t>
            </w:r>
          </w:p>
        </w:tc>
      </w:tr>
      <w:tr>
        <w:tc>
          <w:tcPr>
            <w:tcW w:type="dxa" w:w="4153"/>
          </w:tcPr>
          <w:p>
            <w:r>
              <w:rPr/>
              <w:t>履约保证金</w:t>
            </w:r>
          </w:p>
        </w:tc>
        <w:tc>
          <w:tcPr>
            <w:tcW w:type="dxa" w:w="4153"/>
          </w:tcPr>
          <w:p/>
          <w:p/>
          <w:p/>
          <w:p/>
          <w:p>
            <w:r>
              <w:rPr/>
              <w:t>收取比例：5%,说明：1.中标供应商与采购人签订采购合同后5个工作日内，须向采购人缴纳对应采购包合同金额5%的履约保证金，履约保证金以支票、汇票、本票或者金融机构、担保机构出具的保函等非现金形式提交。 2.履约保证金用于按合同补偿采购人因中标供应商不能完成其合同义务而蒙受的损失；也可用于采购人对中标供应商未按要求提供服务的相应违约金处罚。凡因中标供应商责任，使采购人解除本合同的，履约保证金不向中标供应商退还。 3.中标供应商在合同期内没有违约行为，采购人在合同有效期满后30日内无息全额退还履约保证金。 4.采购人逾期退还履约保证金的，从逾期之日起每日按履约保证金3‰的数额向中标供应商支付违约金。但因中标供应商自身原因导致无法及时退还的除外。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广州大道配餐服务点4</w:t>
            </w:r>
          </w:p>
        </w:tc>
        <w:tc>
          <w:tcPr>
            <w:tcW w:type="dxa" w:w="831"/>
          </w:tcPr>
          <w:p>
            <w:pPr>
              <w:jc w:val="left"/>
            </w:pPr>
            <w:r>
              <w:rPr/>
              <w:t>年</w:t>
            </w:r>
          </w:p>
        </w:tc>
        <w:tc>
          <w:tcPr>
            <w:tcW w:type="dxa" w:w="831"/>
          </w:tcPr>
          <w:p>
            <w:pPr>
              <w:jc w:val="right"/>
            </w:pPr>
            <w:r>
              <w:rPr/>
              <w:t>1.00</w:t>
            </w:r>
          </w:p>
        </w:tc>
        <w:tc>
          <w:tcPr>
            <w:tcW w:type="dxa" w:w="831"/>
          </w:tcPr>
          <w:p>
            <w:pPr>
              <w:jc w:val="right"/>
            </w:pPr>
            <w:r>
              <w:rPr/>
              <w:t>180,000.00</w:t>
            </w:r>
          </w:p>
        </w:tc>
        <w:tc>
          <w:tcPr>
            <w:tcW w:type="dxa" w:w="831"/>
          </w:tcPr>
          <w:p>
            <w:pPr>
              <w:jc w:val="right"/>
            </w:pPr>
            <w:r>
              <w:rPr/>
              <w:t>180,000.00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广州大道配餐服务点4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采购包5（广州大道配餐服务点5）</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服务限期：自合同签订之日起壹年。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1期：支付比例100%,1.各采购包的配餐服务款项在服务期内据实结算。 2.中标供应商于每月15日前报送上月就餐情况，经采购人审核无误后15日内进行支付； 3.实际以中标供应商的中标折扣率、实际供货数量、基准单价为准及签订合同金额为限进行结算。结算金额=∑（各货物的基准单价最高限价×中标折扣率×实际采购数量）  4.如中标供应商为中小企业：（1）合同签订且收到履约保证金后5个工作日内采购人向中标供应商支付合同金额的30%（支付方式含银行转账、支票、银行承兑汇票、商业承兑汇票等形式）。（2）每笔实际结算金额按第1、2、3款方式先从预付款扣除，当扣除金额达到合同金额的30%后，再按第1、2、3款的方式支付剩余的70% 。 5.中标供应商凭以下有效文件与采购人结算：  1）合同；  2）中标供应商开具等额的正式发票；  3）供餐流水单（如采购人要求）。</w:t>
            </w:r>
          </w:p>
        </w:tc>
      </w:tr>
      <w:tr>
        <w:tc>
          <w:tcPr>
            <w:tcW w:type="dxa" w:w="4153"/>
          </w:tcPr>
          <w:p>
            <w:r>
              <w:rPr/>
              <w:t>验收要求</w:t>
            </w:r>
          </w:p>
        </w:tc>
        <w:tc>
          <w:tcPr>
            <w:tcW w:type="dxa" w:w="4153"/>
          </w:tcPr>
          <w:p/>
          <w:p/>
          <w:p/>
          <w:p>
            <w:r>
              <w:rPr/>
              <w:t>1期：1.本项目工作质量由采购人进行监督考核。 2.本项目所涉及的服务，由采购人组织对中标供应商进行月考核评估（项目考核情况表详见附件），服务期限内，每月的服务考核评估达不到80分时，要求中标供应商立刻整改。如整改后，中标供应商连续2个月服务考核还低于80分，采购人有权依法上报监管部门并追究中标供应商相关责任，中标供应商未能按合同提供服务给采购人造成的直接损失，追究其经济赔偿。</w:t>
            </w:r>
          </w:p>
        </w:tc>
      </w:tr>
      <w:tr>
        <w:tc>
          <w:tcPr>
            <w:tcW w:type="dxa" w:w="4153"/>
          </w:tcPr>
          <w:p>
            <w:r>
              <w:rPr/>
              <w:t>履约保证金</w:t>
            </w:r>
          </w:p>
        </w:tc>
        <w:tc>
          <w:tcPr>
            <w:tcW w:type="dxa" w:w="4153"/>
          </w:tcPr>
          <w:p/>
          <w:p/>
          <w:p/>
          <w:p/>
          <w:p>
            <w:r>
              <w:rPr/>
              <w:t>收取比例：5%,说明：1.中标供应商与采购人签订采购合同后5个工作日内，须向采购人缴纳对应采购包合同金额5%的履约保证金，履约保证金以支票、汇票、本票或者金融机构、担保机构出具的保函等非现金形式提交。 2.履约保证金用于按合同补偿采购人因中标供应商不能完成其合同义务而蒙受的损失；也可用于采购人对中标供应商未按要求提供服务的相应违约金处罚。凡因中标供应商责任，使采购人解除本合同的，履约保证金不向中标供应商退还。 3.中标供应商在合同期内没有违约行为，采购人在合同有效期满后30日内无息全额退还履约保证金。 4.采购人逾期退还履约保证金的，从逾期之日起每日按履约保证金3‰的数额向中标供应商支付违约金。但因中标供应商自身原因导致无法及时退还的除外。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广州大道配餐服务点5</w:t>
            </w:r>
          </w:p>
        </w:tc>
        <w:tc>
          <w:tcPr>
            <w:tcW w:type="dxa" w:w="831"/>
          </w:tcPr>
          <w:p>
            <w:pPr>
              <w:jc w:val="left"/>
            </w:pPr>
            <w:r>
              <w:rPr/>
              <w:t>年</w:t>
            </w:r>
          </w:p>
        </w:tc>
        <w:tc>
          <w:tcPr>
            <w:tcW w:type="dxa" w:w="831"/>
          </w:tcPr>
          <w:p>
            <w:pPr>
              <w:jc w:val="right"/>
            </w:pPr>
            <w:r>
              <w:rPr/>
              <w:t>1.00</w:t>
            </w:r>
          </w:p>
        </w:tc>
        <w:tc>
          <w:tcPr>
            <w:tcW w:type="dxa" w:w="831"/>
          </w:tcPr>
          <w:p>
            <w:pPr>
              <w:jc w:val="right"/>
            </w:pPr>
            <w:r>
              <w:rPr/>
              <w:t>120,000.00</w:t>
            </w:r>
          </w:p>
        </w:tc>
        <w:tc>
          <w:tcPr>
            <w:tcW w:type="dxa" w:w="831"/>
          </w:tcPr>
          <w:p>
            <w:pPr>
              <w:jc w:val="right"/>
            </w:pPr>
            <w:r>
              <w:rPr/>
              <w:t>120,000.00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广州大道配餐服务点5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采购包6（高科路配餐服务点6）</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服务限期：自合同签订之日起壹年。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1期：支付比例100%,1.各采购包的配餐服务款项在服务期内据实结算。 2.中标供应商于每月15日前报送上月就餐情况，经采购人审核无误后15日内进行支付； 3.实际以中标供应商的中标折扣率、实际供货数量、基准单价为准及签订合同金额为限进行结算。结算金额=∑（各货物的基准单价最高限价×中标折扣率×实际采购数量）  4.如中标供应商为中小企业：（1）合同签订且收到履约保证金后5个工作日内采购人向中标供应商支付合同金额的30%（支付方式含银行转账、支票、银行承兑汇票、商业承兑汇票等形式）。（2）每笔实际结算金额按第1、2、3款方式先从预付款扣除，当扣除金额达到合同金额的30%后，再按第1、2、3款的方式支付剩余的70% 。 5.中标供应商凭以下有效文件与采购人结算：  1）合同；  2）中标供应商开具等额的正式发票；  3）供餐流水单（如采购人要求）。</w:t>
            </w:r>
          </w:p>
        </w:tc>
      </w:tr>
      <w:tr>
        <w:tc>
          <w:tcPr>
            <w:tcW w:type="dxa" w:w="4153"/>
          </w:tcPr>
          <w:p>
            <w:r>
              <w:rPr/>
              <w:t>验收要求</w:t>
            </w:r>
          </w:p>
        </w:tc>
        <w:tc>
          <w:tcPr>
            <w:tcW w:type="dxa" w:w="4153"/>
          </w:tcPr>
          <w:p/>
          <w:p/>
          <w:p/>
          <w:p>
            <w:r>
              <w:rPr/>
              <w:t>1期：1.本项目工作质量由采购人进行监督考核。 2.本项目所涉及的服务，由采购人组织对中标供应商进行月考核评估（项目考核情况表详见附件），服务期限内，每月的服务考核评估达不到80分时，要求中标供应商立刻整改。如整改后，中标供应商连续2个月服务考核还低于80分，采购人有权依法上报监管部门并追究中标供应商相关责任，中标供应商未能按合同提供服务给采购人造成的直接损失，追究其经济赔偿。</w:t>
            </w:r>
          </w:p>
        </w:tc>
      </w:tr>
      <w:tr>
        <w:tc>
          <w:tcPr>
            <w:tcW w:type="dxa" w:w="4153"/>
          </w:tcPr>
          <w:p>
            <w:r>
              <w:rPr/>
              <w:t>履约保证金</w:t>
            </w:r>
          </w:p>
        </w:tc>
        <w:tc>
          <w:tcPr>
            <w:tcW w:type="dxa" w:w="4153"/>
          </w:tcPr>
          <w:p/>
          <w:p/>
          <w:p/>
          <w:p/>
          <w:p>
            <w:r>
              <w:rPr/>
              <w:t>收取比例：5%,说明：1.中标供应商与采购人签订采购合同后5个工作日内，须向采购人缴纳对应采购包合同金额5%的履约保证金，履约保证金以支票、汇票、本票或者金融机构、担保机构出具的保函等非现金形式提交。 2.履约保证金用于按合同补偿采购人因中标供应商不能完成其合同义务而蒙受的损失；也可用于采购人对中标供应商未按要求提供服务的相应违约金处罚。凡因中标供应商责任，使采购人解除本合同的，履约保证金不向中标供应商退还。 3.中标供应商在合同期内没有违约行为，采购人在合同有效期满后30日内无息全额退还履约保证金。 4.采购人逾期退还履约保证金的，从逾期之日起每日按履约保证金3‰的数额向中标供应商支付违约金。但因中标供应商自身原因导致无法及时退还的除外。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高科路配餐服务点6</w:t>
            </w:r>
          </w:p>
        </w:tc>
        <w:tc>
          <w:tcPr>
            <w:tcW w:type="dxa" w:w="831"/>
          </w:tcPr>
          <w:p>
            <w:pPr>
              <w:jc w:val="left"/>
            </w:pPr>
            <w:r>
              <w:rPr/>
              <w:t>年</w:t>
            </w:r>
          </w:p>
        </w:tc>
        <w:tc>
          <w:tcPr>
            <w:tcW w:type="dxa" w:w="831"/>
          </w:tcPr>
          <w:p>
            <w:pPr>
              <w:jc w:val="right"/>
            </w:pPr>
            <w:r>
              <w:rPr/>
              <w:t>1.00</w:t>
            </w:r>
          </w:p>
        </w:tc>
        <w:tc>
          <w:tcPr>
            <w:tcW w:type="dxa" w:w="831"/>
          </w:tcPr>
          <w:p>
            <w:pPr>
              <w:jc w:val="right"/>
            </w:pPr>
            <w:r>
              <w:rPr/>
              <w:t>120,000.00</w:t>
            </w:r>
          </w:p>
        </w:tc>
        <w:tc>
          <w:tcPr>
            <w:tcW w:type="dxa" w:w="831"/>
          </w:tcPr>
          <w:p>
            <w:pPr>
              <w:jc w:val="right"/>
            </w:pPr>
            <w:r>
              <w:rPr/>
              <w:t>120,000.00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高科路配餐服务点6</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采购包7（高科路配餐服务点7）</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服务限期：自合同签订之日起壹年。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1期：支付比例100%,1.各采购包的配餐服务款项在服务期内据实结算。 2.中标供应商于每月15日前报送上月就餐情况，经采购人审核无误后15日内进行支付； 3.实际以中标供应商的中标折扣率、实际供货数量、基准单价为准及签订合同金额为限进行结算。结算金额=∑（各货物的基准单价最高限价×中标折扣率×实际采购数量）  4.如中标供应商为中小企业：（1）合同签订且收到履约保证金后5个工作日内采购人向中标供应商支付合同金额的30%（支付方式含银行转账、支票、银行承兑汇票、商业承兑汇票等形式）。（2）每笔实际结算金额按第1、2、3款方式先从预付款扣除，当扣除金额达到合同金额的30%后，再按第1、2、3款的方式支付剩余的70% 。 5.中标供应商凭以下有效文件与采购人结算：  1）合同；  2）中标供应商开具等额的正式发票；  3）供餐流水单（如采购人要求）。</w:t>
            </w:r>
          </w:p>
        </w:tc>
      </w:tr>
      <w:tr>
        <w:tc>
          <w:tcPr>
            <w:tcW w:type="dxa" w:w="4153"/>
          </w:tcPr>
          <w:p>
            <w:r>
              <w:rPr/>
              <w:t>验收要求</w:t>
            </w:r>
          </w:p>
        </w:tc>
        <w:tc>
          <w:tcPr>
            <w:tcW w:type="dxa" w:w="4153"/>
          </w:tcPr>
          <w:p/>
          <w:p/>
          <w:p/>
          <w:p>
            <w:r>
              <w:rPr/>
              <w:t>1期：1.本项目工作质量由采购人进行监督考核。 2.本项目所涉及的服务，由采购人组织对中标供应商进行月考核评估（项目考核情况表详见附件），服务期限内，每月的服务考核评估达不到80分时，要求中标供应商立刻整改。如整改后，中标供应商连续2个月服务考核还低于80分，采购人有权依法上报监管部门并追究中标供应商相关责任，中标供应商未能按合同提供服务给采购人造成的直接损失，追究其经济赔偿。</w:t>
            </w:r>
          </w:p>
        </w:tc>
      </w:tr>
      <w:tr>
        <w:tc>
          <w:tcPr>
            <w:tcW w:type="dxa" w:w="4153"/>
          </w:tcPr>
          <w:p>
            <w:r>
              <w:rPr/>
              <w:t>履约保证金</w:t>
            </w:r>
          </w:p>
        </w:tc>
        <w:tc>
          <w:tcPr>
            <w:tcW w:type="dxa" w:w="4153"/>
          </w:tcPr>
          <w:p/>
          <w:p/>
          <w:p/>
          <w:p/>
          <w:p>
            <w:r>
              <w:rPr/>
              <w:t>收取比例：5%,说明：1.中标供应商与采购人签订采购合同后5个工作日内，须向采购人缴纳对应采购包合同金额5%的履约保证金，履约保证金以支票、汇票、本票或者金融机构、担保机构出具的保函等非现金形式提交。 2.履约保证金用于按合同补偿采购人因中标供应商不能完成其合同义务而蒙受的损失；也可用于采购人对中标供应商未按要求提供服务的相应违约金处罚。凡因中标供应商责任，使采购人解除本合同的，履约保证金不向中标供应商退还。 3.中标供应商在合同期内没有违约行为，采购人在合同有效期满后30日内无息全额退还履约保证金。 4.采购人逾期退还履约保证金的，从逾期之日起每日按履约保证金3‰的数额向中标供应商支付违约金。但因中标供应商自身原因导致无法及时退还的除外。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餐饮服务</w:t>
            </w:r>
          </w:p>
        </w:tc>
        <w:tc>
          <w:tcPr>
            <w:tcW w:type="dxa" w:w="831"/>
          </w:tcPr>
          <w:p>
            <w:pPr>
              <w:jc w:val="left"/>
            </w:pPr>
            <w:r>
              <w:rPr/>
              <w:t>高科路配餐服务点7</w:t>
            </w:r>
          </w:p>
        </w:tc>
        <w:tc>
          <w:tcPr>
            <w:tcW w:type="dxa" w:w="831"/>
          </w:tcPr>
          <w:p>
            <w:pPr>
              <w:jc w:val="left"/>
            </w:pPr>
            <w:r>
              <w:rPr/>
              <w:t>年</w:t>
            </w:r>
          </w:p>
        </w:tc>
        <w:tc>
          <w:tcPr>
            <w:tcW w:type="dxa" w:w="831"/>
          </w:tcPr>
          <w:p>
            <w:pPr>
              <w:jc w:val="right"/>
            </w:pPr>
            <w:r>
              <w:rPr/>
              <w:t>1.00</w:t>
            </w:r>
          </w:p>
        </w:tc>
        <w:tc>
          <w:tcPr>
            <w:tcW w:type="dxa" w:w="831"/>
          </w:tcPr>
          <w:p>
            <w:pPr>
              <w:jc w:val="right"/>
            </w:pPr>
            <w:r>
              <w:rPr/>
              <w:t>80,000.00</w:t>
            </w:r>
          </w:p>
        </w:tc>
        <w:tc>
          <w:tcPr>
            <w:tcW w:type="dxa" w:w="831"/>
          </w:tcPr>
          <w:p>
            <w:pPr>
              <w:jc w:val="right"/>
            </w:pPr>
            <w:r>
              <w:rPr/>
              <w:t>80,000.00</w:t>
            </w:r>
          </w:p>
        </w:tc>
        <w:tc>
          <w:tcPr>
            <w:tcW w:type="dxa" w:w="831"/>
          </w:tcPr>
          <w:p>
            <w:r>
              <w:rPr/>
              <w:t>100.0</w:t>
            </w:r>
          </w:p>
        </w:tc>
        <w:tc>
          <w:tcPr>
            <w:tcW w:type="dxa" w:w="831"/>
          </w:tcPr>
          <w:p>
            <w:r>
              <w:rPr/>
              <w:t>餐饮业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高科路配餐服务点7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广东省科学院生物与医学工程研究所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7</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p/>
          <w:p>
            <w:r>
              <w:rPr/>
              <w:t>采购包3：折扣率</w:t>
            </w:r>
          </w:p>
          <w:p/>
          <w:p>
            <w:r>
              <w:rPr/>
              <w:t>采购包4：折扣率</w:t>
            </w:r>
          </w:p>
          <w:p/>
          <w:p>
            <w:r>
              <w:rPr/>
              <w:t>采购包5：折扣率</w:t>
            </w:r>
          </w:p>
          <w:p/>
          <w:p>
            <w:r>
              <w:rPr/>
              <w:t>采购包6：折扣率</w:t>
            </w:r>
          </w:p>
          <w:p/>
          <w:p>
            <w:r>
              <w:rPr/>
              <w:t>采购包7：折扣率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p/>
          <w:p>
            <w:r>
              <w:rPr/>
              <w:t>采购包4：0% - 100%</w:t>
            </w:r>
          </w:p>
          <w:p/>
          <w:p>
            <w:r>
              <w:rPr/>
              <w:t>采购包5：0% - 100%</w:t>
            </w:r>
          </w:p>
          <w:p/>
          <w:p>
            <w:r>
              <w:rPr/>
              <w:t>采购包6：0% - 100%</w:t>
            </w:r>
          </w:p>
          <w:p/>
          <w:p>
            <w:r>
              <w:rPr/>
              <w:t>采购包7：0%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投标人应对采购包内所有的招标内容进行投标，不允许只对包组内部分内容进行投标。本项目投标人可以同时对多个采购包进行投标，部分采购包兼投但不可以兼中（本条款为评审过程遵循原则），具体如下： 采购包段1：采购包1、采购包2、采购包3； 采购包段2：采购包4、采购包5； 采购包段3：采购包6、采购包7； 说明：（1）本项目分三个采购包段，投标人可同时参投多个采购包，同一个采购包段内的采购包可兼投但不能兼中， 即投标人在同一个采购包段内只能中一个采购包。 （2）评审时按采购包的顺序进行（采购包1 →采购包2→采购包3→采购包4→采购包5→采购包6→采购包7），若投标人被推荐为该采购包段内的第一中标候选人，根据上述兼投不兼中原则，该投标人不能参与该采购包段内其他采购包的评审，但仍能参与其他采购包段内采购包的评审并可相应的被推荐为该采购包段内的第一中标候选人。 举例：某投标人同时参投采购包1至采购包7，根据上述兼投不兼中原则，若该投标人在采购包段1中的采购包1被推荐为第一中标候选人，则不能参与采购包2、采购包3的评审；但可以参与其它采购包段2和采购包段3的评审及被推荐为该采购包段内的第一中标候选人。</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采购机构代理服务收费标准：本项目的招标代理服务费由各采购包的中标供应商在领取《中标通知书》前一次性向采购代理机构交纳以下金额： 采购包1：￥12,000.00元（大写：人民币壹万贰仟元整）； 采购包2：￥6,000.00元（大写：人民币陆仟元整）； 采购包3：￥5,000.00元（大写：人民币伍仟元整）； 采购包4：￥3,000.00元（大写：人民币叁仟元整）； 采购包5：￥2,000.00元（大写：人民币贰仟元整）； 采购包6：￥2,000.00元（大写：人民币贰仟元整）； 采购包7：￥2,000.00元（大写：人民币贰仟元整）。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p>
            <w:pPr>
              <w:jc w:val="left"/>
            </w:pPr>
            <w:r>
              <w:rPr/>
              <w:t>采购包5：非专门面向中小企业</w:t>
            </w:r>
          </w:p>
          <w:p>
            <w:pPr>
              <w:jc w:val="left"/>
            </w:pPr>
            <w:r>
              <w:rPr/>
              <w:t>采购包6：非专门面向中小企业</w:t>
            </w:r>
          </w:p>
          <w:p>
            <w:pPr>
              <w:jc w:val="left"/>
            </w:pPr>
            <w:r>
              <w:rPr/>
              <w:t>采购包7：非专门面向中小企业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吕小姐、吴工</w:t>
      </w:r>
    </w:p>
    <w:p>
      <w:pPr>
        <w:ind w:firstLine="480"/>
      </w:pPr>
      <w:r>
        <w:rPr/>
        <w:t>电话：</w:t>
      </w:r>
      <w:r>
        <w:rPr/>
        <w:t>020-37814404、020-87684402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采购包1(江海点配餐服务点1)：综合评分法,是指投标文件满足招标文件全部实质性要求，且按照评审因素的量化指标评审得分最高的投标人为中标候选人的评标方法。（最低报价不是中标的唯一依据。）</w:t>
      </w:r>
    </w:p>
    <w:p/>
    <w:p>
      <w:r>
        <w:rPr/>
        <w:t>采购包2(江海点配餐服务点2)：综合评分法,是指投标文件满足招标文件全部实质性要求，且按照评审因素的量化指标评审得分最高的投标人为中标候选人的评标方法。（最低报价不是中标的唯一依据。）</w:t>
      </w:r>
    </w:p>
    <w:p/>
    <w:p>
      <w:r>
        <w:rPr/>
        <w:t>采购包3(江海点配餐服务点3)：综合评分法,是指投标文件满足招标文件全部实质性要求，且按照评审因素的量化指标评审得分最高的投标人为中标候选人的评标方法。（最低报价不是中标的唯一依据。）</w:t>
      </w:r>
    </w:p>
    <w:p/>
    <w:p>
      <w:r>
        <w:rPr/>
        <w:t>采购包4(广州大道配餐服务点4)：综合评分法,是指投标文件满足招标文件全部实质性要求，且按照评审因素的量化指标评审得分最高的投标人为中标候选人的评标方法。（最低报价不是中标的唯一依据。）</w:t>
      </w:r>
    </w:p>
    <w:p/>
    <w:p>
      <w:r>
        <w:rPr/>
        <w:t>采购包5(广州大道配餐服务点5)：综合评分法,是指投标文件满足招标文件全部实质性要求，且按照评审因素的量化指标评审得分最高的投标人为中标候选人的评标方法。（最低报价不是中标的唯一依据。）</w:t>
      </w:r>
    </w:p>
    <w:p/>
    <w:p>
      <w:r>
        <w:rPr/>
        <w:t>采购包6(高科路配餐服务点6)：综合评分法,是指投标文件满足招标文件全部实质性要求，且按照评审因素的量化指标评审得分最高的投标人为中标候选人的评标方法。（最低报价不是中标的唯一依据。）</w:t>
      </w:r>
    </w:p>
    <w:p/>
    <w:p>
      <w:r>
        <w:rPr/>
        <w:t>采购包7(高科路配餐服务点7)：综合评分法,是指投标文件满足招标文件全部实质性要求，且按照评审因素的量化指标评审得分最高的投标人为中标候选人的评标方法。（最低报价不是中标的唯一依据。）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采购包1（江海点配餐服务点1）：</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采购包2（江海点配餐服务点2）：</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采购包3（江海点配餐服务点3）：</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采购包4（广州大道配餐服务点4）：</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采购包5（广州大道配餐服务点5）：</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采购包6（高科路配餐服务点6）：</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采购包7（高科路配餐服务点7）：</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采购包1（江海点配餐服务点1）：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特定资格要求（食品经营许可证）</w:t>
            </w:r>
          </w:p>
        </w:tc>
        <w:tc>
          <w:tcPr>
            <w:tcW w:type="dxa" w:w="4238"/>
          </w:tcPr>
          <w:p>
            <w:r>
              <w:rPr/>
              <w:t>具有《食品经营许可证》（提供有效期内的证书复印件，如国家另有规定，则适用其规定）。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采购包2（江海点配餐服务点2）：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特定资格要求（食品经营许可证）</w:t>
            </w:r>
          </w:p>
        </w:tc>
        <w:tc>
          <w:tcPr>
            <w:tcW w:type="dxa" w:w="4238"/>
          </w:tcPr>
          <w:p>
            <w:r>
              <w:rPr/>
              <w:t>具有《食品经营许可证》（提供有效期内的证书复印件，如国家另有规定，则适用其规定）。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采购包3（江海点配餐服务点3）：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特定资格要求（食品经营许可证）</w:t>
            </w:r>
          </w:p>
        </w:tc>
        <w:tc>
          <w:tcPr>
            <w:tcW w:type="dxa" w:w="4238"/>
          </w:tcPr>
          <w:p>
            <w:r>
              <w:rPr/>
              <w:t>具有《食品经营许可证》（提供有效期内的证书复印件，如国家另有规定，则适用其规定）。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采购包4（广州大道配餐服务点4）：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特定资格要求（食品经营许可证）</w:t>
            </w:r>
          </w:p>
        </w:tc>
        <w:tc>
          <w:tcPr>
            <w:tcW w:type="dxa" w:w="4238"/>
          </w:tcPr>
          <w:p>
            <w:r>
              <w:rPr/>
              <w:t>具有《食品经营许可证》（提供有效期内的证书复印件，如国家另有规定，则适用其规定）。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采购包5（广州大道配餐服务点5）：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特定资格要求（食品经营许可证）</w:t>
            </w:r>
          </w:p>
        </w:tc>
        <w:tc>
          <w:tcPr>
            <w:tcW w:type="dxa" w:w="4238"/>
          </w:tcPr>
          <w:p>
            <w:r>
              <w:rPr/>
              <w:t>具有《食品经营许可证》（提供有效期内的证书复印件，如国家另有规定，则适用其规定）。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采购包6（高科路配餐服务点6）：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特定资格要求（食品经营许可证）</w:t>
            </w:r>
          </w:p>
        </w:tc>
        <w:tc>
          <w:tcPr>
            <w:tcW w:type="dxa" w:w="4238"/>
          </w:tcPr>
          <w:p>
            <w:r>
              <w:rPr/>
              <w:t>具有《食品经营许可证》（提供有效期内的证书复印件，如国家另有规定，则适用其规定）。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采购包7（高科路配餐服务点7）：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特定资格要求（食品经营许可证）</w:t>
            </w:r>
          </w:p>
        </w:tc>
        <w:tc>
          <w:tcPr>
            <w:tcW w:type="dxa" w:w="4238"/>
          </w:tcPr>
          <w:p>
            <w:r>
              <w:rPr/>
              <w:t>具有《食品经营许可证》（提供有效期内的证书复印件，如国家另有规定，则适用其规定）。</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采购包1（江海点配餐服务点1）：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投标折扣率</w:t>
            </w:r>
          </w:p>
        </w:tc>
        <w:tc>
          <w:tcPr>
            <w:tcW w:type="dxa" w:w="4238"/>
          </w:tcPr>
          <w:p>
            <w:r>
              <w:rPr/>
              <w:t>投标折扣率是固定唯一的，且0.00%＜投标折扣率≤100.00%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采购包2（江海点配餐服务点2）：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投标折扣率</w:t>
            </w:r>
          </w:p>
        </w:tc>
        <w:tc>
          <w:tcPr>
            <w:tcW w:type="dxa" w:w="4238"/>
          </w:tcPr>
          <w:p>
            <w:r>
              <w:rPr/>
              <w:t>投标折扣率是固定唯一的，且0.00%＜投标折扣率≤100.00%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采购包3（江海点配餐服务点3）：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投标折扣率</w:t>
            </w:r>
          </w:p>
        </w:tc>
        <w:tc>
          <w:tcPr>
            <w:tcW w:type="dxa" w:w="4238"/>
          </w:tcPr>
          <w:p>
            <w:r>
              <w:rPr/>
              <w:t>投标折扣率是固定唯一的，且0.00%＜投标折扣率≤100.00%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采购包4（广州大道配餐服务点4）：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投标折扣率</w:t>
            </w:r>
          </w:p>
        </w:tc>
        <w:tc>
          <w:tcPr>
            <w:tcW w:type="dxa" w:w="4238"/>
          </w:tcPr>
          <w:p>
            <w:r>
              <w:rPr/>
              <w:t>投标折扣率是固定唯一的，且0.00%＜投标折扣率≤100.00%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采购包5（广州大道配餐服务点5）：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投标折扣率</w:t>
            </w:r>
          </w:p>
        </w:tc>
        <w:tc>
          <w:tcPr>
            <w:tcW w:type="dxa" w:w="4238"/>
          </w:tcPr>
          <w:p>
            <w:r>
              <w:rPr/>
              <w:t>投标折扣率是固定唯一的，且0.00%＜投标折扣率≤100.00%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采购包6（高科路配餐服务点6）：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投标折扣率</w:t>
            </w:r>
          </w:p>
        </w:tc>
        <w:tc>
          <w:tcPr>
            <w:tcW w:type="dxa" w:w="4238"/>
          </w:tcPr>
          <w:p>
            <w:r>
              <w:rPr/>
              <w:t>投标折扣率是固定唯一的，且0.00%＜投标折扣率≤100.00%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采购包7（高科路配餐服务点7）：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投标折扣率</w:t>
            </w:r>
          </w:p>
        </w:tc>
        <w:tc>
          <w:tcPr>
            <w:tcW w:type="dxa" w:w="4238"/>
          </w:tcPr>
          <w:p>
            <w:r>
              <w:rPr/>
              <w:t>投标折扣率是固定唯一的，且0.00%＜投标折扣率≤100.00%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采购包1(江海点配餐服务点1):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“▲”条款响应程度 (12.0分)</w:t>
            </w:r>
          </w:p>
        </w:tc>
        <w:tc>
          <w:tcPr>
            <w:tcW w:type="dxa" w:w="5076"/>
          </w:tcPr>
          <w:p>
            <w:pPr>
              <w:jc w:val="left"/>
            </w:pPr>
            <w:r>
              <w:rPr/>
              <w:t>满足采购需求中带“▲”条款（共3项），得12分，每一项不满足扣4分，最低0分。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配送时间 (5.0分)</w:t>
            </w:r>
          </w:p>
        </w:tc>
        <w:tc>
          <w:tcPr>
            <w:tcW w:type="dxa" w:w="5076"/>
          </w:tcPr>
          <w:p>
            <w:pPr>
              <w:jc w:val="left"/>
            </w:pPr>
            <w:r>
              <w:rPr/>
              <w:t>根据发生食品安全、卫生、品质服务投诉，以及补充食材等事件，供应商快捷响应的时间进行评审： 1、30（含）分钟内能到达指定送餐点的，得5分； 2、30（不含）-45（含）分钟内到达指定送餐点的，得3分； 3、45（不含）-60（含）分钟内到达指定送餐点的，得1分； 4、60分钟以上的到达指定送餐点的，得0分。 注：提供有效的承诺函，否则不得分。</w:t>
            </w:r>
          </w:p>
        </w:tc>
      </w:tr>
      <w:tr>
        <w:tc>
          <w:tcPr>
            <w:tcW w:type="dxa" w:w="922"/>
            <w:gridSpan w:val="2"/>
            <w:vMerge/>
          </w:tcPr>
          <w:p/>
        </w:tc>
        <w:tc>
          <w:tcPr>
            <w:tcW w:type="dxa" w:w="2307"/>
          </w:tcPr>
          <w:p>
            <w:pPr>
              <w:jc w:val="left"/>
            </w:pPr>
            <w:r>
              <w:rPr/>
              <w:t>项目人员配置 (8.0分)</w:t>
            </w:r>
          </w:p>
        </w:tc>
        <w:tc>
          <w:tcPr>
            <w:tcW w:type="dxa" w:w="5076"/>
          </w:tcPr>
          <w:p>
            <w:pPr>
              <w:jc w:val="left"/>
            </w:pPr>
            <w:r>
              <w:rPr/>
              <w:t>投标人拟投入本项目的人员中： 1、具有高级食品安全管理员证书得2分，中级得1分，其他不得分，最高得4分； 2、具有高级或以上公共营养师证书得2分，中级得1分，其他不得分，最高得2分； 3、具有高级或以上中式烹调师证书得2分，中级得1分，其他不得分，最高得2分； 本项最高得8分。 注：提供证书复印件及投标人为上述人员购买的开标日前六个月以来任意一个月的社保或单位代缴个税税单证明文件，无提供不得分。</w:t>
            </w:r>
          </w:p>
        </w:tc>
      </w:tr>
      <w:tr>
        <w:tc>
          <w:tcPr>
            <w:tcW w:type="dxa" w:w="922"/>
            <w:gridSpan w:val="2"/>
            <w:vMerge/>
          </w:tcPr>
          <w:p/>
        </w:tc>
        <w:tc>
          <w:tcPr>
            <w:tcW w:type="dxa" w:w="2307"/>
          </w:tcPr>
          <w:p>
            <w:pPr>
              <w:jc w:val="left"/>
            </w:pPr>
            <w:r>
              <w:rPr/>
              <w:t>项目经营方案（一） (6.0分)</w:t>
            </w:r>
          </w:p>
        </w:tc>
        <w:tc>
          <w:tcPr>
            <w:tcW w:type="dxa" w:w="5076"/>
          </w:tcPr>
          <w:p>
            <w:pPr>
              <w:jc w:val="left"/>
            </w:pPr>
            <w:r>
              <w:rPr/>
              <w:t>根据投标人提供的项目经营方案进行综合评价，方案（投标文件中方案标题应以下列要求名称命名）包括但不仅限于： 1、项目人员构架（非具体人员配置）； 2、餐品制作流程； 3、质量保障措施，包括食品卫生安全的具体保证措施、餐具消毒的具体措施等。 注：方案涉及以上全部内容得6分，每缺1项扣2分。</w:t>
            </w:r>
          </w:p>
        </w:tc>
      </w:tr>
      <w:tr>
        <w:tc>
          <w:tcPr>
            <w:tcW w:type="dxa" w:w="922"/>
            <w:gridSpan w:val="2"/>
            <w:vMerge/>
          </w:tcPr>
          <w:p/>
        </w:tc>
        <w:tc>
          <w:tcPr>
            <w:tcW w:type="dxa" w:w="2307"/>
          </w:tcPr>
          <w:p>
            <w:pPr>
              <w:jc w:val="left"/>
            </w:pPr>
            <w:r>
              <w:rPr/>
              <w:t>项目经营方案（二） (8.0分)</w:t>
            </w:r>
          </w:p>
        </w:tc>
        <w:tc>
          <w:tcPr>
            <w:tcW w:type="dxa" w:w="5076"/>
          </w:tcPr>
          <w:p>
            <w:pPr>
              <w:jc w:val="left"/>
            </w:pPr>
            <w:r>
              <w:rPr/>
              <w:t>1、构架环环相扣、清晰而不紊乱，工艺流程严谨细致，措施具体、合理，内容完整，表述准确、条理清晰，内容无前后矛盾，符合项目实际且利于落地，各经营门店资源丰富且可共享，得8分； 2、构架清晰而不紊乱，工艺流程较严谨较细致，措施较具体、较合理，内容较完整，有详细描述，部分符合项目实际且可落地，各经营门店资源较丰富可共享，得5分；  3、构架不紊乱，工艺流程不够严谨不够细致，措施部分具体、部分合理，部分符合项目实际，各经营门店有少量资源可共享，得3分； 4、构架紊乱，工艺流程不够严谨不够细致，措施不具体、不合理，不符合项目实际，无其他经营门店资源共享，得1分； 5、无或其他不得分。</w:t>
            </w:r>
          </w:p>
        </w:tc>
      </w:tr>
      <w:tr>
        <w:tc>
          <w:tcPr>
            <w:tcW w:type="dxa" w:w="922"/>
            <w:gridSpan w:val="2"/>
            <w:vMerge/>
          </w:tcPr>
          <w:p/>
        </w:tc>
        <w:tc>
          <w:tcPr>
            <w:tcW w:type="dxa" w:w="2307"/>
          </w:tcPr>
          <w:p>
            <w:pPr>
              <w:jc w:val="left"/>
            </w:pPr>
            <w:r>
              <w:rPr/>
              <w:t>突发事件处理方案（一） (3.0分)</w:t>
            </w:r>
          </w:p>
        </w:tc>
        <w:tc>
          <w:tcPr>
            <w:tcW w:type="dxa" w:w="5076"/>
          </w:tcPr>
          <w:p>
            <w:pPr>
              <w:jc w:val="left"/>
            </w:pPr>
            <w:r>
              <w:rPr/>
              <w:t>根据投标人提供的突发事件处理方案进行综合评价，方案（投标文件中方案标题应以下列要求名称命名）包括但不仅限于： 1、配送服务全过程中突发事件的风险点和预防措施； 2、配送服务全过程中突发事件的应对流程和处理措施； 3、项目执行过程中采购人的紧急情况、突发事情的处理方案。 注：方案涉及以上全部内容得3分，每缺1项扣1分。</w:t>
            </w:r>
          </w:p>
        </w:tc>
      </w:tr>
      <w:tr>
        <w:tc>
          <w:tcPr>
            <w:tcW w:type="dxa" w:w="922"/>
            <w:gridSpan w:val="2"/>
            <w:vMerge/>
          </w:tcPr>
          <w:p/>
        </w:tc>
        <w:tc>
          <w:tcPr>
            <w:tcW w:type="dxa" w:w="2307"/>
          </w:tcPr>
          <w:p>
            <w:pPr>
              <w:jc w:val="left"/>
            </w:pPr>
            <w:r>
              <w:rPr/>
              <w:t>突发事件处理方案（二） (5.0分)</w:t>
            </w:r>
          </w:p>
        </w:tc>
        <w:tc>
          <w:tcPr>
            <w:tcW w:type="dxa" w:w="5076"/>
          </w:tcPr>
          <w:p>
            <w:pPr>
              <w:jc w:val="left"/>
            </w:pPr>
            <w:r>
              <w:rPr/>
              <w:t>1、方案描述详细、合理、可行性高，应急方案完善，得5分； 2、方案描述较为详细、合理、具有一定的可行性，应急方案较完善，得4分； 3、方案描述完整但不够详细、合理性一般，应急方案不够完善，得3分； 4、方案描述泛泛而谈，内容空洞，基本不具有合理性，得1分； 5、无或其他不得分。</w:t>
            </w:r>
          </w:p>
        </w:tc>
      </w:tr>
      <w:tr>
        <w:tc>
          <w:tcPr>
            <w:tcW w:type="dxa" w:w="922"/>
            <w:gridSpan w:val="2"/>
            <w:vMerge/>
          </w:tcPr>
          <w:p/>
        </w:tc>
        <w:tc>
          <w:tcPr>
            <w:tcW w:type="dxa" w:w="2307"/>
          </w:tcPr>
          <w:p>
            <w:pPr>
              <w:jc w:val="left"/>
            </w:pPr>
            <w:r>
              <w:rPr/>
              <w:t>原材料来源控制（一） (6.0分)</w:t>
            </w:r>
          </w:p>
        </w:tc>
        <w:tc>
          <w:tcPr>
            <w:tcW w:type="dxa" w:w="5076"/>
          </w:tcPr>
          <w:p>
            <w:pPr>
              <w:jc w:val="left"/>
            </w:pPr>
            <w:r>
              <w:rPr/>
              <w:t>根据投标人提供的原材料来源控制进行综合评价，方案（投标文件中方案标题应以下列要求名称命名）包括但不仅限于： 1、安全可靠的食材采购制度； 2、溯源（追溯源头）制度； 3、不采购战备肉和僵尸肉的声明。 注：方案涉及以上全部内容得6分，每缺1项扣2分。</w:t>
            </w:r>
          </w:p>
        </w:tc>
      </w:tr>
      <w:tr>
        <w:tc>
          <w:tcPr>
            <w:tcW w:type="dxa" w:w="922"/>
            <w:gridSpan w:val="2"/>
            <w:vMerge/>
          </w:tcPr>
          <w:p/>
        </w:tc>
        <w:tc>
          <w:tcPr>
            <w:tcW w:type="dxa" w:w="2307"/>
          </w:tcPr>
          <w:p>
            <w:pPr>
              <w:jc w:val="left"/>
            </w:pPr>
            <w:r>
              <w:rPr/>
              <w:t>原材料来源控制（二） (4.0分)</w:t>
            </w:r>
          </w:p>
        </w:tc>
        <w:tc>
          <w:tcPr>
            <w:tcW w:type="dxa" w:w="5076"/>
          </w:tcPr>
          <w:p>
            <w:pPr>
              <w:jc w:val="left"/>
            </w:pPr>
            <w:r>
              <w:rPr/>
              <w:t>1、制度方案等具体、完善，检测设备能完全满足项目需要， 得4分；  2、制度方案等较具体、较完善，检测设备能基本满足项目需要， 得3分； 3、制度方案等部分具体、不够完善，检测设备能部分满足项目需要，得2分； 4、制度方案等不具体、不完善，检测设备不能满足项目需要， 得1分； 5、无或其他不得分。</w:t>
            </w:r>
          </w:p>
        </w:tc>
      </w:tr>
      <w:tr>
        <w:tc>
          <w:tcPr>
            <w:tcW w:type="dxa" w:w="922"/>
            <w:gridSpan w:val="2"/>
            <w:vMerge/>
          </w:tcPr>
          <w:p/>
        </w:tc>
        <w:tc>
          <w:tcPr>
            <w:tcW w:type="dxa" w:w="2307"/>
          </w:tcPr>
          <w:p>
            <w:pPr>
              <w:jc w:val="left"/>
            </w:pPr>
            <w:r>
              <w:rPr/>
              <w:t>投标人关于本项目其他制度 (3.0分)</w:t>
            </w:r>
          </w:p>
        </w:tc>
        <w:tc>
          <w:tcPr>
            <w:tcW w:type="dxa" w:w="5076"/>
          </w:tcPr>
          <w:p>
            <w:pPr>
              <w:jc w:val="left"/>
            </w:pPr>
            <w:r>
              <w:rPr/>
              <w:t>根据投标人关于本项目其他制度进行综合评价，制度（投标文件中方案标题应以下列要求名称命名）包括但不仅限于： 1、客户意见投诉处理制度； 2、人员绩效考核制度； 3、其他根据本项目需要拟定的制度。 注：制度涉及以上全部内容得3分，每缺1项扣1分。</w:t>
            </w:r>
          </w:p>
        </w:tc>
      </w:tr>
      <w:tr>
        <w:tc>
          <w:tcPr>
            <w:tcW w:type="dxa" w:w="922"/>
            <w:gridSpan w:val="2"/>
            <w:vMerge w:val="restart"/>
          </w:tcPr>
          <w:p>
            <w:pPr>
              <w:jc w:val="center"/>
            </w:pPr>
            <w:r>
              <w:rPr/>
              <w:t>商务部分</w:t>
            </w:r>
          </w:p>
        </w:tc>
        <w:tc>
          <w:tcPr>
            <w:tcW w:type="dxa" w:w="2307"/>
          </w:tcPr>
          <w:p>
            <w:pPr>
              <w:jc w:val="left"/>
            </w:pPr>
            <w:r>
              <w:rPr/>
              <w:t>投标人食品安全情况 (10.0分)</w:t>
            </w:r>
          </w:p>
        </w:tc>
        <w:tc>
          <w:tcPr>
            <w:tcW w:type="dxa" w:w="5076"/>
          </w:tcPr>
          <w:p>
            <w:pPr>
              <w:jc w:val="left"/>
            </w:pPr>
            <w:r>
              <w:rPr/>
              <w:t>投标人所经营或承包的配餐场所的食品安全等级公示情况： A级：10分，B级：3分，C级：1分； 注：提供租赁合同（或产权证明）及餐饮服务食品安全等级公示牌复印件；不提供不得分。</w:t>
            </w:r>
          </w:p>
        </w:tc>
      </w:tr>
      <w:tr>
        <w:tc>
          <w:tcPr>
            <w:tcW w:type="dxa" w:w="922"/>
            <w:gridSpan w:val="2"/>
            <w:vMerge/>
          </w:tcPr>
          <w:p/>
        </w:tc>
        <w:tc>
          <w:tcPr>
            <w:tcW w:type="dxa" w:w="2307"/>
          </w:tcPr>
          <w:p>
            <w:pPr>
              <w:jc w:val="left"/>
            </w:pPr>
            <w:r>
              <w:rPr/>
              <w:t>同类项目业绩情况 (10.0分)</w:t>
            </w:r>
          </w:p>
        </w:tc>
        <w:tc>
          <w:tcPr>
            <w:tcW w:type="dxa" w:w="5076"/>
          </w:tcPr>
          <w:p>
            <w:pPr>
              <w:jc w:val="left"/>
            </w:pPr>
            <w:r>
              <w:rPr/>
              <w:t>2020年1月1日至今承接过的同类配餐项目（须含送餐及堂食内容），每一项2分，总分不超过10分。 注：须提供合同复印件，不提供证明文件或专家无法认定的不得分。</w:t>
            </w:r>
          </w:p>
        </w:tc>
      </w:tr>
      <w:tr>
        <w:tc>
          <w:tcPr>
            <w:tcW w:type="dxa" w:w="922"/>
            <w:gridSpan w:val="2"/>
            <w:vMerge/>
          </w:tcPr>
          <w:p/>
        </w:tc>
        <w:tc>
          <w:tcPr>
            <w:tcW w:type="dxa" w:w="2307"/>
          </w:tcPr>
          <w:p>
            <w:pPr>
              <w:jc w:val="left"/>
            </w:pPr>
            <w:r>
              <w:rPr/>
              <w:t>体系认证 (10.0分)</w:t>
            </w:r>
          </w:p>
        </w:tc>
        <w:tc>
          <w:tcPr>
            <w:tcW w:type="dxa" w:w="5076"/>
          </w:tcPr>
          <w:p>
            <w:pPr>
              <w:jc w:val="left"/>
            </w:pPr>
            <w:r>
              <w:rPr/>
              <w:t>供应商具有以下认证证书的，每提供一项得2分，最高10分。 1、质量管理体系认证； 2、环境管理体系认证； 3、职业健康安全管理体系认证； 4、食品安全管理体系认证； 5、危害分析与关键控制点HACCP体系认证。 注：提供证书复印件加盖供应商公章，且在有效期内，不提供不得分。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满足招标文件要求且投标价格最低的投标报价（投标折扣率）为评标基准价。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采购包2(江海点配餐服务点2):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“▲”条款响应程度 (12.0分)</w:t>
            </w:r>
          </w:p>
        </w:tc>
        <w:tc>
          <w:tcPr>
            <w:tcW w:type="dxa" w:w="5076"/>
          </w:tcPr>
          <w:p>
            <w:pPr>
              <w:jc w:val="left"/>
            </w:pPr>
            <w:r>
              <w:rPr/>
              <w:t>满足采购需求中带“▲”条款（共3项），得12分，每一项不满足扣4分，最低0分。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配送时间 (5.0分)</w:t>
            </w:r>
          </w:p>
        </w:tc>
        <w:tc>
          <w:tcPr>
            <w:tcW w:type="dxa" w:w="5076"/>
          </w:tcPr>
          <w:p>
            <w:pPr>
              <w:jc w:val="left"/>
            </w:pPr>
            <w:r>
              <w:rPr/>
              <w:t>根据发生食品安全、卫生、品质服务投诉，以及补充食材等事件，供应商快捷响应的时间进行评审： 1、30（含）分钟内能到达指定送餐点的，得5分； 2、30（不含）-45（含）分钟内到达指定送餐点的，得3分； 3、45（不含）-60（含）分钟内到达指定送餐点的，得1分； 4、60分钟以上的到达指定送餐点的，得0分。 注：提供有效的承诺函，否则不得分。</w:t>
            </w:r>
          </w:p>
        </w:tc>
      </w:tr>
      <w:tr>
        <w:tc>
          <w:tcPr>
            <w:tcW w:type="dxa" w:w="922"/>
            <w:gridSpan w:val="2"/>
            <w:vMerge/>
          </w:tcPr>
          <w:p/>
        </w:tc>
        <w:tc>
          <w:tcPr>
            <w:tcW w:type="dxa" w:w="2307"/>
          </w:tcPr>
          <w:p>
            <w:pPr>
              <w:jc w:val="left"/>
            </w:pPr>
            <w:r>
              <w:rPr/>
              <w:t>项目人员配置 (8.0分)</w:t>
            </w:r>
          </w:p>
        </w:tc>
        <w:tc>
          <w:tcPr>
            <w:tcW w:type="dxa" w:w="5076"/>
          </w:tcPr>
          <w:p>
            <w:pPr>
              <w:jc w:val="left"/>
            </w:pPr>
            <w:r>
              <w:rPr/>
              <w:t>投标人拟投入本项目的人员中： 1、具有高级食品安全管理员证书得2分，中级得1分，其他不得分，最高得4分； 2、具有高级或以上公共营养师证书得2分，中级得1分，其他不得分，最高得2分； 3、具有高级或以上中式烹调师证书得2分，中级得1分，其他不得分，最高得2分； 本项最高得8分。 注：提供证书复印件及投标人为上述人员购买的开标日前六个月以来任意一个月的社保或单位代缴个税税单证明文件，无提供不得分。</w:t>
            </w:r>
          </w:p>
        </w:tc>
      </w:tr>
      <w:tr>
        <w:tc>
          <w:tcPr>
            <w:tcW w:type="dxa" w:w="922"/>
            <w:gridSpan w:val="2"/>
            <w:vMerge/>
          </w:tcPr>
          <w:p/>
        </w:tc>
        <w:tc>
          <w:tcPr>
            <w:tcW w:type="dxa" w:w="2307"/>
          </w:tcPr>
          <w:p>
            <w:pPr>
              <w:jc w:val="left"/>
            </w:pPr>
            <w:r>
              <w:rPr/>
              <w:t>项目经营方案（一） (6.0分)</w:t>
            </w:r>
          </w:p>
        </w:tc>
        <w:tc>
          <w:tcPr>
            <w:tcW w:type="dxa" w:w="5076"/>
          </w:tcPr>
          <w:p>
            <w:pPr>
              <w:jc w:val="left"/>
            </w:pPr>
            <w:r>
              <w:rPr/>
              <w:t>根据投标人提供的项目经营方案进行综合评价，方案（投标文件中方案标题应以下列要求名称命名）包括但不仅限于： 1、项目人员构架（非具体人员配置）； 2、餐品制作流程； 3、质量保障措施，包括食品卫生安全的具体保证措施、餐具消毒的具体措施等。 注：方案涉及以上全部内容得6分，每缺1项扣2分。</w:t>
            </w:r>
          </w:p>
        </w:tc>
      </w:tr>
      <w:tr>
        <w:tc>
          <w:tcPr>
            <w:tcW w:type="dxa" w:w="922"/>
            <w:gridSpan w:val="2"/>
            <w:vMerge/>
          </w:tcPr>
          <w:p/>
        </w:tc>
        <w:tc>
          <w:tcPr>
            <w:tcW w:type="dxa" w:w="2307"/>
          </w:tcPr>
          <w:p>
            <w:pPr>
              <w:jc w:val="left"/>
            </w:pPr>
            <w:r>
              <w:rPr/>
              <w:t>项目经营方案（二） (8.0分)</w:t>
            </w:r>
          </w:p>
        </w:tc>
        <w:tc>
          <w:tcPr>
            <w:tcW w:type="dxa" w:w="5076"/>
          </w:tcPr>
          <w:p>
            <w:pPr>
              <w:jc w:val="left"/>
            </w:pPr>
            <w:r>
              <w:rPr/>
              <w:t>1、构架环环相扣、清晰而不紊乱，工艺流程严谨细致，措施具体、合理，内容完整，表述准确、条理清晰，内容无前后矛盾，符合项目实际且利于落地，各经营门店资源丰富且可共享，得8分； 2、构架清晰而不紊乱，工艺流程较严谨较细致，措施较具体、较合理，内容较完整，有详细描述，部分符合项目实际且可落地，各经营门店资源较丰富可共享，得5分；  3、构架不紊乱，工艺流程不够严谨不够细致，措施部分具体、部分合理，部分符合项目实际，各经营门店有少量资源可共享，得3分； 4、构架紊乱，工艺流程不够严谨不够细致，措施不具体、不合理，不符合项目实际，无其他经营门店资源共享，得1分； 5、无或其他不得分。</w:t>
            </w:r>
          </w:p>
        </w:tc>
      </w:tr>
      <w:tr>
        <w:tc>
          <w:tcPr>
            <w:tcW w:type="dxa" w:w="922"/>
            <w:gridSpan w:val="2"/>
            <w:vMerge/>
          </w:tcPr>
          <w:p/>
        </w:tc>
        <w:tc>
          <w:tcPr>
            <w:tcW w:type="dxa" w:w="2307"/>
          </w:tcPr>
          <w:p>
            <w:pPr>
              <w:jc w:val="left"/>
            </w:pPr>
            <w:r>
              <w:rPr/>
              <w:t>突发事件处理方案（一） (3.0分)</w:t>
            </w:r>
          </w:p>
        </w:tc>
        <w:tc>
          <w:tcPr>
            <w:tcW w:type="dxa" w:w="5076"/>
          </w:tcPr>
          <w:p>
            <w:pPr>
              <w:jc w:val="left"/>
            </w:pPr>
            <w:r>
              <w:rPr/>
              <w:t>根据投标人提供的突发事件处理方案进行综合评价，方案（投标文件中方案标题应以下列要求名称命名）包括但不仅限于： 1、配送服务全过程中突发事件的风险点和预防措施； 2、配送服务全过程中突发事件的应对流程和处理措施； 3、项目执行过程中采购人的紧急情况、突发事情的处理方案。 注：方案涉及以上全部内容得3分，每缺1项扣1分。</w:t>
            </w:r>
          </w:p>
        </w:tc>
      </w:tr>
      <w:tr>
        <w:tc>
          <w:tcPr>
            <w:tcW w:type="dxa" w:w="922"/>
            <w:gridSpan w:val="2"/>
            <w:vMerge/>
          </w:tcPr>
          <w:p/>
        </w:tc>
        <w:tc>
          <w:tcPr>
            <w:tcW w:type="dxa" w:w="2307"/>
          </w:tcPr>
          <w:p>
            <w:pPr>
              <w:jc w:val="left"/>
            </w:pPr>
            <w:r>
              <w:rPr/>
              <w:t>突发事件处理方案（二） (5.0分)</w:t>
            </w:r>
          </w:p>
        </w:tc>
        <w:tc>
          <w:tcPr>
            <w:tcW w:type="dxa" w:w="5076"/>
          </w:tcPr>
          <w:p>
            <w:pPr>
              <w:jc w:val="left"/>
            </w:pPr>
            <w:r>
              <w:rPr/>
              <w:t>1、方案描述详细、合理、可行性高，应急方案完善，得5分； 2、方案描述较为详细、合理、具有一定的可行性，应急方案较完善，得4分； 3、方案描述完整但不够详细、合理性一般，应急方案不够完善，得3分； 4、方案描述泛泛而谈，内容空洞，基本不具有合理性，得1分； 5、无或其他不得分。</w:t>
            </w:r>
          </w:p>
        </w:tc>
      </w:tr>
      <w:tr>
        <w:tc>
          <w:tcPr>
            <w:tcW w:type="dxa" w:w="922"/>
            <w:gridSpan w:val="2"/>
            <w:vMerge/>
          </w:tcPr>
          <w:p/>
        </w:tc>
        <w:tc>
          <w:tcPr>
            <w:tcW w:type="dxa" w:w="2307"/>
          </w:tcPr>
          <w:p>
            <w:pPr>
              <w:jc w:val="left"/>
            </w:pPr>
            <w:r>
              <w:rPr/>
              <w:t>原材料来源控制（一） (6.0分)</w:t>
            </w:r>
          </w:p>
        </w:tc>
        <w:tc>
          <w:tcPr>
            <w:tcW w:type="dxa" w:w="5076"/>
          </w:tcPr>
          <w:p>
            <w:pPr>
              <w:jc w:val="left"/>
            </w:pPr>
            <w:r>
              <w:rPr/>
              <w:t>根据投标人提供的原材料来源控制进行综合评价，方案（投标文件中方案标题应以下列要求名称命名）包括但不仅限于： 1、安全可靠的食材采购制度； 2、溯源（追溯源头）制度； 3、不采购战备肉和僵尸肉的声明。 注：方案涉及以上全部内容得6分，每缺1项扣2分。</w:t>
            </w:r>
          </w:p>
        </w:tc>
      </w:tr>
      <w:tr>
        <w:tc>
          <w:tcPr>
            <w:tcW w:type="dxa" w:w="922"/>
            <w:gridSpan w:val="2"/>
            <w:vMerge/>
          </w:tcPr>
          <w:p/>
        </w:tc>
        <w:tc>
          <w:tcPr>
            <w:tcW w:type="dxa" w:w="2307"/>
          </w:tcPr>
          <w:p>
            <w:pPr>
              <w:jc w:val="left"/>
            </w:pPr>
            <w:r>
              <w:rPr/>
              <w:t>原材料来源控制（二） (4.0分)</w:t>
            </w:r>
          </w:p>
        </w:tc>
        <w:tc>
          <w:tcPr>
            <w:tcW w:type="dxa" w:w="5076"/>
          </w:tcPr>
          <w:p>
            <w:pPr>
              <w:jc w:val="left"/>
            </w:pPr>
            <w:r>
              <w:rPr/>
              <w:t>1、制度方案等具体、完善，检测设备能完全满足项目需要， 得4分；  2、制度方案等较具体、较完善，检测设备能基本满足项目需要， 得3分； 3、制度方案等部分具体、不够完善，检测设备能部分满足项目需要，得2分； 4、制度方案等不具体、不完善，检测设备不能满足项目需要， 得1分； 5、无或其他不得分。</w:t>
            </w:r>
          </w:p>
        </w:tc>
      </w:tr>
      <w:tr>
        <w:tc>
          <w:tcPr>
            <w:tcW w:type="dxa" w:w="922"/>
            <w:gridSpan w:val="2"/>
            <w:vMerge/>
          </w:tcPr>
          <w:p/>
        </w:tc>
        <w:tc>
          <w:tcPr>
            <w:tcW w:type="dxa" w:w="2307"/>
          </w:tcPr>
          <w:p>
            <w:pPr>
              <w:jc w:val="left"/>
            </w:pPr>
            <w:r>
              <w:rPr/>
              <w:t>投标人关于本项目其他制度 (3.0分)</w:t>
            </w:r>
          </w:p>
        </w:tc>
        <w:tc>
          <w:tcPr>
            <w:tcW w:type="dxa" w:w="5076"/>
          </w:tcPr>
          <w:p>
            <w:pPr>
              <w:jc w:val="left"/>
            </w:pPr>
            <w:r>
              <w:rPr/>
              <w:t>根据投标人关于本项目其他制度进行综合评价，制度（投标文件中方案标题应以下列要求名称命名）包括但不仅限于： 1、客户意见投诉处理制度； 2、人员绩效考核制度； 3、其他根据本项目需要拟定的制度。 注：制度涉及以上全部内容得3分，每缺1项扣1分。</w:t>
            </w:r>
          </w:p>
        </w:tc>
      </w:tr>
      <w:tr>
        <w:tc>
          <w:tcPr>
            <w:tcW w:type="dxa" w:w="922"/>
            <w:gridSpan w:val="2"/>
            <w:vMerge w:val="restart"/>
          </w:tcPr>
          <w:p>
            <w:pPr>
              <w:jc w:val="center"/>
            </w:pPr>
            <w:r>
              <w:rPr/>
              <w:t>商务部分</w:t>
            </w:r>
          </w:p>
        </w:tc>
        <w:tc>
          <w:tcPr>
            <w:tcW w:type="dxa" w:w="2307"/>
          </w:tcPr>
          <w:p>
            <w:pPr>
              <w:jc w:val="left"/>
            </w:pPr>
            <w:r>
              <w:rPr/>
              <w:t>投标人食品安全情况 (10.0分)</w:t>
            </w:r>
          </w:p>
        </w:tc>
        <w:tc>
          <w:tcPr>
            <w:tcW w:type="dxa" w:w="5076"/>
          </w:tcPr>
          <w:p>
            <w:pPr>
              <w:jc w:val="left"/>
            </w:pPr>
            <w:r>
              <w:rPr/>
              <w:t>投标人所经营或承包的配餐场所的食品安全等级公示情况： A级：10分，B级：3分，C级：1分； 注：提供租赁合同（或产权证明）及餐饮服务食品安全等级公示牌复印件；不提供不得分。</w:t>
            </w:r>
          </w:p>
        </w:tc>
      </w:tr>
      <w:tr>
        <w:tc>
          <w:tcPr>
            <w:tcW w:type="dxa" w:w="922"/>
            <w:gridSpan w:val="2"/>
            <w:vMerge/>
          </w:tcPr>
          <w:p/>
        </w:tc>
        <w:tc>
          <w:tcPr>
            <w:tcW w:type="dxa" w:w="2307"/>
          </w:tcPr>
          <w:p>
            <w:pPr>
              <w:jc w:val="left"/>
            </w:pPr>
            <w:r>
              <w:rPr/>
              <w:t>同类项目业绩情况 (10.0分)</w:t>
            </w:r>
          </w:p>
        </w:tc>
        <w:tc>
          <w:tcPr>
            <w:tcW w:type="dxa" w:w="5076"/>
          </w:tcPr>
          <w:p>
            <w:pPr>
              <w:jc w:val="left"/>
            </w:pPr>
            <w:r>
              <w:rPr/>
              <w:t>2020年1月1日至今承接过的同类配餐项目（须含送餐及堂食内容），每一项2分，总分不超过10分。 注：须提供合同复印件，不提供证明文件或专家无法认定的不得分。</w:t>
            </w:r>
          </w:p>
        </w:tc>
      </w:tr>
      <w:tr>
        <w:tc>
          <w:tcPr>
            <w:tcW w:type="dxa" w:w="922"/>
            <w:gridSpan w:val="2"/>
            <w:vMerge/>
          </w:tcPr>
          <w:p/>
        </w:tc>
        <w:tc>
          <w:tcPr>
            <w:tcW w:type="dxa" w:w="2307"/>
          </w:tcPr>
          <w:p>
            <w:pPr>
              <w:jc w:val="left"/>
            </w:pPr>
            <w:r>
              <w:rPr/>
              <w:t>体系认证 (10.0分)</w:t>
            </w:r>
          </w:p>
        </w:tc>
        <w:tc>
          <w:tcPr>
            <w:tcW w:type="dxa" w:w="5076"/>
          </w:tcPr>
          <w:p>
            <w:pPr>
              <w:jc w:val="left"/>
            </w:pPr>
            <w:r>
              <w:rPr/>
              <w:t>供应商具有以下认证证书的，每提供一项得2分，最高10分。 1、质量管理体系认证； 2、环境管理体系认证； 3、职业健康安全管理体系认证； 4、食品安全管理体系认证； 5、危害分析与关键控制点HACCP体系认证。 注：提供证书复印件加盖供应商公章，且在有效期内，不提供不得分。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满足招标文件要求且投标价格最低的投标报价（投标折扣率）为评标基准价。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采购包3(江海点配餐服务点3):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“▲”条款响应程度 (12.0分)</w:t>
            </w:r>
          </w:p>
        </w:tc>
        <w:tc>
          <w:tcPr>
            <w:tcW w:type="dxa" w:w="5076"/>
          </w:tcPr>
          <w:p>
            <w:pPr>
              <w:jc w:val="left"/>
            </w:pPr>
            <w:r>
              <w:rPr/>
              <w:t>满足采购需求中带“▲”条款（共3项），得12分，每一项不满足扣4分，最低0分。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配送时间 (5.0分)</w:t>
            </w:r>
          </w:p>
        </w:tc>
        <w:tc>
          <w:tcPr>
            <w:tcW w:type="dxa" w:w="5076"/>
          </w:tcPr>
          <w:p>
            <w:pPr>
              <w:jc w:val="left"/>
            </w:pPr>
            <w:r>
              <w:rPr/>
              <w:t>根据发生食品安全、卫生、品质服务投诉，以及补充食材等事件，供应商快捷响应的时间进行评审： 1、30（含）分钟内能到达指定送餐点的，得5分； 2、30（不含）-45（含）分钟内到达指定送餐点的，得3分； 3、45（不含）-60（含）分钟内到达指定送餐点的，得1分； 4、60分钟以上的到达指定送餐点的，得0分。 注：提供有效的承诺函，否则不得分。</w:t>
            </w:r>
          </w:p>
        </w:tc>
      </w:tr>
      <w:tr>
        <w:tc>
          <w:tcPr>
            <w:tcW w:type="dxa" w:w="922"/>
            <w:gridSpan w:val="2"/>
            <w:vMerge/>
          </w:tcPr>
          <w:p/>
        </w:tc>
        <w:tc>
          <w:tcPr>
            <w:tcW w:type="dxa" w:w="2307"/>
          </w:tcPr>
          <w:p>
            <w:pPr>
              <w:jc w:val="left"/>
            </w:pPr>
            <w:r>
              <w:rPr/>
              <w:t>项目人员配置 (8.0分)</w:t>
            </w:r>
          </w:p>
        </w:tc>
        <w:tc>
          <w:tcPr>
            <w:tcW w:type="dxa" w:w="5076"/>
          </w:tcPr>
          <w:p>
            <w:pPr>
              <w:jc w:val="left"/>
            </w:pPr>
            <w:r>
              <w:rPr/>
              <w:t>投标人拟投入本项目的人员中： 1、具有高级食品安全管理员证书得2分，中级得1分，其他不得分，最高得4分； 2、具有高级或以上公共营养师证书得2分，中级得1分，其他不得分，最高得2分； 3、具有高级或以上中式烹调师证书得2分，中级得1分，其他不得分，最高得2分； 本项最高得8分。 注：提供证书复印件及投标人为上述人员购买的开标日前六个月以来任意一个月的社保或单位代缴个税税单证明文件，无提供不得分。</w:t>
            </w:r>
          </w:p>
        </w:tc>
      </w:tr>
      <w:tr>
        <w:tc>
          <w:tcPr>
            <w:tcW w:type="dxa" w:w="922"/>
            <w:gridSpan w:val="2"/>
            <w:vMerge/>
          </w:tcPr>
          <w:p/>
        </w:tc>
        <w:tc>
          <w:tcPr>
            <w:tcW w:type="dxa" w:w="2307"/>
          </w:tcPr>
          <w:p>
            <w:pPr>
              <w:jc w:val="left"/>
            </w:pPr>
            <w:r>
              <w:rPr/>
              <w:t>项目经营方案（一） (6.0分)</w:t>
            </w:r>
          </w:p>
        </w:tc>
        <w:tc>
          <w:tcPr>
            <w:tcW w:type="dxa" w:w="5076"/>
          </w:tcPr>
          <w:p>
            <w:pPr>
              <w:jc w:val="left"/>
            </w:pPr>
            <w:r>
              <w:rPr/>
              <w:t>根据投标人提供的项目经营方案进行综合评价，方案（投标文件中方案标题应以下列要求名称命名）包括但不仅限于： 1、项目人员构架（非具体人员配置）； 2、餐品制作流程； 3、质量保障措施，包括食品卫生安全的具体保证措施、餐具消毒的具体措施等。 注：方案涉及以上全部内容得6分，每缺1项扣2分。</w:t>
            </w:r>
          </w:p>
        </w:tc>
      </w:tr>
      <w:tr>
        <w:tc>
          <w:tcPr>
            <w:tcW w:type="dxa" w:w="922"/>
            <w:gridSpan w:val="2"/>
            <w:vMerge/>
          </w:tcPr>
          <w:p/>
        </w:tc>
        <w:tc>
          <w:tcPr>
            <w:tcW w:type="dxa" w:w="2307"/>
          </w:tcPr>
          <w:p>
            <w:pPr>
              <w:jc w:val="left"/>
            </w:pPr>
            <w:r>
              <w:rPr/>
              <w:t>项目经营方案（二） (8.0分)</w:t>
            </w:r>
          </w:p>
        </w:tc>
        <w:tc>
          <w:tcPr>
            <w:tcW w:type="dxa" w:w="5076"/>
          </w:tcPr>
          <w:p>
            <w:pPr>
              <w:jc w:val="left"/>
            </w:pPr>
            <w:r>
              <w:rPr/>
              <w:t>1、构架环环相扣、清晰而不紊乱，工艺流程严谨细致，措施具体、合理，内容完整，表述准确、条理清晰，内容无前后矛盾，符合项目实际且利于落地，各经营门店资源丰富且可共享，得8分； 2、构架清晰而不紊乱，工艺流程较严谨较细致，措施较具体、较合理，内容较完整，有详细描述，部分符合项目实际且可落地，各经营门店资源较丰富可共享，得5分；  3、构架不紊乱，工艺流程不够严谨不够细致，措施部分具体、部分合理，部分符合项目实际，各经营门店有少量资源可共享，得3分； 4、构架紊乱，工艺流程不够严谨不够细致，措施不具体、不合理，不符合项目实际，无其他经营门店资源共享，得1分； 5、无或其他不得分。</w:t>
            </w:r>
          </w:p>
        </w:tc>
      </w:tr>
      <w:tr>
        <w:tc>
          <w:tcPr>
            <w:tcW w:type="dxa" w:w="922"/>
            <w:gridSpan w:val="2"/>
            <w:vMerge/>
          </w:tcPr>
          <w:p/>
        </w:tc>
        <w:tc>
          <w:tcPr>
            <w:tcW w:type="dxa" w:w="2307"/>
          </w:tcPr>
          <w:p>
            <w:pPr>
              <w:jc w:val="left"/>
            </w:pPr>
            <w:r>
              <w:rPr/>
              <w:t>突发事件处理方案（一） (3.0分)</w:t>
            </w:r>
          </w:p>
        </w:tc>
        <w:tc>
          <w:tcPr>
            <w:tcW w:type="dxa" w:w="5076"/>
          </w:tcPr>
          <w:p>
            <w:pPr>
              <w:jc w:val="left"/>
            </w:pPr>
            <w:r>
              <w:rPr/>
              <w:t>根据投标人提供的突发事件处理方案进行综合评价，方案（投标文件中方案标题应以下列要求名称命名）包括但不仅限于： 1、配送服务全过程中突发事件的风险点和预防措施； 2、配送服务全过程中突发事件的应对流程和处理措施； 3、项目执行过程中采购人的紧急情况、突发事情的处理方案。 注：方案涉及以上全部内容得3分，每缺1项扣1分。</w:t>
            </w:r>
          </w:p>
        </w:tc>
      </w:tr>
      <w:tr>
        <w:tc>
          <w:tcPr>
            <w:tcW w:type="dxa" w:w="922"/>
            <w:gridSpan w:val="2"/>
            <w:vMerge/>
          </w:tcPr>
          <w:p/>
        </w:tc>
        <w:tc>
          <w:tcPr>
            <w:tcW w:type="dxa" w:w="2307"/>
          </w:tcPr>
          <w:p>
            <w:pPr>
              <w:jc w:val="left"/>
            </w:pPr>
            <w:r>
              <w:rPr/>
              <w:t>突发事件处理方案（二） (5.0分)</w:t>
            </w:r>
          </w:p>
        </w:tc>
        <w:tc>
          <w:tcPr>
            <w:tcW w:type="dxa" w:w="5076"/>
          </w:tcPr>
          <w:p>
            <w:pPr>
              <w:jc w:val="left"/>
            </w:pPr>
            <w:r>
              <w:rPr/>
              <w:t>1、方案描述详细、合理、可行性高，应急方案完善，得5分； 2、方案描述较为详细、合理、具有一定的可行性，应急方案较完善，得4分； 3、方案描述完整但不够详细、合理性一般，应急方案不够完善，得3分； 4、方案描述泛泛而谈，内容空洞，基本不具有合理性，得1分； 5、无或其他不得分。</w:t>
            </w:r>
          </w:p>
        </w:tc>
      </w:tr>
      <w:tr>
        <w:tc>
          <w:tcPr>
            <w:tcW w:type="dxa" w:w="922"/>
            <w:gridSpan w:val="2"/>
            <w:vMerge/>
          </w:tcPr>
          <w:p/>
        </w:tc>
        <w:tc>
          <w:tcPr>
            <w:tcW w:type="dxa" w:w="2307"/>
          </w:tcPr>
          <w:p>
            <w:pPr>
              <w:jc w:val="left"/>
            </w:pPr>
            <w:r>
              <w:rPr/>
              <w:t>原材料来源控制（一） (6.0分)</w:t>
            </w:r>
          </w:p>
        </w:tc>
        <w:tc>
          <w:tcPr>
            <w:tcW w:type="dxa" w:w="5076"/>
          </w:tcPr>
          <w:p>
            <w:pPr>
              <w:jc w:val="left"/>
            </w:pPr>
            <w:r>
              <w:rPr/>
              <w:t>根据投标人提供的原材料来源控制进行综合评价，方案（投标文件中方案标题应以下列要求名称命名）包括但不仅限于： 1、安全可靠的食材采购制度； 2、溯源（追溯源头）制度； 3、不采购战备肉和僵尸肉的声明。 注：方案涉及以上全部内容得6分，每缺1项扣2分。</w:t>
            </w:r>
          </w:p>
        </w:tc>
      </w:tr>
      <w:tr>
        <w:tc>
          <w:tcPr>
            <w:tcW w:type="dxa" w:w="922"/>
            <w:gridSpan w:val="2"/>
            <w:vMerge/>
          </w:tcPr>
          <w:p/>
        </w:tc>
        <w:tc>
          <w:tcPr>
            <w:tcW w:type="dxa" w:w="2307"/>
          </w:tcPr>
          <w:p>
            <w:pPr>
              <w:jc w:val="left"/>
            </w:pPr>
            <w:r>
              <w:rPr/>
              <w:t>原材料来源控制（二） (4.0分)</w:t>
            </w:r>
          </w:p>
        </w:tc>
        <w:tc>
          <w:tcPr>
            <w:tcW w:type="dxa" w:w="5076"/>
          </w:tcPr>
          <w:p>
            <w:pPr>
              <w:jc w:val="left"/>
            </w:pPr>
            <w:r>
              <w:rPr/>
              <w:t>1、制度方案等具体、完善，检测设备能完全满足项目需要， 得4分；  2、制度方案等较具体、较完善，检测设备能基本满足项目需要， 得3分； 3、制度方案等部分具体、不够完善，检测设备能部分满足项目需要，得2分； 4、制度方案等不具体、不完善，检测设备不能满足项目需要， 得1分； 5、无或其他不得分。</w:t>
            </w:r>
          </w:p>
        </w:tc>
      </w:tr>
      <w:tr>
        <w:tc>
          <w:tcPr>
            <w:tcW w:type="dxa" w:w="922"/>
            <w:gridSpan w:val="2"/>
            <w:vMerge/>
          </w:tcPr>
          <w:p/>
        </w:tc>
        <w:tc>
          <w:tcPr>
            <w:tcW w:type="dxa" w:w="2307"/>
          </w:tcPr>
          <w:p>
            <w:pPr>
              <w:jc w:val="left"/>
            </w:pPr>
            <w:r>
              <w:rPr/>
              <w:t>投标人关于本项目其他制度 (3.0分)</w:t>
            </w:r>
          </w:p>
        </w:tc>
        <w:tc>
          <w:tcPr>
            <w:tcW w:type="dxa" w:w="5076"/>
          </w:tcPr>
          <w:p>
            <w:pPr>
              <w:jc w:val="left"/>
            </w:pPr>
            <w:r>
              <w:rPr/>
              <w:t>根据投标人关于本项目其他制度进行综合评价，制度（投标文件中方案标题应以下列要求名称命名）包括但不仅限于： 1、客户意见投诉处理制度； 2、人员绩效考核制度； 3、其他根据本项目需要拟定的制度。 注：制度涉及以上全部内容得3分，每缺1项扣1分。</w:t>
            </w:r>
          </w:p>
        </w:tc>
      </w:tr>
      <w:tr>
        <w:tc>
          <w:tcPr>
            <w:tcW w:type="dxa" w:w="922"/>
            <w:gridSpan w:val="2"/>
            <w:vMerge w:val="restart"/>
          </w:tcPr>
          <w:p>
            <w:pPr>
              <w:jc w:val="center"/>
            </w:pPr>
            <w:r>
              <w:rPr/>
              <w:t>商务部分</w:t>
            </w:r>
          </w:p>
        </w:tc>
        <w:tc>
          <w:tcPr>
            <w:tcW w:type="dxa" w:w="2307"/>
          </w:tcPr>
          <w:p>
            <w:pPr>
              <w:jc w:val="left"/>
            </w:pPr>
            <w:r>
              <w:rPr/>
              <w:t>投标人食品安全情况 (10.0分)</w:t>
            </w:r>
          </w:p>
        </w:tc>
        <w:tc>
          <w:tcPr>
            <w:tcW w:type="dxa" w:w="5076"/>
          </w:tcPr>
          <w:p>
            <w:pPr>
              <w:jc w:val="left"/>
            </w:pPr>
            <w:r>
              <w:rPr/>
              <w:t>投标人所经营或承包的配餐场所的食品安全等级公示情况： A级：10分，B级：3分，C级：1分； 注：提供租赁合同（或产权证明）及餐饮服务食品安全等级公示牌复印件；不提供不得分。</w:t>
            </w:r>
          </w:p>
        </w:tc>
      </w:tr>
      <w:tr>
        <w:tc>
          <w:tcPr>
            <w:tcW w:type="dxa" w:w="922"/>
            <w:gridSpan w:val="2"/>
            <w:vMerge/>
          </w:tcPr>
          <w:p/>
        </w:tc>
        <w:tc>
          <w:tcPr>
            <w:tcW w:type="dxa" w:w="2307"/>
          </w:tcPr>
          <w:p>
            <w:pPr>
              <w:jc w:val="left"/>
            </w:pPr>
            <w:r>
              <w:rPr/>
              <w:t>同类项目业绩情况 (10.0分)</w:t>
            </w:r>
          </w:p>
        </w:tc>
        <w:tc>
          <w:tcPr>
            <w:tcW w:type="dxa" w:w="5076"/>
          </w:tcPr>
          <w:p>
            <w:pPr>
              <w:jc w:val="left"/>
            </w:pPr>
            <w:r>
              <w:rPr/>
              <w:t>2020年1月1日至今承接过的同类配餐项目（须含送餐及堂食内容），每一项2分，总分不超过10分。 注：须提供合同复印件，不提供证明文件或专家无法认定的不得分。</w:t>
            </w:r>
          </w:p>
        </w:tc>
      </w:tr>
      <w:tr>
        <w:tc>
          <w:tcPr>
            <w:tcW w:type="dxa" w:w="922"/>
            <w:gridSpan w:val="2"/>
            <w:vMerge/>
          </w:tcPr>
          <w:p/>
        </w:tc>
        <w:tc>
          <w:tcPr>
            <w:tcW w:type="dxa" w:w="2307"/>
          </w:tcPr>
          <w:p>
            <w:pPr>
              <w:jc w:val="left"/>
            </w:pPr>
            <w:r>
              <w:rPr/>
              <w:t>体系认证 (10.0分)</w:t>
            </w:r>
          </w:p>
        </w:tc>
        <w:tc>
          <w:tcPr>
            <w:tcW w:type="dxa" w:w="5076"/>
          </w:tcPr>
          <w:p>
            <w:pPr>
              <w:jc w:val="left"/>
            </w:pPr>
            <w:r>
              <w:rPr/>
              <w:t>供应商具有以下认证证书的，每提供一项得2分，最高10分。 1、质量管理体系认证； 2、环境管理体系认证； 3、职业健康安全管理体系认证； 4、食品安全管理体系认证； 5、危害分析与关键控制点HACCP体系认证。 注：提供证书复印件加盖供应商公章，且在有效期内，不提供不得分。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满足招标文件要求且投标价格最低的投标报价（投标折扣率）为评标基准价。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采购包4(广州大道配餐服务点4):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“▲”条款响应程度 (12.0分)</w:t>
            </w:r>
          </w:p>
        </w:tc>
        <w:tc>
          <w:tcPr>
            <w:tcW w:type="dxa" w:w="5076"/>
          </w:tcPr>
          <w:p>
            <w:pPr>
              <w:jc w:val="left"/>
            </w:pPr>
            <w:r>
              <w:rPr/>
              <w:t>满足采购需求中带“▲”条款（共3项），得12分，每一项不满足扣4分，最低0分。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配送时间 (5.0分)</w:t>
            </w:r>
          </w:p>
        </w:tc>
        <w:tc>
          <w:tcPr>
            <w:tcW w:type="dxa" w:w="5076"/>
          </w:tcPr>
          <w:p>
            <w:pPr>
              <w:jc w:val="left"/>
            </w:pPr>
            <w:r>
              <w:rPr/>
              <w:t>根据发生食品安全、卫生、品质服务投诉，以及补充食材等事件，供应商快捷响应的时间进行评审： 1、30（含）分钟内能到达指定送餐点的，得5分； 2、30（不含）-45（含）分钟内到达指定送餐点的，得3分； 3、45（不含）-60（含）分钟内到达指定送餐点的，得1分； 4、60分钟以上的到达指定送餐点的，得0分。 注：提供有效的承诺函，否则不得分。</w:t>
            </w:r>
          </w:p>
        </w:tc>
      </w:tr>
      <w:tr>
        <w:tc>
          <w:tcPr>
            <w:tcW w:type="dxa" w:w="922"/>
            <w:gridSpan w:val="2"/>
            <w:vMerge/>
          </w:tcPr>
          <w:p/>
        </w:tc>
        <w:tc>
          <w:tcPr>
            <w:tcW w:type="dxa" w:w="2307"/>
          </w:tcPr>
          <w:p>
            <w:pPr>
              <w:jc w:val="left"/>
            </w:pPr>
            <w:r>
              <w:rPr/>
              <w:t>项目人员配置 (8.0分)</w:t>
            </w:r>
          </w:p>
        </w:tc>
        <w:tc>
          <w:tcPr>
            <w:tcW w:type="dxa" w:w="5076"/>
          </w:tcPr>
          <w:p>
            <w:pPr>
              <w:jc w:val="left"/>
            </w:pPr>
            <w:r>
              <w:rPr/>
              <w:t>投标人拟投入本项目的人员中： 1、具有高级食品安全管理员证书得2分，中级得1分，其他不得分，最高得4分； 2、具有高级或以上公共营养师证书得2分，中级得1分，其他不得分，最高得2分； 3、具有高级或以上中式烹调师证书得2分，中级得1分，其他不得分，最高得2分； 本项最高得8分。 注：提供证书复印件及投标人为上述人员购买的开标日前六个月以来任意一个月的社保或单位代缴个税税单证明文件，无提供不得分。</w:t>
            </w:r>
          </w:p>
        </w:tc>
      </w:tr>
      <w:tr>
        <w:tc>
          <w:tcPr>
            <w:tcW w:type="dxa" w:w="922"/>
            <w:gridSpan w:val="2"/>
            <w:vMerge/>
          </w:tcPr>
          <w:p/>
        </w:tc>
        <w:tc>
          <w:tcPr>
            <w:tcW w:type="dxa" w:w="2307"/>
          </w:tcPr>
          <w:p>
            <w:pPr>
              <w:jc w:val="left"/>
            </w:pPr>
            <w:r>
              <w:rPr/>
              <w:t>项目经营方案（一） (6.0分)</w:t>
            </w:r>
          </w:p>
        </w:tc>
        <w:tc>
          <w:tcPr>
            <w:tcW w:type="dxa" w:w="5076"/>
          </w:tcPr>
          <w:p>
            <w:pPr>
              <w:jc w:val="left"/>
            </w:pPr>
            <w:r>
              <w:rPr/>
              <w:t>根据投标人提供的项目经营方案进行综合评价，方案（投标文件中方案标题应以下列要求名称命名）包括但不仅限于： 1、项目人员构架（非具体人员配置）； 2、餐品制作流程； 3、质量保障措施，包括食品卫生安全的具体保证措施、餐具消毒的具体措施等。 注：方案涉及以上全部内容得6分，每缺1项扣2分。</w:t>
            </w:r>
          </w:p>
        </w:tc>
      </w:tr>
      <w:tr>
        <w:tc>
          <w:tcPr>
            <w:tcW w:type="dxa" w:w="922"/>
            <w:gridSpan w:val="2"/>
            <w:vMerge/>
          </w:tcPr>
          <w:p/>
        </w:tc>
        <w:tc>
          <w:tcPr>
            <w:tcW w:type="dxa" w:w="2307"/>
          </w:tcPr>
          <w:p>
            <w:pPr>
              <w:jc w:val="left"/>
            </w:pPr>
            <w:r>
              <w:rPr/>
              <w:t>项目经营方案（二） (8.0分)</w:t>
            </w:r>
          </w:p>
        </w:tc>
        <w:tc>
          <w:tcPr>
            <w:tcW w:type="dxa" w:w="5076"/>
          </w:tcPr>
          <w:p>
            <w:pPr>
              <w:jc w:val="left"/>
            </w:pPr>
            <w:r>
              <w:rPr/>
              <w:t>1、构架环环相扣、清晰而不紊乱，工艺流程严谨细致，措施具体、合理，内容完整，表述准确、条理清晰，内容无前后矛盾，符合项目实际且利于落地，各经营门店资源丰富且可共享，得8分； 2、构架清晰而不紊乱，工艺流程较严谨较细致，措施较具体、较合理，内容较完整，有详细描述，部分符合项目实际且可落地，各经营门店资源较丰富可共享，得5分；  3、构架不紊乱，工艺流程不够严谨不够细致，措施部分具体、部分合理，部分符合项目实际，各经营门店有少量资源可共享，得3分； 4、构架紊乱，工艺流程不够严谨不够细致，措施不具体、不合理，不符合项目实际，无其他经营门店资源共享，得1分； 5、无或其他不得分。</w:t>
            </w:r>
          </w:p>
        </w:tc>
      </w:tr>
      <w:tr>
        <w:tc>
          <w:tcPr>
            <w:tcW w:type="dxa" w:w="922"/>
            <w:gridSpan w:val="2"/>
            <w:vMerge/>
          </w:tcPr>
          <w:p/>
        </w:tc>
        <w:tc>
          <w:tcPr>
            <w:tcW w:type="dxa" w:w="2307"/>
          </w:tcPr>
          <w:p>
            <w:pPr>
              <w:jc w:val="left"/>
            </w:pPr>
            <w:r>
              <w:rPr/>
              <w:t>突发事件处理方案（一） (3.0分)</w:t>
            </w:r>
          </w:p>
        </w:tc>
        <w:tc>
          <w:tcPr>
            <w:tcW w:type="dxa" w:w="5076"/>
          </w:tcPr>
          <w:p>
            <w:pPr>
              <w:jc w:val="left"/>
            </w:pPr>
            <w:r>
              <w:rPr/>
              <w:t>根据投标人提供的突发事件处理方案进行综合评价，方案（投标文件中方案标题应以下列要求名称命名）包括但不仅限于： 1、配送服务全过程中突发事件的风险点和预防措施； 2、配送服务全过程中突发事件的应对流程和处理措施； 3、项目执行过程中采购人的紧急情况、突发事情的处理方案。 注：方案涉及以上全部内容得3分，每缺1项扣1分。</w:t>
            </w:r>
          </w:p>
        </w:tc>
      </w:tr>
      <w:tr>
        <w:tc>
          <w:tcPr>
            <w:tcW w:type="dxa" w:w="922"/>
            <w:gridSpan w:val="2"/>
            <w:vMerge/>
          </w:tcPr>
          <w:p/>
        </w:tc>
        <w:tc>
          <w:tcPr>
            <w:tcW w:type="dxa" w:w="2307"/>
          </w:tcPr>
          <w:p>
            <w:pPr>
              <w:jc w:val="left"/>
            </w:pPr>
            <w:r>
              <w:rPr/>
              <w:t>突发事件处理方案（二） (5.0分)</w:t>
            </w:r>
          </w:p>
        </w:tc>
        <w:tc>
          <w:tcPr>
            <w:tcW w:type="dxa" w:w="5076"/>
          </w:tcPr>
          <w:p>
            <w:pPr>
              <w:jc w:val="left"/>
            </w:pPr>
            <w:r>
              <w:rPr/>
              <w:t>1、方案描述详细、合理、可行性高，应急方案完善，得5分； 2、方案描述较为详细、合理、具有一定的可行性，应急方案较完善，得4分； 3、方案描述完整但不够详细、合理性一般，应急方案不够完善，得3分； 4、方案描述泛泛而谈，内容空洞，基本不具有合理性，得1分； 5、无或其他不得分。</w:t>
            </w:r>
          </w:p>
        </w:tc>
      </w:tr>
      <w:tr>
        <w:tc>
          <w:tcPr>
            <w:tcW w:type="dxa" w:w="922"/>
            <w:gridSpan w:val="2"/>
            <w:vMerge/>
          </w:tcPr>
          <w:p/>
        </w:tc>
        <w:tc>
          <w:tcPr>
            <w:tcW w:type="dxa" w:w="2307"/>
          </w:tcPr>
          <w:p>
            <w:pPr>
              <w:jc w:val="left"/>
            </w:pPr>
            <w:r>
              <w:rPr/>
              <w:t>原材料来源控制（一） (6.0分)</w:t>
            </w:r>
          </w:p>
        </w:tc>
        <w:tc>
          <w:tcPr>
            <w:tcW w:type="dxa" w:w="5076"/>
          </w:tcPr>
          <w:p>
            <w:pPr>
              <w:jc w:val="left"/>
            </w:pPr>
            <w:r>
              <w:rPr/>
              <w:t>根据投标人提供的原材料来源控制进行综合评价，方案（投标文件中方案标题应以下列要求名称命名）包括但不仅限于： 1、安全可靠的食材采购制度； 2、溯源（追溯源头）制度； 3、不采购战备肉和僵尸肉的声明。 注：方案涉及以上全部内容得6分，每缺1项扣2分。</w:t>
            </w:r>
          </w:p>
        </w:tc>
      </w:tr>
      <w:tr>
        <w:tc>
          <w:tcPr>
            <w:tcW w:type="dxa" w:w="922"/>
            <w:gridSpan w:val="2"/>
            <w:vMerge/>
          </w:tcPr>
          <w:p/>
        </w:tc>
        <w:tc>
          <w:tcPr>
            <w:tcW w:type="dxa" w:w="2307"/>
          </w:tcPr>
          <w:p>
            <w:pPr>
              <w:jc w:val="left"/>
            </w:pPr>
            <w:r>
              <w:rPr/>
              <w:t>原材料来源控制（二） (4.0分)</w:t>
            </w:r>
          </w:p>
        </w:tc>
        <w:tc>
          <w:tcPr>
            <w:tcW w:type="dxa" w:w="5076"/>
          </w:tcPr>
          <w:p>
            <w:pPr>
              <w:jc w:val="left"/>
            </w:pPr>
            <w:r>
              <w:rPr/>
              <w:t>1、制度方案等具体、完善，检测设备能完全满足项目需要， 得4分；  2、制度方案等较具体、较完善，检测设备能基本满足项目需要， 得3分； 3、制度方案等部分具体、不够完善，检测设备能部分满足项目需要，得2分； 4、制度方案等不具体、不完善，检测设备不能满足项目需要， 得1分； 5、无或其他不得分。</w:t>
            </w:r>
          </w:p>
        </w:tc>
      </w:tr>
      <w:tr>
        <w:tc>
          <w:tcPr>
            <w:tcW w:type="dxa" w:w="922"/>
            <w:gridSpan w:val="2"/>
            <w:vMerge/>
          </w:tcPr>
          <w:p/>
        </w:tc>
        <w:tc>
          <w:tcPr>
            <w:tcW w:type="dxa" w:w="2307"/>
          </w:tcPr>
          <w:p>
            <w:pPr>
              <w:jc w:val="left"/>
            </w:pPr>
            <w:r>
              <w:rPr/>
              <w:t>投标人关于本项目其他制度 (3.0分)</w:t>
            </w:r>
          </w:p>
        </w:tc>
        <w:tc>
          <w:tcPr>
            <w:tcW w:type="dxa" w:w="5076"/>
          </w:tcPr>
          <w:p>
            <w:pPr>
              <w:jc w:val="left"/>
            </w:pPr>
            <w:r>
              <w:rPr/>
              <w:t>根据投标人关于本项目其他制度进行综合评价，制度（投标文件中方案标题应以下列要求名称命名）包括但不仅限于： 1、客户意见投诉处理制度； 2、人员绩效考核制度； 3、其他根据本项目需要拟定的制度。 注：制度涉及以上全部内容得3分，每缺1项扣1分。</w:t>
            </w:r>
          </w:p>
        </w:tc>
      </w:tr>
      <w:tr>
        <w:tc>
          <w:tcPr>
            <w:tcW w:type="dxa" w:w="922"/>
            <w:gridSpan w:val="2"/>
            <w:vMerge w:val="restart"/>
          </w:tcPr>
          <w:p>
            <w:pPr>
              <w:jc w:val="center"/>
            </w:pPr>
            <w:r>
              <w:rPr/>
              <w:t>商务部分</w:t>
            </w:r>
          </w:p>
        </w:tc>
        <w:tc>
          <w:tcPr>
            <w:tcW w:type="dxa" w:w="2307"/>
          </w:tcPr>
          <w:p>
            <w:pPr>
              <w:jc w:val="left"/>
            </w:pPr>
            <w:r>
              <w:rPr/>
              <w:t>投标人食品安全情况 (10.0分)</w:t>
            </w:r>
          </w:p>
        </w:tc>
        <w:tc>
          <w:tcPr>
            <w:tcW w:type="dxa" w:w="5076"/>
          </w:tcPr>
          <w:p>
            <w:pPr>
              <w:jc w:val="left"/>
            </w:pPr>
            <w:r>
              <w:rPr/>
              <w:t>投标人所经营或承包的配餐场所的食品安全等级公示情况： A级：10分，B级：3分，C级：1分； 注：提供租赁合同（或产权证明）及餐饮服务食品安全等级公示牌复印件；不提供不得分。</w:t>
            </w:r>
          </w:p>
        </w:tc>
      </w:tr>
      <w:tr>
        <w:tc>
          <w:tcPr>
            <w:tcW w:type="dxa" w:w="922"/>
            <w:gridSpan w:val="2"/>
            <w:vMerge/>
          </w:tcPr>
          <w:p/>
        </w:tc>
        <w:tc>
          <w:tcPr>
            <w:tcW w:type="dxa" w:w="2307"/>
          </w:tcPr>
          <w:p>
            <w:pPr>
              <w:jc w:val="left"/>
            </w:pPr>
            <w:r>
              <w:rPr/>
              <w:t>同类项目业绩情况 (10.0分)</w:t>
            </w:r>
          </w:p>
        </w:tc>
        <w:tc>
          <w:tcPr>
            <w:tcW w:type="dxa" w:w="5076"/>
          </w:tcPr>
          <w:p>
            <w:pPr>
              <w:jc w:val="left"/>
            </w:pPr>
            <w:r>
              <w:rPr/>
              <w:t>2020年1月1日至今承接过的同类配餐项目（须含送餐及堂食内容），每一项2分，总分不超过10分。 注：须提供合同复印件，不提供证明文件或专家无法认定的不得分。</w:t>
            </w:r>
          </w:p>
        </w:tc>
      </w:tr>
      <w:tr>
        <w:tc>
          <w:tcPr>
            <w:tcW w:type="dxa" w:w="922"/>
            <w:gridSpan w:val="2"/>
            <w:vMerge/>
          </w:tcPr>
          <w:p/>
        </w:tc>
        <w:tc>
          <w:tcPr>
            <w:tcW w:type="dxa" w:w="2307"/>
          </w:tcPr>
          <w:p>
            <w:pPr>
              <w:jc w:val="left"/>
            </w:pPr>
            <w:r>
              <w:rPr/>
              <w:t>体系认证 (10.0分)</w:t>
            </w:r>
          </w:p>
        </w:tc>
        <w:tc>
          <w:tcPr>
            <w:tcW w:type="dxa" w:w="5076"/>
          </w:tcPr>
          <w:p>
            <w:pPr>
              <w:jc w:val="left"/>
            </w:pPr>
            <w:r>
              <w:rPr/>
              <w:t>供应商具有以下认证证书的，每提供一项得2分，最高10分。 1、质量管理体系认证； 2、环境管理体系认证； 3、职业健康安全管理体系认证； 4、食品安全管理体系认证； 5、危害分析与关键控制点HACCP体系认证。 注：提供证书复印件加盖供应商公章，且在有效期内，不提供不得分。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满足招标文件要求且投标价格最低的投标报价（投标折扣率）为评标基准价。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采购包5(广州大道配餐服务点5):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“▲”条款响应程度 (12.0分)</w:t>
            </w:r>
          </w:p>
        </w:tc>
        <w:tc>
          <w:tcPr>
            <w:tcW w:type="dxa" w:w="5076"/>
          </w:tcPr>
          <w:p>
            <w:pPr>
              <w:jc w:val="left"/>
            </w:pPr>
            <w:r>
              <w:rPr/>
              <w:t>满足采购需求中带“▲”条款（共3项），得12分，每一项不满足扣4分，最低0分。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配送时间 (5.0分)</w:t>
            </w:r>
          </w:p>
        </w:tc>
        <w:tc>
          <w:tcPr>
            <w:tcW w:type="dxa" w:w="5076"/>
          </w:tcPr>
          <w:p>
            <w:pPr>
              <w:jc w:val="left"/>
            </w:pPr>
            <w:r>
              <w:rPr/>
              <w:t>根据发生食品安全、卫生、品质服务投诉，以及补充食材等事件，供应商快捷响应的时间进行评审： 1、30（含）分钟内能到达指定送餐点的，得5分； 2、30（不含）-45（含）分钟内到达指定送餐点的，得3分； 3、45（不含）-60（含）分钟内到达指定送餐点的，得1分； 4、60分钟以上的到达指定送餐点的，得0分。 注：提供有效的承诺函，否则不得分。</w:t>
            </w:r>
          </w:p>
        </w:tc>
      </w:tr>
      <w:tr>
        <w:tc>
          <w:tcPr>
            <w:tcW w:type="dxa" w:w="922"/>
            <w:gridSpan w:val="2"/>
            <w:vMerge/>
          </w:tcPr>
          <w:p/>
        </w:tc>
        <w:tc>
          <w:tcPr>
            <w:tcW w:type="dxa" w:w="2307"/>
          </w:tcPr>
          <w:p>
            <w:pPr>
              <w:jc w:val="left"/>
            </w:pPr>
            <w:r>
              <w:rPr/>
              <w:t>项目人员配置 (8.0分)</w:t>
            </w:r>
          </w:p>
        </w:tc>
        <w:tc>
          <w:tcPr>
            <w:tcW w:type="dxa" w:w="5076"/>
          </w:tcPr>
          <w:p>
            <w:pPr>
              <w:jc w:val="left"/>
            </w:pPr>
            <w:r>
              <w:rPr/>
              <w:t>投标人拟投入本项目的人员中： 1、具有高级食品安全管理员证书得2分，中级得1分，其他不得分，最高得4分； 2、具有高级或以上公共营养师证书得2分，中级得1分，其他不得分，最高得2分； 3、具有高级或以上中式烹调师证书得2分，中级得1分，其他不得分，最高得2分； 本项最高得8分。 注：提供证书复印件及投标人为上述人员购买的开标日前六个月以来任意一个月的社保或单位代缴个税税单证明文件，无提供不得分。</w:t>
            </w:r>
          </w:p>
        </w:tc>
      </w:tr>
      <w:tr>
        <w:tc>
          <w:tcPr>
            <w:tcW w:type="dxa" w:w="922"/>
            <w:gridSpan w:val="2"/>
            <w:vMerge/>
          </w:tcPr>
          <w:p/>
        </w:tc>
        <w:tc>
          <w:tcPr>
            <w:tcW w:type="dxa" w:w="2307"/>
          </w:tcPr>
          <w:p>
            <w:pPr>
              <w:jc w:val="left"/>
            </w:pPr>
            <w:r>
              <w:rPr/>
              <w:t>项目经营方案（一） (6.0分)</w:t>
            </w:r>
          </w:p>
        </w:tc>
        <w:tc>
          <w:tcPr>
            <w:tcW w:type="dxa" w:w="5076"/>
          </w:tcPr>
          <w:p>
            <w:pPr>
              <w:jc w:val="left"/>
            </w:pPr>
            <w:r>
              <w:rPr/>
              <w:t>根据投标人提供的项目经营方案进行综合评价，方案（投标文件中方案标题应以下列要求名称命名）包括但不仅限于： 1、项目人员构架（非具体人员配置）； 2、餐品制作流程； 3、质量保障措施，包括食品卫生安全的具体保证措施、餐具消毒的具体措施等。 注：方案涉及以上全部内容得6分，每缺1项扣2分。</w:t>
            </w:r>
          </w:p>
        </w:tc>
      </w:tr>
      <w:tr>
        <w:tc>
          <w:tcPr>
            <w:tcW w:type="dxa" w:w="922"/>
            <w:gridSpan w:val="2"/>
            <w:vMerge/>
          </w:tcPr>
          <w:p/>
        </w:tc>
        <w:tc>
          <w:tcPr>
            <w:tcW w:type="dxa" w:w="2307"/>
          </w:tcPr>
          <w:p>
            <w:pPr>
              <w:jc w:val="left"/>
            </w:pPr>
            <w:r>
              <w:rPr/>
              <w:t>项目经营方案（二） (8.0分)</w:t>
            </w:r>
          </w:p>
        </w:tc>
        <w:tc>
          <w:tcPr>
            <w:tcW w:type="dxa" w:w="5076"/>
          </w:tcPr>
          <w:p>
            <w:pPr>
              <w:jc w:val="left"/>
            </w:pPr>
            <w:r>
              <w:rPr/>
              <w:t>1、构架环环相扣、清晰而不紊乱，工艺流程严谨细致，措施具体、合理，内容完整，表述准确、条理清晰，内容无前后矛盾，符合项目实际且利于落地，各经营门店资源丰富且可共享，得8分； 2、构架清晰而不紊乱，工艺流程较严谨较细致，措施较具体、较合理，内容较完整，有详细描述，部分符合项目实际且可落地，各经营门店资源较丰富可共享，得5分；  3、构架不紊乱，工艺流程不够严谨不够细致，措施部分具体、部分合理，部分符合项目实际，各经营门店有少量资源可共享，得3分； 4、构架紊乱，工艺流程不够严谨不够细致，措施不具体、不合理，不符合项目实际，无其他经营门店资源共享，得1分； 5、无或其他不得分。</w:t>
            </w:r>
          </w:p>
        </w:tc>
      </w:tr>
      <w:tr>
        <w:tc>
          <w:tcPr>
            <w:tcW w:type="dxa" w:w="922"/>
            <w:gridSpan w:val="2"/>
            <w:vMerge/>
          </w:tcPr>
          <w:p/>
        </w:tc>
        <w:tc>
          <w:tcPr>
            <w:tcW w:type="dxa" w:w="2307"/>
          </w:tcPr>
          <w:p>
            <w:pPr>
              <w:jc w:val="left"/>
            </w:pPr>
            <w:r>
              <w:rPr/>
              <w:t>突发事件处理方案（一） (3.0分)</w:t>
            </w:r>
          </w:p>
        </w:tc>
        <w:tc>
          <w:tcPr>
            <w:tcW w:type="dxa" w:w="5076"/>
          </w:tcPr>
          <w:p>
            <w:pPr>
              <w:jc w:val="left"/>
            </w:pPr>
            <w:r>
              <w:rPr/>
              <w:t>根据投标人提供的突发事件处理方案进行综合评价，方案（投标文件中方案标题应以下列要求名称命名）包括但不仅限于： 1、配送服务全过程中突发事件的风险点和预防措施； 2、配送服务全过程中突发事件的应对流程和处理措施； 3、项目执行过程中采购人的紧急情况、突发事情的处理方案。 注：方案涉及以上全部内容得3分，每缺1项扣1分。</w:t>
            </w:r>
          </w:p>
        </w:tc>
      </w:tr>
      <w:tr>
        <w:tc>
          <w:tcPr>
            <w:tcW w:type="dxa" w:w="922"/>
            <w:gridSpan w:val="2"/>
            <w:vMerge/>
          </w:tcPr>
          <w:p/>
        </w:tc>
        <w:tc>
          <w:tcPr>
            <w:tcW w:type="dxa" w:w="2307"/>
          </w:tcPr>
          <w:p>
            <w:pPr>
              <w:jc w:val="left"/>
            </w:pPr>
            <w:r>
              <w:rPr/>
              <w:t>突发事件处理方案（二） (5.0分)</w:t>
            </w:r>
          </w:p>
        </w:tc>
        <w:tc>
          <w:tcPr>
            <w:tcW w:type="dxa" w:w="5076"/>
          </w:tcPr>
          <w:p>
            <w:pPr>
              <w:jc w:val="left"/>
            </w:pPr>
            <w:r>
              <w:rPr/>
              <w:t>1、方案描述详细、合理、可行性高，应急方案完善，得5分； 2、方案描述较为详细、合理、具有一定的可行性，应急方案较完善，得4分； 3、方案描述完整但不够详细、合理性一般，应急方案不够完善，得3分； 4、方案描述泛泛而谈，内容空洞，基本不具有合理性，得1分； 5、无或其他不得分。</w:t>
            </w:r>
          </w:p>
        </w:tc>
      </w:tr>
      <w:tr>
        <w:tc>
          <w:tcPr>
            <w:tcW w:type="dxa" w:w="922"/>
            <w:gridSpan w:val="2"/>
            <w:vMerge/>
          </w:tcPr>
          <w:p/>
        </w:tc>
        <w:tc>
          <w:tcPr>
            <w:tcW w:type="dxa" w:w="2307"/>
          </w:tcPr>
          <w:p>
            <w:pPr>
              <w:jc w:val="left"/>
            </w:pPr>
            <w:r>
              <w:rPr/>
              <w:t>原材料来源控制（一） (6.0分)</w:t>
            </w:r>
          </w:p>
        </w:tc>
        <w:tc>
          <w:tcPr>
            <w:tcW w:type="dxa" w:w="5076"/>
          </w:tcPr>
          <w:p>
            <w:pPr>
              <w:jc w:val="left"/>
            </w:pPr>
            <w:r>
              <w:rPr/>
              <w:t>根据投标人提供的原材料来源控制进行综合评价，方案（投标文件中方案标题应以下列要求名称命名）包括但不仅限于： 1、安全可靠的食材采购制度； 2、溯源（追溯源头）制度； 3、不采购战备肉和僵尸肉的声明。 注：方案涉及以上全部内容得6分，每缺1项扣2分。</w:t>
            </w:r>
          </w:p>
        </w:tc>
      </w:tr>
      <w:tr>
        <w:tc>
          <w:tcPr>
            <w:tcW w:type="dxa" w:w="922"/>
            <w:gridSpan w:val="2"/>
            <w:vMerge/>
          </w:tcPr>
          <w:p/>
        </w:tc>
        <w:tc>
          <w:tcPr>
            <w:tcW w:type="dxa" w:w="2307"/>
          </w:tcPr>
          <w:p>
            <w:pPr>
              <w:jc w:val="left"/>
            </w:pPr>
            <w:r>
              <w:rPr/>
              <w:t>原材料来源控制（二） (4.0分)</w:t>
            </w:r>
          </w:p>
        </w:tc>
        <w:tc>
          <w:tcPr>
            <w:tcW w:type="dxa" w:w="5076"/>
          </w:tcPr>
          <w:p>
            <w:pPr>
              <w:jc w:val="left"/>
            </w:pPr>
            <w:r>
              <w:rPr/>
              <w:t>1、制度方案等具体、完善，检测设备能完全满足项目需要， 得4分；  2、制度方案等较具体、较完善，检测设备能基本满足项目需要， 得3分； 3、制度方案等部分具体、不够完善，检测设备能部分满足项目需要，得2分； 4、制度方案等不具体、不完善，检测设备不能满足项目需要， 得1分； 5、无或其他不得分。</w:t>
            </w:r>
          </w:p>
        </w:tc>
      </w:tr>
      <w:tr>
        <w:tc>
          <w:tcPr>
            <w:tcW w:type="dxa" w:w="922"/>
            <w:gridSpan w:val="2"/>
            <w:vMerge/>
          </w:tcPr>
          <w:p/>
        </w:tc>
        <w:tc>
          <w:tcPr>
            <w:tcW w:type="dxa" w:w="2307"/>
          </w:tcPr>
          <w:p>
            <w:pPr>
              <w:jc w:val="left"/>
            </w:pPr>
            <w:r>
              <w:rPr/>
              <w:t>投标人关于本项目其他制度 (3.0分)</w:t>
            </w:r>
          </w:p>
        </w:tc>
        <w:tc>
          <w:tcPr>
            <w:tcW w:type="dxa" w:w="5076"/>
          </w:tcPr>
          <w:p>
            <w:pPr>
              <w:jc w:val="left"/>
            </w:pPr>
            <w:r>
              <w:rPr/>
              <w:t>根据投标人关于本项目其他制度进行综合评价，制度（投标文件中方案标题应以下列要求名称命名）包括但不仅限于： 1、客户意见投诉处理制度； 2、人员绩效考核制度； 3、其他根据本项目需要拟定的制度。 注：制度涉及以上全部内容得3分，每缺1项扣1分。</w:t>
            </w:r>
          </w:p>
        </w:tc>
      </w:tr>
      <w:tr>
        <w:tc>
          <w:tcPr>
            <w:tcW w:type="dxa" w:w="922"/>
            <w:gridSpan w:val="2"/>
            <w:vMerge w:val="restart"/>
          </w:tcPr>
          <w:p>
            <w:pPr>
              <w:jc w:val="center"/>
            </w:pPr>
            <w:r>
              <w:rPr/>
              <w:t>商务部分</w:t>
            </w:r>
          </w:p>
        </w:tc>
        <w:tc>
          <w:tcPr>
            <w:tcW w:type="dxa" w:w="2307"/>
          </w:tcPr>
          <w:p>
            <w:pPr>
              <w:jc w:val="left"/>
            </w:pPr>
            <w:r>
              <w:rPr/>
              <w:t>投标人食品安全情况 (10.0分)</w:t>
            </w:r>
          </w:p>
        </w:tc>
        <w:tc>
          <w:tcPr>
            <w:tcW w:type="dxa" w:w="5076"/>
          </w:tcPr>
          <w:p>
            <w:pPr>
              <w:jc w:val="left"/>
            </w:pPr>
            <w:r>
              <w:rPr/>
              <w:t>投标人所经营或承包的配餐场所的食品安全等级公示情况： A级：10分，B级：3分，C级：1分； 注：提供租赁合同（或产权证明）及餐饮服务食品安全等级公示牌复印件；不提供不得分。</w:t>
            </w:r>
          </w:p>
        </w:tc>
      </w:tr>
      <w:tr>
        <w:tc>
          <w:tcPr>
            <w:tcW w:type="dxa" w:w="922"/>
            <w:gridSpan w:val="2"/>
            <w:vMerge/>
          </w:tcPr>
          <w:p/>
        </w:tc>
        <w:tc>
          <w:tcPr>
            <w:tcW w:type="dxa" w:w="2307"/>
          </w:tcPr>
          <w:p>
            <w:pPr>
              <w:jc w:val="left"/>
            </w:pPr>
            <w:r>
              <w:rPr/>
              <w:t>同类项目业绩情况 (10.0分)</w:t>
            </w:r>
          </w:p>
        </w:tc>
        <w:tc>
          <w:tcPr>
            <w:tcW w:type="dxa" w:w="5076"/>
          </w:tcPr>
          <w:p>
            <w:pPr>
              <w:jc w:val="left"/>
            </w:pPr>
            <w:r>
              <w:rPr/>
              <w:t>2020年1月1日至今承接过的同类配餐项目（须含送餐及堂食内容），每一项2分，总分不超过10分。 注：须提供合同复印件，不提供证明文件或专家无法认定的不得分。</w:t>
            </w:r>
          </w:p>
        </w:tc>
      </w:tr>
      <w:tr>
        <w:tc>
          <w:tcPr>
            <w:tcW w:type="dxa" w:w="922"/>
            <w:gridSpan w:val="2"/>
            <w:vMerge/>
          </w:tcPr>
          <w:p/>
        </w:tc>
        <w:tc>
          <w:tcPr>
            <w:tcW w:type="dxa" w:w="2307"/>
          </w:tcPr>
          <w:p>
            <w:pPr>
              <w:jc w:val="left"/>
            </w:pPr>
            <w:r>
              <w:rPr/>
              <w:t>体系认证 (10.0分)</w:t>
            </w:r>
          </w:p>
        </w:tc>
        <w:tc>
          <w:tcPr>
            <w:tcW w:type="dxa" w:w="5076"/>
          </w:tcPr>
          <w:p>
            <w:pPr>
              <w:jc w:val="left"/>
            </w:pPr>
            <w:r>
              <w:rPr/>
              <w:t>供应商具有以下认证证书的，每提供一项得2分，最高10分。 1、质量管理体系认证； 2、环境管理体系认证； 3、职业健康安全管理体系认证； 4、食品安全管理体系认证； 5、危害分析与关键控制点HACCP体系认证。 注：提供证书复印件加盖供应商公章，且在有效期内，不提供不得分。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满足招标文件要求且投标价格最低的投标报价（投标折扣率）为评标基准价。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采购包6(高科路配餐服务点6):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“▲”条款响应程度 (12.0分)</w:t>
            </w:r>
          </w:p>
        </w:tc>
        <w:tc>
          <w:tcPr>
            <w:tcW w:type="dxa" w:w="5076"/>
          </w:tcPr>
          <w:p>
            <w:pPr>
              <w:jc w:val="left"/>
            </w:pPr>
            <w:r>
              <w:rPr/>
              <w:t>满足采购需求中带“▲”条款（共3项），得12分，每一项不满足扣4分，最低0分。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配送时间 (5.0分)</w:t>
            </w:r>
          </w:p>
        </w:tc>
        <w:tc>
          <w:tcPr>
            <w:tcW w:type="dxa" w:w="5076"/>
          </w:tcPr>
          <w:p>
            <w:pPr>
              <w:jc w:val="left"/>
            </w:pPr>
            <w:r>
              <w:rPr/>
              <w:t>根据发生食品安全、卫生、品质服务投诉，以及补充食材等事件，供应商快捷响应的时间进行评审： 1、30（含）分钟内能到达指定送餐点的，得5分； 2、30（不含）-45（含）分钟内到达指定送餐点的，得3分； 3、45（不含）-60（含）分钟内到达指定送餐点的，得1分； 4、60分钟以上的到达指定送餐点的，得0分。 注：提供有效的承诺函，否则不得分。</w:t>
            </w:r>
          </w:p>
        </w:tc>
      </w:tr>
      <w:tr>
        <w:tc>
          <w:tcPr>
            <w:tcW w:type="dxa" w:w="922"/>
            <w:gridSpan w:val="2"/>
            <w:vMerge/>
          </w:tcPr>
          <w:p/>
        </w:tc>
        <w:tc>
          <w:tcPr>
            <w:tcW w:type="dxa" w:w="2307"/>
          </w:tcPr>
          <w:p>
            <w:pPr>
              <w:jc w:val="left"/>
            </w:pPr>
            <w:r>
              <w:rPr/>
              <w:t>项目人员配置 (8.0分)</w:t>
            </w:r>
          </w:p>
        </w:tc>
        <w:tc>
          <w:tcPr>
            <w:tcW w:type="dxa" w:w="5076"/>
          </w:tcPr>
          <w:p>
            <w:pPr>
              <w:jc w:val="left"/>
            </w:pPr>
            <w:r>
              <w:rPr/>
              <w:t>投标人拟投入本项目的人员中： 1、具有高级食品安全管理员证书得2分，中级得1分，其他不得分，最高得4分； 2、具有高级或以上公共营养师证书得2分，中级得1分，其他不得分，最高得2分； 3、具有高级或以上中式烹调师证书得2分，中级得1分，其他不得分，最高得2分； 本项最高得8分。 注：提供证书复印件及投标人为上述人员购买的开标日前六个月以来任意一个月的社保或单位代缴个税税单证明文件，无提供不得分。</w:t>
            </w:r>
          </w:p>
        </w:tc>
      </w:tr>
      <w:tr>
        <w:tc>
          <w:tcPr>
            <w:tcW w:type="dxa" w:w="922"/>
            <w:gridSpan w:val="2"/>
            <w:vMerge/>
          </w:tcPr>
          <w:p/>
        </w:tc>
        <w:tc>
          <w:tcPr>
            <w:tcW w:type="dxa" w:w="2307"/>
          </w:tcPr>
          <w:p>
            <w:pPr>
              <w:jc w:val="left"/>
            </w:pPr>
            <w:r>
              <w:rPr/>
              <w:t>项目经营方案（一） (6.0分)</w:t>
            </w:r>
          </w:p>
        </w:tc>
        <w:tc>
          <w:tcPr>
            <w:tcW w:type="dxa" w:w="5076"/>
          </w:tcPr>
          <w:p>
            <w:pPr>
              <w:jc w:val="left"/>
            </w:pPr>
            <w:r>
              <w:rPr/>
              <w:t>根据投标人提供的项目经营方案进行综合评价，方案（投标文件中方案标题应以下列要求名称命名）包括但不仅限于： 1、项目人员构架（非具体人员配置）； 2、餐品制作流程； 3、质量保障措施，包括食品卫生安全的具体保证措施、餐具消毒的具体措施等。 注：方案涉及以上全部内容得6分，每缺1项扣2分。</w:t>
            </w:r>
          </w:p>
        </w:tc>
      </w:tr>
      <w:tr>
        <w:tc>
          <w:tcPr>
            <w:tcW w:type="dxa" w:w="922"/>
            <w:gridSpan w:val="2"/>
            <w:vMerge/>
          </w:tcPr>
          <w:p/>
        </w:tc>
        <w:tc>
          <w:tcPr>
            <w:tcW w:type="dxa" w:w="2307"/>
          </w:tcPr>
          <w:p>
            <w:pPr>
              <w:jc w:val="left"/>
            </w:pPr>
            <w:r>
              <w:rPr/>
              <w:t>项目经营方案（二） (8.0分)</w:t>
            </w:r>
          </w:p>
        </w:tc>
        <w:tc>
          <w:tcPr>
            <w:tcW w:type="dxa" w:w="5076"/>
          </w:tcPr>
          <w:p>
            <w:pPr>
              <w:jc w:val="left"/>
            </w:pPr>
            <w:r>
              <w:rPr/>
              <w:t>1、构架环环相扣、清晰而不紊乱，工艺流程严谨细致，措施具体、合理，内容完整，表述准确、条理清晰，内容无前后矛盾，符合项目实际且利于落地，各经营门店资源丰富且可共享，得8分； 2、构架清晰而不紊乱，工艺流程较严谨较细致，措施较具体、较合理，内容较完整，有详细描述，部分符合项目实际且可落地，各经营门店资源较丰富可共享，得5分；  3、构架不紊乱，工艺流程不够严谨不够细致，措施部分具体、部分合理，部分符合项目实际，各经营门店有少量资源可共享，得3分； 4、构架紊乱，工艺流程不够严谨不够细致，措施不具体、不合理，不符合项目实际，无其他经营门店资源共享，得1分； 5、无或其他不得分。</w:t>
            </w:r>
          </w:p>
        </w:tc>
      </w:tr>
      <w:tr>
        <w:tc>
          <w:tcPr>
            <w:tcW w:type="dxa" w:w="922"/>
            <w:gridSpan w:val="2"/>
            <w:vMerge/>
          </w:tcPr>
          <w:p/>
        </w:tc>
        <w:tc>
          <w:tcPr>
            <w:tcW w:type="dxa" w:w="2307"/>
          </w:tcPr>
          <w:p>
            <w:pPr>
              <w:jc w:val="left"/>
            </w:pPr>
            <w:r>
              <w:rPr/>
              <w:t>突发事件处理方案（一） (3.0分)</w:t>
            </w:r>
          </w:p>
        </w:tc>
        <w:tc>
          <w:tcPr>
            <w:tcW w:type="dxa" w:w="5076"/>
          </w:tcPr>
          <w:p>
            <w:pPr>
              <w:jc w:val="left"/>
            </w:pPr>
            <w:r>
              <w:rPr/>
              <w:t>根据投标人提供的突发事件处理方案进行综合评价，方案（投标文件中方案标题应以下列要求名称命名）包括但不仅限于： 1、配送服务全过程中突发事件的风险点和预防措施； 2、配送服务全过程中突发事件的应对流程和处理措施； 3、项目执行过程中采购人的紧急情况、突发事情的处理方案。 注：方案涉及以上全部内容得3分，每缺1项扣1分。</w:t>
            </w:r>
          </w:p>
        </w:tc>
      </w:tr>
      <w:tr>
        <w:tc>
          <w:tcPr>
            <w:tcW w:type="dxa" w:w="922"/>
            <w:gridSpan w:val="2"/>
            <w:vMerge/>
          </w:tcPr>
          <w:p/>
        </w:tc>
        <w:tc>
          <w:tcPr>
            <w:tcW w:type="dxa" w:w="2307"/>
          </w:tcPr>
          <w:p>
            <w:pPr>
              <w:jc w:val="left"/>
            </w:pPr>
            <w:r>
              <w:rPr/>
              <w:t>突发事件处理方案（二） (5.0分)</w:t>
            </w:r>
          </w:p>
        </w:tc>
        <w:tc>
          <w:tcPr>
            <w:tcW w:type="dxa" w:w="5076"/>
          </w:tcPr>
          <w:p>
            <w:pPr>
              <w:jc w:val="left"/>
            </w:pPr>
            <w:r>
              <w:rPr/>
              <w:t>1、方案描述详细、合理、可行性高，应急方案完善，得5分； 2、方案描述较为详细、合理、具有一定的可行性，应急方案较完善，得4分； 3、方案描述完整但不够详细、合理性一般，应急方案不够完善，得3分； 4、方案描述泛泛而谈，内容空洞，基本不具有合理性，得1分； 5、无或其他不得分。</w:t>
            </w:r>
          </w:p>
        </w:tc>
      </w:tr>
      <w:tr>
        <w:tc>
          <w:tcPr>
            <w:tcW w:type="dxa" w:w="922"/>
            <w:gridSpan w:val="2"/>
            <w:vMerge/>
          </w:tcPr>
          <w:p/>
        </w:tc>
        <w:tc>
          <w:tcPr>
            <w:tcW w:type="dxa" w:w="2307"/>
          </w:tcPr>
          <w:p>
            <w:pPr>
              <w:jc w:val="left"/>
            </w:pPr>
            <w:r>
              <w:rPr/>
              <w:t>原材料来源控制（一） (6.0分)</w:t>
            </w:r>
          </w:p>
        </w:tc>
        <w:tc>
          <w:tcPr>
            <w:tcW w:type="dxa" w:w="5076"/>
          </w:tcPr>
          <w:p>
            <w:pPr>
              <w:jc w:val="left"/>
            </w:pPr>
            <w:r>
              <w:rPr/>
              <w:t>根据投标人提供的原材料来源控制进行综合评价，方案（投标文件中方案标题应以下列要求名称命名）包括但不仅限于： 1、安全可靠的食材采购制度； 2、溯源（追溯源头）制度； 3、不采购战备肉和僵尸肉的声明。 注：方案涉及以上全部内容得6分，每缺1项扣2分。</w:t>
            </w:r>
          </w:p>
        </w:tc>
      </w:tr>
      <w:tr>
        <w:tc>
          <w:tcPr>
            <w:tcW w:type="dxa" w:w="922"/>
            <w:gridSpan w:val="2"/>
            <w:vMerge/>
          </w:tcPr>
          <w:p/>
        </w:tc>
        <w:tc>
          <w:tcPr>
            <w:tcW w:type="dxa" w:w="2307"/>
          </w:tcPr>
          <w:p>
            <w:pPr>
              <w:jc w:val="left"/>
            </w:pPr>
            <w:r>
              <w:rPr/>
              <w:t>原材料来源控制（二） (4.0分)</w:t>
            </w:r>
          </w:p>
        </w:tc>
        <w:tc>
          <w:tcPr>
            <w:tcW w:type="dxa" w:w="5076"/>
          </w:tcPr>
          <w:p>
            <w:pPr>
              <w:jc w:val="left"/>
            </w:pPr>
            <w:r>
              <w:rPr/>
              <w:t>1、制度方案等具体、完善，检测设备能完全满足项目需要， 得4分；  2、制度方案等较具体、较完善，检测设备能基本满足项目需要， 得3分； 3、制度方案等部分具体、不够完善，检测设备能部分满足项目需要，得2分； 4、制度方案等不具体、不完善，检测设备不能满足项目需要， 得1分； 5、无或其他不得分。</w:t>
            </w:r>
          </w:p>
        </w:tc>
      </w:tr>
      <w:tr>
        <w:tc>
          <w:tcPr>
            <w:tcW w:type="dxa" w:w="922"/>
            <w:gridSpan w:val="2"/>
            <w:vMerge/>
          </w:tcPr>
          <w:p/>
        </w:tc>
        <w:tc>
          <w:tcPr>
            <w:tcW w:type="dxa" w:w="2307"/>
          </w:tcPr>
          <w:p>
            <w:pPr>
              <w:jc w:val="left"/>
            </w:pPr>
            <w:r>
              <w:rPr/>
              <w:t>投标人关于本项目其他制度 (3.0分)</w:t>
            </w:r>
          </w:p>
        </w:tc>
        <w:tc>
          <w:tcPr>
            <w:tcW w:type="dxa" w:w="5076"/>
          </w:tcPr>
          <w:p>
            <w:pPr>
              <w:jc w:val="left"/>
            </w:pPr>
            <w:r>
              <w:rPr/>
              <w:t>根据投标人关于本项目其他制度进行综合评价，制度（投标文件中方案标题应以下列要求名称命名）包括但不仅限于： 1、客户意见投诉处理制度； 2、人员绩效考核制度； 3、其他根据本项目需要拟定的制度。 注：制度涉及以上全部内容得3分，每缺1项扣1分。</w:t>
            </w:r>
          </w:p>
        </w:tc>
      </w:tr>
      <w:tr>
        <w:tc>
          <w:tcPr>
            <w:tcW w:type="dxa" w:w="922"/>
            <w:gridSpan w:val="2"/>
            <w:vMerge w:val="restart"/>
          </w:tcPr>
          <w:p>
            <w:pPr>
              <w:jc w:val="center"/>
            </w:pPr>
            <w:r>
              <w:rPr/>
              <w:t>商务部分</w:t>
            </w:r>
          </w:p>
        </w:tc>
        <w:tc>
          <w:tcPr>
            <w:tcW w:type="dxa" w:w="2307"/>
          </w:tcPr>
          <w:p>
            <w:pPr>
              <w:jc w:val="left"/>
            </w:pPr>
            <w:r>
              <w:rPr/>
              <w:t>投标人食品安全情况 (10.0分)</w:t>
            </w:r>
          </w:p>
        </w:tc>
        <w:tc>
          <w:tcPr>
            <w:tcW w:type="dxa" w:w="5076"/>
          </w:tcPr>
          <w:p>
            <w:pPr>
              <w:jc w:val="left"/>
            </w:pPr>
            <w:r>
              <w:rPr/>
              <w:t>投标人所经营或承包的配餐场所的食品安全等级公示情况： A级：10分，B级：3分，C级：1分； 注：提供租赁合同（或产权证明）及餐饮服务食品安全等级公示牌复印件；不提供不得分。</w:t>
            </w:r>
          </w:p>
        </w:tc>
      </w:tr>
      <w:tr>
        <w:tc>
          <w:tcPr>
            <w:tcW w:type="dxa" w:w="922"/>
            <w:gridSpan w:val="2"/>
            <w:vMerge/>
          </w:tcPr>
          <w:p/>
        </w:tc>
        <w:tc>
          <w:tcPr>
            <w:tcW w:type="dxa" w:w="2307"/>
          </w:tcPr>
          <w:p>
            <w:pPr>
              <w:jc w:val="left"/>
            </w:pPr>
            <w:r>
              <w:rPr/>
              <w:t>同类项目业绩情况 (10.0分)</w:t>
            </w:r>
          </w:p>
        </w:tc>
        <w:tc>
          <w:tcPr>
            <w:tcW w:type="dxa" w:w="5076"/>
          </w:tcPr>
          <w:p>
            <w:pPr>
              <w:jc w:val="left"/>
            </w:pPr>
            <w:r>
              <w:rPr/>
              <w:t>2020年1月1日至今承接过的同类配餐项目（须含送餐及堂食内容），每一项2分，总分不超过10分。 注：须提供合同复印件，不提供证明文件或专家无法认定的不得分。</w:t>
            </w:r>
          </w:p>
        </w:tc>
      </w:tr>
      <w:tr>
        <w:tc>
          <w:tcPr>
            <w:tcW w:type="dxa" w:w="922"/>
            <w:gridSpan w:val="2"/>
            <w:vMerge/>
          </w:tcPr>
          <w:p/>
        </w:tc>
        <w:tc>
          <w:tcPr>
            <w:tcW w:type="dxa" w:w="2307"/>
          </w:tcPr>
          <w:p>
            <w:pPr>
              <w:jc w:val="left"/>
            </w:pPr>
            <w:r>
              <w:rPr/>
              <w:t>体系认证 (10.0分)</w:t>
            </w:r>
          </w:p>
        </w:tc>
        <w:tc>
          <w:tcPr>
            <w:tcW w:type="dxa" w:w="5076"/>
          </w:tcPr>
          <w:p>
            <w:pPr>
              <w:jc w:val="left"/>
            </w:pPr>
            <w:r>
              <w:rPr/>
              <w:t>供应商具有以下认证证书的，每提供一项得2分，最高10分。 1、质量管理体系认证； 2、环境管理体系认证； 3、职业健康安全管理体系认证； 4、食品安全管理体系认证； 5、危害分析与关键控制点HACCP体系认证。 注：提供证书复印件加盖供应商公章，且在有效期内，不提供不得分。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满足招标文件要求且投标价格最低的投标报价（投标折扣率）为评标基准价。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采购包7(高科路配餐服务点7):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“▲”条款响应程度 (12.0分)</w:t>
            </w:r>
          </w:p>
        </w:tc>
        <w:tc>
          <w:tcPr>
            <w:tcW w:type="dxa" w:w="5076"/>
          </w:tcPr>
          <w:p>
            <w:pPr>
              <w:jc w:val="left"/>
            </w:pPr>
            <w:r>
              <w:rPr/>
              <w:t>满足采购需求中带“▲”条款（共3项），得12分，每一项不满足扣4分，最低0分。 注：采购需求中要求提供相关证明材料的，需按要求提供，否则不得分。</w:t>
            </w:r>
          </w:p>
        </w:tc>
      </w:tr>
      <w:tr>
        <w:tc>
          <w:tcPr>
            <w:tcW w:type="dxa" w:w="922"/>
            <w:gridSpan w:val="2"/>
            <w:vMerge/>
          </w:tcPr>
          <w:p/>
        </w:tc>
        <w:tc>
          <w:tcPr>
            <w:tcW w:type="dxa" w:w="2307"/>
          </w:tcPr>
          <w:p>
            <w:pPr>
              <w:jc w:val="left"/>
            </w:pPr>
            <w:r>
              <w:rPr/>
              <w:t>配送时间 (5.0分)</w:t>
            </w:r>
          </w:p>
        </w:tc>
        <w:tc>
          <w:tcPr>
            <w:tcW w:type="dxa" w:w="5076"/>
          </w:tcPr>
          <w:p>
            <w:pPr>
              <w:jc w:val="left"/>
            </w:pPr>
            <w:r>
              <w:rPr/>
              <w:t>根据发生食品安全、卫生、品质服务投诉，以及补充食材等事件，供应商快捷响应的时间进行评审： 1、30（含）分钟内能到达指定送餐点的，得5分； 2、30（不含）-45（含）分钟内到达指定送餐点的，得3分； 3、45（不含）-60（含）分钟内到达指定送餐点的，得1分； 4、60分钟以上的到达指定送餐点的，得0分。 注：提供有效的承诺函，否则不得分。</w:t>
            </w:r>
          </w:p>
        </w:tc>
      </w:tr>
      <w:tr>
        <w:tc>
          <w:tcPr>
            <w:tcW w:type="dxa" w:w="922"/>
            <w:gridSpan w:val="2"/>
            <w:vMerge/>
          </w:tcPr>
          <w:p/>
        </w:tc>
        <w:tc>
          <w:tcPr>
            <w:tcW w:type="dxa" w:w="2307"/>
          </w:tcPr>
          <w:p>
            <w:pPr>
              <w:jc w:val="left"/>
            </w:pPr>
            <w:r>
              <w:rPr/>
              <w:t>项目人员配置 (8.0分)</w:t>
            </w:r>
          </w:p>
        </w:tc>
        <w:tc>
          <w:tcPr>
            <w:tcW w:type="dxa" w:w="5076"/>
          </w:tcPr>
          <w:p>
            <w:pPr>
              <w:jc w:val="left"/>
            </w:pPr>
            <w:r>
              <w:rPr/>
              <w:t>投标人拟投入本项目的人员中： 1、具有高级食品安全管理员证书得2分，中级得1分，其他不得分，最高得4分； 2、具有高级或以上公共营养师证书得2分，中级得1分，其他不得分，最高得2分； 3、具有高级或以上中式烹调师证书得2分，中级得1分，其他不得分，最高得2分； 本项最高得8分。 注：提供证书复印件及投标人为上述人员购买的开标日前六个月以来任意一个月的社保或单位代缴个税税单证明文件，无提供不得分。</w:t>
            </w:r>
          </w:p>
        </w:tc>
      </w:tr>
      <w:tr>
        <w:tc>
          <w:tcPr>
            <w:tcW w:type="dxa" w:w="922"/>
            <w:gridSpan w:val="2"/>
            <w:vMerge/>
          </w:tcPr>
          <w:p/>
        </w:tc>
        <w:tc>
          <w:tcPr>
            <w:tcW w:type="dxa" w:w="2307"/>
          </w:tcPr>
          <w:p>
            <w:pPr>
              <w:jc w:val="left"/>
            </w:pPr>
            <w:r>
              <w:rPr/>
              <w:t>项目经营方案（一） (6.0分)</w:t>
            </w:r>
          </w:p>
        </w:tc>
        <w:tc>
          <w:tcPr>
            <w:tcW w:type="dxa" w:w="5076"/>
          </w:tcPr>
          <w:p>
            <w:pPr>
              <w:jc w:val="left"/>
            </w:pPr>
            <w:r>
              <w:rPr/>
              <w:t>根据投标人提供的项目经营方案进行综合评价，方案（投标文件中方案标题应以下列要求名称命名）包括但不仅限于： 1、项目人员构架（非具体人员配置）； 2、餐品制作流程； 3、质量保障措施，包括食品卫生安全的具体保证措施、餐具消毒的具体措施等。 注：方案涉及以上全部内容得6分，每缺1项扣2分。</w:t>
            </w:r>
          </w:p>
        </w:tc>
      </w:tr>
      <w:tr>
        <w:tc>
          <w:tcPr>
            <w:tcW w:type="dxa" w:w="922"/>
            <w:gridSpan w:val="2"/>
            <w:vMerge/>
          </w:tcPr>
          <w:p/>
        </w:tc>
        <w:tc>
          <w:tcPr>
            <w:tcW w:type="dxa" w:w="2307"/>
          </w:tcPr>
          <w:p>
            <w:pPr>
              <w:jc w:val="left"/>
            </w:pPr>
            <w:r>
              <w:rPr/>
              <w:t>项目经营方案（二） (8.0分)</w:t>
            </w:r>
          </w:p>
        </w:tc>
        <w:tc>
          <w:tcPr>
            <w:tcW w:type="dxa" w:w="5076"/>
          </w:tcPr>
          <w:p>
            <w:pPr>
              <w:jc w:val="left"/>
            </w:pPr>
            <w:r>
              <w:rPr/>
              <w:t>1、构架环环相扣、清晰而不紊乱，工艺流程严谨细致，措施具体、合理，内容完整，表述准确、条理清晰，内容无前后矛盾，符合项目实际且利于落地，各经营门店资源丰富且可共享，得8分； 2、构架清晰而不紊乱，工艺流程较严谨较细致，措施较具体、较合理，内容较完整，有详细描述，部分符合项目实际且可落地，各经营门店资源较丰富可共享，得5分；  3、构架不紊乱，工艺流程不够严谨不够细致，措施部分具体、部分合理，部分符合项目实际，各经营门店有少量资源可共享，得3分； 4、构架紊乱，工艺流程不够严谨不够细致，措施不具体、不合理，不符合项目实际，无其他经营门店资源共享，得1分； 5、无或其他不得分。</w:t>
            </w:r>
          </w:p>
        </w:tc>
      </w:tr>
      <w:tr>
        <w:tc>
          <w:tcPr>
            <w:tcW w:type="dxa" w:w="922"/>
            <w:gridSpan w:val="2"/>
            <w:vMerge/>
          </w:tcPr>
          <w:p/>
        </w:tc>
        <w:tc>
          <w:tcPr>
            <w:tcW w:type="dxa" w:w="2307"/>
          </w:tcPr>
          <w:p>
            <w:pPr>
              <w:jc w:val="left"/>
            </w:pPr>
            <w:r>
              <w:rPr/>
              <w:t>突发事件处理方案（一） (3.0分)</w:t>
            </w:r>
          </w:p>
        </w:tc>
        <w:tc>
          <w:tcPr>
            <w:tcW w:type="dxa" w:w="5076"/>
          </w:tcPr>
          <w:p>
            <w:pPr>
              <w:jc w:val="left"/>
            </w:pPr>
            <w:r>
              <w:rPr/>
              <w:t>根据投标人提供的突发事件处理方案进行综合评价，方案（投标文件中方案标题应以下列要求名称命名）包括但不仅限于： 1、配送服务全过程中突发事件的风险点和预防措施； 2、配送服务全过程中突发事件的应对流程和处理措施； 3、项目执行过程中采购人的紧急情况、突发事情的处理方案。 注：方案涉及以上全部内容得3分，每缺1项扣1分。</w:t>
            </w:r>
          </w:p>
        </w:tc>
      </w:tr>
      <w:tr>
        <w:tc>
          <w:tcPr>
            <w:tcW w:type="dxa" w:w="922"/>
            <w:gridSpan w:val="2"/>
            <w:vMerge/>
          </w:tcPr>
          <w:p/>
        </w:tc>
        <w:tc>
          <w:tcPr>
            <w:tcW w:type="dxa" w:w="2307"/>
          </w:tcPr>
          <w:p>
            <w:pPr>
              <w:jc w:val="left"/>
            </w:pPr>
            <w:r>
              <w:rPr/>
              <w:t>突发事件处理方案（二） (5.0分)</w:t>
            </w:r>
          </w:p>
        </w:tc>
        <w:tc>
          <w:tcPr>
            <w:tcW w:type="dxa" w:w="5076"/>
          </w:tcPr>
          <w:p>
            <w:pPr>
              <w:jc w:val="left"/>
            </w:pPr>
            <w:r>
              <w:rPr/>
              <w:t>1、方案描述详细、合理、可行性高，应急方案完善，得5分； 2、方案描述较为详细、合理、具有一定的可行性，应急方案较完善，得4分； 3、方案描述完整但不够详细、合理性一般，应急方案不够完善，得3分； 4、方案描述泛泛而谈，内容空洞，基本不具有合理性，得1分； 5、无或其他不得分。</w:t>
            </w:r>
          </w:p>
        </w:tc>
      </w:tr>
      <w:tr>
        <w:tc>
          <w:tcPr>
            <w:tcW w:type="dxa" w:w="922"/>
            <w:gridSpan w:val="2"/>
            <w:vMerge/>
          </w:tcPr>
          <w:p/>
        </w:tc>
        <w:tc>
          <w:tcPr>
            <w:tcW w:type="dxa" w:w="2307"/>
          </w:tcPr>
          <w:p>
            <w:pPr>
              <w:jc w:val="left"/>
            </w:pPr>
            <w:r>
              <w:rPr/>
              <w:t>原材料来源控制（一） (6.0分)</w:t>
            </w:r>
          </w:p>
        </w:tc>
        <w:tc>
          <w:tcPr>
            <w:tcW w:type="dxa" w:w="5076"/>
          </w:tcPr>
          <w:p>
            <w:pPr>
              <w:jc w:val="left"/>
            </w:pPr>
            <w:r>
              <w:rPr/>
              <w:t>根据投标人提供的原材料来源控制进行综合评价，方案（投标文件中方案标题应以下列要求名称命名）包括但不仅限于： 1、安全可靠的食材采购制度； 2、溯源（追溯源头）制度； 3、不采购战备肉和僵尸肉的声明。 注：方案涉及以上全部内容得6分，每缺1项扣2分。</w:t>
            </w:r>
          </w:p>
        </w:tc>
      </w:tr>
      <w:tr>
        <w:tc>
          <w:tcPr>
            <w:tcW w:type="dxa" w:w="922"/>
            <w:gridSpan w:val="2"/>
            <w:vMerge/>
          </w:tcPr>
          <w:p/>
        </w:tc>
        <w:tc>
          <w:tcPr>
            <w:tcW w:type="dxa" w:w="2307"/>
          </w:tcPr>
          <w:p>
            <w:pPr>
              <w:jc w:val="left"/>
            </w:pPr>
            <w:r>
              <w:rPr/>
              <w:t>原材料来源控制（二） (4.0分)</w:t>
            </w:r>
          </w:p>
        </w:tc>
        <w:tc>
          <w:tcPr>
            <w:tcW w:type="dxa" w:w="5076"/>
          </w:tcPr>
          <w:p>
            <w:pPr>
              <w:jc w:val="left"/>
            </w:pPr>
            <w:r>
              <w:rPr/>
              <w:t>1、制度方案等具体、完善，检测设备能完全满足项目需要， 得4分；  2、制度方案等较具体、较完善，检测设备能基本满足项目需要， 得3分； 3、制度方案等部分具体、不够完善，检测设备能部分满足项目需要，得2分； 4、制度方案等不具体、不完善，检测设备不能满足项目需要， 得1分； 5、无或其他不得分。</w:t>
            </w:r>
          </w:p>
        </w:tc>
      </w:tr>
      <w:tr>
        <w:tc>
          <w:tcPr>
            <w:tcW w:type="dxa" w:w="922"/>
            <w:gridSpan w:val="2"/>
            <w:vMerge/>
          </w:tcPr>
          <w:p/>
        </w:tc>
        <w:tc>
          <w:tcPr>
            <w:tcW w:type="dxa" w:w="2307"/>
          </w:tcPr>
          <w:p>
            <w:pPr>
              <w:jc w:val="left"/>
            </w:pPr>
            <w:r>
              <w:rPr/>
              <w:t>投标人关于本项目其他制度 (3.0分)</w:t>
            </w:r>
          </w:p>
        </w:tc>
        <w:tc>
          <w:tcPr>
            <w:tcW w:type="dxa" w:w="5076"/>
          </w:tcPr>
          <w:p>
            <w:pPr>
              <w:jc w:val="left"/>
            </w:pPr>
            <w:r>
              <w:rPr/>
              <w:t>根据投标人关于本项目其他制度进行综合评价，制度（投标文件中方案标题应以下列要求名称命名）包括但不仅限于： 1、客户意见投诉处理制度； 2、人员绩效考核制度； 3、其他根据本项目需要拟定的制度。 注：制度涉及以上全部内容得3分，每缺1项扣1分。</w:t>
            </w:r>
          </w:p>
        </w:tc>
      </w:tr>
      <w:tr>
        <w:tc>
          <w:tcPr>
            <w:tcW w:type="dxa" w:w="922"/>
            <w:gridSpan w:val="2"/>
            <w:vMerge w:val="restart"/>
          </w:tcPr>
          <w:p>
            <w:pPr>
              <w:jc w:val="center"/>
            </w:pPr>
            <w:r>
              <w:rPr/>
              <w:t>商务部分</w:t>
            </w:r>
          </w:p>
        </w:tc>
        <w:tc>
          <w:tcPr>
            <w:tcW w:type="dxa" w:w="2307"/>
          </w:tcPr>
          <w:p>
            <w:pPr>
              <w:jc w:val="left"/>
            </w:pPr>
            <w:r>
              <w:rPr/>
              <w:t>投标人食品安全情况 (10.0分)</w:t>
            </w:r>
          </w:p>
        </w:tc>
        <w:tc>
          <w:tcPr>
            <w:tcW w:type="dxa" w:w="5076"/>
          </w:tcPr>
          <w:p>
            <w:pPr>
              <w:jc w:val="left"/>
            </w:pPr>
            <w:r>
              <w:rPr/>
              <w:t>投标人所经营或承包的配餐场所的食品安全等级公示情况： A级：10分，B级：3分，C级：1分； 注：提供租赁合同（或产权证明）及餐饮服务食品安全等级公示牌复印件；不提供不得分。</w:t>
            </w:r>
          </w:p>
        </w:tc>
      </w:tr>
      <w:tr>
        <w:tc>
          <w:tcPr>
            <w:tcW w:type="dxa" w:w="922"/>
            <w:gridSpan w:val="2"/>
            <w:vMerge/>
          </w:tcPr>
          <w:p/>
        </w:tc>
        <w:tc>
          <w:tcPr>
            <w:tcW w:type="dxa" w:w="2307"/>
          </w:tcPr>
          <w:p>
            <w:pPr>
              <w:jc w:val="left"/>
            </w:pPr>
            <w:r>
              <w:rPr/>
              <w:t>同类项目业绩情况 (10.0分)</w:t>
            </w:r>
          </w:p>
        </w:tc>
        <w:tc>
          <w:tcPr>
            <w:tcW w:type="dxa" w:w="5076"/>
          </w:tcPr>
          <w:p>
            <w:pPr>
              <w:jc w:val="left"/>
            </w:pPr>
            <w:r>
              <w:rPr/>
              <w:t>2020年1月1日至今承接过的同类配餐项目（须含送餐及堂食内容），每一项2分，总分不超过10分。 注：须提供合同复印件，不提供证明文件或专家无法认定的不得分。</w:t>
            </w:r>
          </w:p>
        </w:tc>
      </w:tr>
      <w:tr>
        <w:tc>
          <w:tcPr>
            <w:tcW w:type="dxa" w:w="922"/>
            <w:gridSpan w:val="2"/>
            <w:vMerge/>
          </w:tcPr>
          <w:p/>
        </w:tc>
        <w:tc>
          <w:tcPr>
            <w:tcW w:type="dxa" w:w="2307"/>
          </w:tcPr>
          <w:p>
            <w:pPr>
              <w:jc w:val="left"/>
            </w:pPr>
            <w:r>
              <w:rPr/>
              <w:t>体系认证 (10.0分)</w:t>
            </w:r>
          </w:p>
        </w:tc>
        <w:tc>
          <w:tcPr>
            <w:tcW w:type="dxa" w:w="5076"/>
          </w:tcPr>
          <w:p>
            <w:pPr>
              <w:jc w:val="left"/>
            </w:pPr>
            <w:r>
              <w:rPr/>
              <w:t>供应商具有以下认证证书的，每提供一项得2分，最高10分。 1、质量管理体系认证； 2、环境管理体系认证； 3、职业健康安全管理体系认证； 4、食品安全管理体系认证； 5、危害分析与关键控制点HACCP体系认证。 注：提供证书复印件加盖供应商公章，且在有效期内，不提供不得分。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满足招标文件要求且投标价格最低的投标报价（投标折扣率）为评标基准价。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p>
    <w:p>
      <w:pPr>
        <w:jc w:val="left"/>
      </w:pPr>
    </w:p>
    <w:p>
      <w:pPr>
        <w:jc w:val="left"/>
      </w:pPr>
      <w:r>
        <w:rPr>
          <w:b/>
          <w:sz w:val="21"/>
        </w:rPr>
        <w:t>注：</w:t>
      </w:r>
      <w:r>
        <w:rPr>
          <w:b/>
          <w:sz w:val="21"/>
        </w:rPr>
        <w:t>合同具体事项须根据采购文件的约定及乙方投标文件的承诺执行。</w:t>
      </w:r>
    </w:p>
    <w:p>
      <w:pPr>
        <w:ind w:firstLine="211"/>
        <w:jc w:val="left"/>
      </w:pP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广东省科学院生物与医学工程研究所配餐服务点采购项目</w:t>
      </w:r>
      <w:r>
        <w:rPr>
          <w:sz w:val="21"/>
        </w:rPr>
        <w:t>招标文件（项目编号：</w:t>
      </w:r>
      <w:r>
        <w:rPr>
          <w:sz w:val="21"/>
        </w:rPr>
        <w:t>GZGK23P192C0639Z，采购包</w:t>
      </w:r>
      <w:r>
        <w:rPr>
          <w:sz w:val="21"/>
          <w:u w:val="single"/>
        </w:rPr>
        <w:t xml:space="preserve">     </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56"/>
        <w:gridCol w:w="961"/>
        <w:gridCol w:w="1089"/>
        <w:gridCol w:w="1153"/>
        <w:gridCol w:w="961"/>
        <w:gridCol w:w="961"/>
        <w:gridCol w:w="794"/>
        <w:gridCol w:w="794"/>
        <w:gridCol w:w="794"/>
      </w:tblGrid>
      <w:tr>
        <w:tc>
          <w:tcPr>
            <w:tcW w:type="dxa" w:w="75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89"/>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3"/>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sz w:val="21"/>
        </w:rPr>
        <w:t>中标折扣率：</w:t>
      </w:r>
      <w:r>
        <w:rPr>
          <w:sz w:val="21"/>
        </w:rPr>
        <w:t>_______________%。</w:t>
      </w:r>
    </w:p>
    <w:p>
      <w:pPr>
        <w:jc w:val="both"/>
      </w:pPr>
      <w:r>
        <w:rPr>
          <w:b/>
          <w:sz w:val="21"/>
        </w:rPr>
        <w:t>三、</w:t>
      </w:r>
      <w:r>
        <w:rPr>
          <w:b/>
          <w:sz w:val="21"/>
        </w:rPr>
        <w:t>服务范围</w:t>
      </w:r>
    </w:p>
    <w:p>
      <w:pPr>
        <w:jc w:val="both"/>
      </w:pPr>
      <w:r>
        <w:rPr>
          <w:sz w:val="21"/>
        </w:rPr>
        <w:t>　　甲方聘请乙方提供以下服务：</w:t>
      </w:r>
    </w:p>
    <w:p>
      <w:pPr>
        <w:numPr>
          <w:ilvl w:val="0"/>
          <w:numId w:val="1"/>
        </w:numPr>
        <w:jc w:val="both"/>
      </w:pPr>
      <w:r>
        <w:rPr>
          <w:sz w:val="21"/>
        </w:rPr>
        <w:t>本合同项下的服务指</w:t>
      </w:r>
      <w:r>
        <w:rPr>
          <w:sz w:val="21"/>
          <w:u w:val="single"/>
        </w:rPr>
        <w:t xml:space="preserve">                            </w:t>
      </w:r>
      <w:r>
        <w:rPr>
          <w:sz w:val="21"/>
        </w:rPr>
        <w:t>。</w:t>
      </w:r>
    </w:p>
    <w:p>
      <w:pPr>
        <w:numPr>
          <w:ilvl w:val="0"/>
          <w:numId w:val="1"/>
        </w:numPr>
        <w:jc w:val="both"/>
      </w:pP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w:t>
      </w:r>
      <w:r>
        <w:rPr>
          <w:b/>
          <w:sz w:val="21"/>
        </w:rPr>
        <w:t>考核</w:t>
      </w:r>
      <w:r>
        <w:rPr>
          <w:b/>
          <w:sz w:val="21"/>
        </w:rPr>
        <w:t>评估</w:t>
      </w:r>
    </w:p>
    <w:p>
      <w:pPr>
        <w:jc w:val="left"/>
      </w:pPr>
      <w:r>
        <w:rPr>
          <w:sz w:val="21"/>
        </w:rPr>
        <w:t>1.</w:t>
      </w:r>
      <w:r>
        <w:rPr>
          <w:sz w:val="21"/>
        </w:rPr>
        <w:t>具体要求以招标文件以及乙方的投标文件承诺为准，如招标文件与投标文件不一致时，以更有利于甲方的条款执行。</w:t>
      </w:r>
    </w:p>
    <w:p>
      <w:pPr>
        <w:jc w:val="left"/>
      </w:pPr>
      <w:r>
        <w:rPr>
          <w:sz w:val="21"/>
        </w:rPr>
        <w:t>2.</w:t>
      </w:r>
      <w:r>
        <w:rPr>
          <w:sz w:val="21"/>
        </w:rPr>
        <w:t xml:space="preserve"> </w:t>
      </w:r>
      <w:r>
        <w:rPr>
          <w:sz w:val="21"/>
        </w:rPr>
        <w:t>验收期限：全部服务完成后</w:t>
      </w:r>
      <w:r>
        <w:rPr>
          <w:sz w:val="21"/>
          <w:u w:val="single"/>
        </w:rPr>
        <w:t xml:space="preserve">   </w:t>
      </w:r>
      <w:r>
        <w:rPr>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履约保证金</w:t>
      </w:r>
    </w:p>
    <w:p>
      <w:r>
        <w:rPr>
          <w:sz w:val="21"/>
        </w:rPr>
        <w:t xml:space="preserve">  签订</w:t>
      </w:r>
      <w:r>
        <w:rPr>
          <w:sz w:val="21"/>
        </w:rPr>
        <w:t>采购合同后5个工作日内，乙方须向甲方缴纳对应采购包合同金额5%的履约保证金，在合同期内乙方没有违约行为，甲方在合同有效期满后30日内无息全额退还履约保证金。</w:t>
      </w:r>
    </w:p>
    <w:p>
      <w:pPr>
        <w:jc w:val="both"/>
      </w:pPr>
      <w:r>
        <w:rPr>
          <w:b/>
          <w:sz w:val="21"/>
        </w:rPr>
        <w:t>十二、</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p>
    <w:p>
      <w:pPr>
        <w:jc w:val="both"/>
      </w:pPr>
      <w:r>
        <w:rPr>
          <w:sz w:val="21"/>
        </w:rPr>
        <w:t>5．</w:t>
      </w:r>
      <w:r>
        <w:rPr>
          <w:sz w:val="21"/>
        </w:rPr>
        <w:t>其它违约责任按《中华人民共和国民法典》处理。</w:t>
      </w:r>
    </w:p>
    <w:p>
      <w:pPr>
        <w:jc w:val="both"/>
      </w:pPr>
      <w:r>
        <w:rPr>
          <w:b/>
          <w:sz w:val="21"/>
        </w:rPr>
        <w:t>十三、</w:t>
      </w:r>
      <w:r>
        <w:rPr>
          <w:b/>
          <w:sz w:val="21"/>
        </w:rPr>
        <w:t>争端的解决</w:t>
      </w:r>
    </w:p>
    <w:p>
      <w:pPr>
        <w:ind w:firstLine="420"/>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十四、</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十五、</w:t>
      </w:r>
      <w:r>
        <w:rPr>
          <w:b/>
          <w:sz w:val="21"/>
        </w:rPr>
        <w:t>税费</w:t>
      </w:r>
    </w:p>
    <w:p>
      <w:pPr>
        <w:ind w:firstLine="411"/>
        <w:jc w:val="both"/>
      </w:pPr>
      <w:r>
        <w:rPr>
          <w:sz w:val="21"/>
        </w:rPr>
        <w:t>在中国境内、外发生的与本合同执行有关的一切税费均由乙方负担。</w:t>
      </w:r>
    </w:p>
    <w:p>
      <w:pPr>
        <w:jc w:val="both"/>
      </w:pPr>
      <w:r>
        <w:rPr>
          <w:b/>
          <w:sz w:val="21"/>
        </w:rPr>
        <w:t>十六、</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440001-2023-44727</w:t>
      </w:r>
    </w:p>
    <w:p>
      <w:pPr>
        <w:jc w:val="center"/>
      </w:pPr>
      <w:r>
        <w:rPr>
          <w:b/>
          <w:sz w:val="24"/>
        </w:rPr>
        <w:t>采购项目编号：</w:t>
      </w:r>
      <w:r>
        <w:rPr>
          <w:b/>
          <w:sz w:val="24"/>
        </w:rPr>
        <w:t>GZGK23P192C0639Z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广东省科学院生物与医学工程研究所配餐服务点采购项目</w:t>
      </w:r>
      <w:r>
        <w:rPr>
          <w:u w:val="single"/>
        </w:rPr>
        <w:t>”</w:t>
      </w:r>
      <w:r>
        <w:rPr/>
        <w:t>项目的招标[采购项目编号为：</w:t>
      </w:r>
      <w:r>
        <w:rPr>
          <w:u w:val="single"/>
        </w:rPr>
        <w:t>GZGK23P192C0639Z</w:t>
      </w:r>
      <w:r>
        <w:rPr/>
        <w:t>]，我方愿参与投标。</w:t>
      </w:r>
    </w:p>
    <w:p>
      <w:pPr>
        <w:ind w:firstLine="480"/>
      </w:pPr>
      <w:r>
        <w:rPr/>
        <w:t>我方确认收到贵方提供的</w:t>
      </w:r>
      <w:r>
        <w:rPr>
          <w:u w:val="single"/>
        </w:rPr>
        <w:t>“</w:t>
      </w:r>
      <w:r>
        <w:rPr>
          <w:u w:val="single"/>
        </w:rPr>
        <w:t>广东省科学院生物与医学工程研究所配餐服务点采购项目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广东省科学院生物与医学工程研究所配餐服务点采购项目</w:t>
      </w:r>
      <w:r>
        <w:rPr/>
        <w:t>”项目采购[采购项目编号为</w:t>
      </w:r>
      <w:r>
        <w:rPr/>
        <w:t>GZGK23P192C0639Z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广东省科学院生物与医学工程研究所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广东省科学院生物与医学工程研究所配餐服务点采购项目</w:t>
      </w:r>
      <w:r>
        <w:rPr/>
        <w:t>招标中获中标（采购项目编号：</w:t>
      </w:r>
      <w:r>
        <w:rPr/>
        <w:t>GZGK23P192C0639Z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广东省科学院生物与医学工程研究所配餐服务点采购项目</w:t>
      </w:r>
      <w:r>
        <w:rPr/>
        <w:t>”项目（采购项目编号：</w:t>
      </w:r>
      <w:r>
        <w:rPr/>
        <w:t>GZGK23P192C0639Z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