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440001-2023-61411</w:t>
      </w:r>
    </w:p>
    <w:p>
      <w:pPr>
        <w:jc w:val="center"/>
      </w:pPr>
      <w:r>
        <w:rPr>
          <w:b/>
          <w:sz w:val="24"/>
        </w:rPr>
        <w:t>采购项目编号：</w:t>
      </w:r>
      <w:r>
        <w:rPr>
          <w:b/>
          <w:sz w:val="24"/>
        </w:rPr>
        <w:t>GZGK23P313A1020Z</w:t>
      </w:r>
    </w:p>
    <w:p>
      <w:pPr>
        <w:jc w:val="center"/>
      </w:pPr>
      <w:r>
        <w:rPr>
          <w:b/>
          <w:sz w:val="24"/>
        </w:rPr>
        <w:t>项目名称：</w:t>
      </w:r>
      <w:r>
        <w:rPr>
          <w:b/>
          <w:sz w:val="24"/>
        </w:rPr>
        <w:t>汕头大学2024年国内版图书、原版外文及港台图书和期刊采购项目</w:t>
      </w:r>
    </w:p>
    <w:p>
      <w:pPr>
        <w:jc w:val="center"/>
      </w:pPr>
      <w:r>
        <w:rPr>
          <w:b/>
          <w:sz w:val="24"/>
        </w:rPr>
        <w:t>采购人：</w:t>
      </w:r>
      <w:r>
        <w:rPr>
          <w:b/>
          <w:sz w:val="24"/>
        </w:rPr>
        <w:t>汕头大学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w:t>
      </w:r>
      <w:r>
        <w:rPr/>
        <w:t>的委托，采用</w:t>
      </w:r>
      <w:r>
        <w:rPr/>
        <w:t>公开招标</w:t>
      </w:r>
      <w:r>
        <w:rPr/>
        <w:t>方式组织采购</w:t>
      </w:r>
      <w:r>
        <w:rPr/>
        <w:t>汕头大学2024年国内版图书、原版外文及港台图书和期刊采购项目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汕头大学2024年国内版图书、原版外文及港台图书和期刊采购项目</w:t>
      </w:r>
    </w:p>
    <w:p>
      <w:pPr>
        <w:ind w:firstLine="480"/>
      </w:pPr>
      <w:r>
        <w:rPr/>
        <w:t>采购计划编号：</w:t>
      </w:r>
      <w:r>
        <w:rPr/>
        <w:t>440001-2023-61411</w:t>
      </w:r>
    </w:p>
    <w:p>
      <w:pPr>
        <w:ind w:firstLine="480"/>
      </w:pPr>
      <w:r>
        <w:rPr/>
        <w:t>采购项目编号：</w:t>
      </w:r>
      <w:r>
        <w:rPr/>
        <w:t>GZGK23P313A1020Z</w:t>
      </w:r>
    </w:p>
    <w:p>
      <w:pPr>
        <w:ind w:firstLine="480"/>
      </w:pPr>
      <w:r>
        <w:rPr/>
        <w:t>采购方式：</w:t>
      </w:r>
      <w:r>
        <w:rPr/>
        <w:t>公开招标</w:t>
      </w:r>
    </w:p>
    <w:p>
      <w:pPr>
        <w:ind w:firstLine="480"/>
      </w:pPr>
      <w:r>
        <w:rPr/>
        <w:t>预算金额：</w:t>
      </w:r>
      <w:r>
        <w:rPr/>
        <w:t>3,051,000.00</w:t>
      </w:r>
      <w:r>
        <w:rPr/>
        <w:t>元</w:t>
      </w:r>
    </w:p>
    <w:p>
      <w:r>
        <w:rPr>
          <w:b/>
          <w:sz w:val="24"/>
        </w:rPr>
        <w:t>2.项目内容及需求情况（采购项目技术规格、参数及要求）</w:t>
      </w:r>
    </w:p>
    <w:p>
      <w:pPr>
        <w:ind w:firstLine="480"/>
      </w:pPr>
    </w:p>
    <w:p/>
    <w:p>
      <w:r>
        <w:rPr/>
        <w:t>采购包1(国内版图书):</w:t>
      </w:r>
    </w:p>
    <w:p>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其他普通图书</w:t>
            </w:r>
          </w:p>
        </w:tc>
        <w:tc>
          <w:tcPr>
            <w:tcW w:type="dxa" w:w="2052"/>
          </w:tcPr>
          <w:p>
            <w:r>
              <w:rPr/>
              <w:t>国内版图书</w:t>
            </w:r>
          </w:p>
        </w:tc>
        <w:tc>
          <w:tcPr>
            <w:tcW w:type="dxa" w:w="977"/>
          </w:tcPr>
          <w:p>
            <w:r>
              <w:rPr/>
              <w:t>1.00(批)</w:t>
            </w:r>
          </w:p>
        </w:tc>
        <w:tc>
          <w:tcPr>
            <w:tcW w:type="dxa" w:w="977"/>
          </w:tcPr>
          <w:p>
            <w:r>
              <w:rPr/>
              <w:t>详见第二章</w:t>
            </w:r>
          </w:p>
        </w:tc>
        <w:tc>
          <w:tcPr>
            <w:tcW w:type="dxa" w:w="977"/>
          </w:tcPr>
          <w:p>
            <w:r>
              <w:rPr/>
              <w:t>1,900,000.00</w:t>
            </w:r>
          </w:p>
        </w:tc>
        <w:tc>
          <w:tcPr>
            <w:tcW w:type="dxa" w:w="977"/>
          </w:tcPr>
          <w:p>
            <w:r>
              <w:rPr/>
              <w:t>否</w:t>
            </w:r>
          </w:p>
        </w:tc>
      </w:tr>
    </w:tbl>
    <w:p/>
    <w:p>
      <w:r>
        <w:rPr/>
        <w:t>本采购包不接受联合体投标</w:t>
      </w:r>
    </w:p>
    <w:p/>
    <w:p>
      <w:r>
        <w:rPr/>
        <w:t>合同履行期限：见“标的提供时间”要求。</w:t>
      </w:r>
    </w:p>
    <w:p/>
    <w:p>
      <w:r>
        <w:rPr/>
        <w:t>采购包2(原版外文及港台图书):</w:t>
      </w:r>
    </w:p>
    <w:p>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其他图书</w:t>
            </w:r>
          </w:p>
        </w:tc>
        <w:tc>
          <w:tcPr>
            <w:tcW w:type="dxa" w:w="2052"/>
          </w:tcPr>
          <w:p>
            <w:r>
              <w:rPr/>
              <w:t>原版外文及港台图书</w:t>
            </w:r>
          </w:p>
        </w:tc>
        <w:tc>
          <w:tcPr>
            <w:tcW w:type="dxa" w:w="977"/>
          </w:tcPr>
          <w:p>
            <w:r>
              <w:rPr/>
              <w:t>1.00(批)</w:t>
            </w:r>
          </w:p>
        </w:tc>
        <w:tc>
          <w:tcPr>
            <w:tcW w:type="dxa" w:w="977"/>
          </w:tcPr>
          <w:p>
            <w:r>
              <w:rPr/>
              <w:t>详见第二章</w:t>
            </w:r>
          </w:p>
        </w:tc>
        <w:tc>
          <w:tcPr>
            <w:tcW w:type="dxa" w:w="977"/>
          </w:tcPr>
          <w:p>
            <w:r>
              <w:rPr/>
              <w:t>500,000.00</w:t>
            </w:r>
          </w:p>
        </w:tc>
        <w:tc>
          <w:tcPr>
            <w:tcW w:type="dxa" w:w="977"/>
          </w:tcPr>
          <w:p>
            <w:r>
              <w:rPr/>
              <w:t>是</w:t>
            </w:r>
          </w:p>
        </w:tc>
      </w:tr>
    </w:tbl>
    <w:p/>
    <w:p>
      <w:r>
        <w:rPr/>
        <w:t>本采购包不接受联合体投标</w:t>
      </w:r>
    </w:p>
    <w:p/>
    <w:p>
      <w:r>
        <w:rPr/>
        <w:t>合同履行期限：见“标的提供时间”要求。</w:t>
      </w:r>
    </w:p>
    <w:p/>
    <w:p>
      <w:r>
        <w:rPr/>
        <w:t>采购包3(原版外文及港台期刊):</w:t>
      </w:r>
    </w:p>
    <w:p>
      <w:r>
        <w:rPr/>
        <w:t>采购包预算金额：651,000.00元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其他期刊</w:t>
            </w:r>
          </w:p>
        </w:tc>
        <w:tc>
          <w:tcPr>
            <w:tcW w:type="dxa" w:w="2052"/>
          </w:tcPr>
          <w:p>
            <w:r>
              <w:rPr/>
              <w:t>原版外文及港台期刊</w:t>
            </w:r>
          </w:p>
        </w:tc>
        <w:tc>
          <w:tcPr>
            <w:tcW w:type="dxa" w:w="977"/>
          </w:tcPr>
          <w:p>
            <w:r>
              <w:rPr/>
              <w:t>1.00(批)</w:t>
            </w:r>
          </w:p>
        </w:tc>
        <w:tc>
          <w:tcPr>
            <w:tcW w:type="dxa" w:w="977"/>
          </w:tcPr>
          <w:p>
            <w:r>
              <w:rPr/>
              <w:t>详见第二章</w:t>
            </w:r>
          </w:p>
        </w:tc>
        <w:tc>
          <w:tcPr>
            <w:tcW w:type="dxa" w:w="977"/>
          </w:tcPr>
          <w:p>
            <w:r>
              <w:rPr/>
              <w:t>651,000.00</w:t>
            </w:r>
          </w:p>
        </w:tc>
        <w:tc>
          <w:tcPr>
            <w:tcW w:type="dxa" w:w="97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采购包1（国内版图书）：</w:t>
      </w:r>
      <w:r>
        <w:rPr/>
        <w:t>本采购包整体不专门面向中小企业。</w:t>
      </w:r>
    </w:p>
    <w:p>
      <w:pPr>
        <w:jc w:val="left"/>
      </w:pPr>
    </w:p>
    <w:p>
      <w:r>
        <w:rPr/>
        <w:t>采购包2（原版外文及港台图书）：</w:t>
      </w:r>
      <w:r>
        <w:rPr/>
        <w:t>本采购包整体不专门面向中小企业。</w:t>
      </w:r>
    </w:p>
    <w:p>
      <w:pPr>
        <w:jc w:val="left"/>
      </w:pPr>
    </w:p>
    <w:p>
      <w:r>
        <w:rPr/>
        <w:t>采购包3（原版外文及港台期刊）：</w:t>
      </w:r>
      <w:r>
        <w:rPr/>
        <w:t>本采购包整体不专门面向中小企业。</w:t>
      </w:r>
    </w:p>
    <w:p/>
    <w:p>
      <w:r>
        <w:rPr>
          <w:b/>
          <w:sz w:val="24"/>
        </w:rPr>
        <w:t>3.本项目特定的资格要求：</w:t>
      </w:r>
    </w:p>
    <w:p>
      <w:pPr>
        <w:ind w:firstLine="480"/>
      </w:pPr>
    </w:p>
    <w:p/>
    <w:p>
      <w:r>
        <w:rPr/>
        <w:t>采购包1（国内版图书）：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p/>
    <w:p>
      <w:r>
        <w:rPr/>
        <w:t>3)已获取本项目采购文件。</w:t>
      </w:r>
    </w:p>
    <w:p/>
    <w:p>
      <w:r>
        <w:rPr/>
        <w:t>4)投标人具有在有效的《中华人民共和国出版物经营许可证》。</w:t>
      </w:r>
    </w:p>
    <w:p/>
    <w:p>
      <w:r>
        <w:rPr/>
        <w:t>采购包2（原版外文及港台图书）：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p/>
    <w:p>
      <w:r>
        <w:rPr/>
        <w:t>3)已获取本项目采购文件。</w:t>
      </w:r>
    </w:p>
    <w:p/>
    <w:p>
      <w:r>
        <w:rPr/>
        <w:t>4)投标人具有在有效的《中华人民共和国出版物经营许可证》和《中华人民共和国出版物进口经营许可证》。</w:t>
      </w:r>
    </w:p>
    <w:p/>
    <w:p>
      <w:r>
        <w:rPr/>
        <w:t>采购包3（原版外文及港台期刊）：</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p/>
    <w:p>
      <w:r>
        <w:rPr/>
        <w:t>3)已获取本项目采购文件。</w:t>
      </w:r>
    </w:p>
    <w:p/>
    <w:p>
      <w:r>
        <w:rPr/>
        <w:t>4)投标人具有在有效的《中华人民共和国出版物经营许可证》和《中华人民共和国出版物进口经营许可证》。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GZGK23P313A1020Z</w:t>
      </w:r>
    </w:p>
    <w:p>
      <w:pPr>
        <w:jc w:val="both"/>
      </w:pPr>
      <w:r>
        <w:rPr>
          <w:b/>
          <w:sz w:val="21"/>
        </w:rPr>
        <w:t>（二）项目名称：</w:t>
      </w:r>
      <w:r>
        <w:rPr>
          <w:sz w:val="21"/>
        </w:rPr>
        <w:t>汕头大学2024年国内版图书、原版外文及港台图书和期刊采购项目</w:t>
      </w:r>
    </w:p>
    <w:p>
      <w:pPr>
        <w:jc w:val="both"/>
      </w:pPr>
      <w:r>
        <w:rPr>
          <w:b/>
          <w:sz w:val="21"/>
        </w:rPr>
        <w:t>（三）总体要求说明：</w:t>
      </w:r>
    </w:p>
    <w:p>
      <w:pPr>
        <w:jc w:val="both"/>
      </w:pPr>
      <w:r>
        <w:rPr>
          <w:sz w:val="21"/>
        </w:rPr>
        <w:t>1、标有“★”的条款为必须完全满足的实质性要求，投标人如有一项带“★”的条款未响应或负偏离，将按无效投标处理。</w:t>
      </w:r>
    </w:p>
    <w:p>
      <w:pPr>
        <w:jc w:val="both"/>
      </w:pPr>
      <w:r>
        <w:rPr>
          <w:sz w:val="21"/>
        </w:rPr>
        <w:t>2、标有“▲”的条款为重要性要求，投标人如有“▲”的条款未响应或负偏离的将被严重扣分。</w:t>
      </w:r>
    </w:p>
    <w:p>
      <w:pPr>
        <w:jc w:val="both"/>
      </w:pPr>
      <w:r>
        <w:rPr>
          <w:sz w:val="21"/>
        </w:rPr>
        <w:t>3、投标人必须承诺提供厂商原装、全新的、符合国家及用户提出的有关质量标准的货物。</w:t>
      </w:r>
    </w:p>
    <w:p>
      <w:pPr>
        <w:jc w:val="both"/>
      </w:pPr>
      <w:r>
        <w:rPr>
          <w:sz w:val="21"/>
        </w:rPr>
        <w:t>4、投标人应对采购需求中的产品性能和技术指标在响应详细内容中列出具体数值。如果投标人只注明“正偏离”或“无偏离”，将可能被视为“负偏离”，从而可能导致严重影响评标结果。</w:t>
      </w:r>
    </w:p>
    <w:p>
      <w:pPr>
        <w:jc w:val="both"/>
      </w:pPr>
      <w:r>
        <w:rPr>
          <w:sz w:val="21"/>
        </w:rPr>
        <w:t>5、投标人没有在投标文件中注明偏离（文字说明或在响应表注明）的参数、配置、条款视为被投标人完全接受。</w:t>
      </w:r>
    </w:p>
    <w:p>
      <w:pPr>
        <w:jc w:val="both"/>
      </w:pPr>
      <w:r>
        <w:rPr>
          <w:sz w:val="21"/>
        </w:rPr>
        <w:t>6、投标人应保证，采购人在中华人民共和国使用该货物或货物的任何一部分时，免受第三方提出的侵犯其专利权、商标权、著作权或其它知识产权的起诉。</w:t>
      </w:r>
    </w:p>
    <w:p>
      <w:pPr>
        <w:jc w:val="both"/>
      </w:pPr>
      <w:r>
        <w:rPr>
          <w:sz w:val="21"/>
        </w:rPr>
        <w:t>7、不允许中标供应商转包、分包项目的内容。</w:t>
      </w:r>
    </w:p>
    <w:p>
      <w:pPr>
        <w:jc w:val="both"/>
      </w:pPr>
      <w:r>
        <w:rPr>
          <w:sz w:val="21"/>
        </w:rPr>
        <w:t>8、小型和微型企业、监狱企业和残疾人福利性单位必须按照投标须知的内容提供相应的资料。</w:t>
      </w:r>
    </w:p>
    <w:p>
      <w:pPr>
        <w:jc w:val="both"/>
      </w:pPr>
      <w:r>
        <w:rPr>
          <w:sz w:val="21"/>
        </w:rPr>
        <w:t>9、需落实政府采购政策为：促进中小企业发展政策、支持监狱企业发展政策、支持残疾人福利性单位发展政策、优先采购节能产品、环境标志产品相关政策等。</w:t>
      </w:r>
    </w:p>
    <w:p>
      <w:pPr>
        <w:jc w:val="both"/>
      </w:pPr>
      <w:r>
        <w:rPr>
          <w:b/>
          <w:sz w:val="21"/>
        </w:rPr>
        <w:t>（四）其他说明：</w:t>
      </w:r>
    </w:p>
    <w:p>
      <w:pPr>
        <w:jc w:val="both"/>
      </w:pPr>
      <w:r>
        <w:rPr>
          <w:sz w:val="21"/>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在疫情防控政策允许的前提下，投标人亦可委派代表携带CA-key、存储有非加密投标文件的U盘及纸质投标文件前往开标现场进行签到、解密。</w:t>
      </w:r>
    </w:p>
    <w:p>
      <w:pPr>
        <w:jc w:val="both"/>
      </w:pPr>
      <w:r>
        <w:rPr>
          <w:sz w:val="21"/>
        </w:rPr>
        <w:t>2、纸质投标文件及投标样品邮寄地址（邮寄地址：</w:t>
      </w:r>
      <w:r>
        <w:rPr>
          <w:sz w:val="21"/>
        </w:rPr>
        <w:t>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w:t>
      </w:r>
      <w:r>
        <w:rPr>
          <w:sz w:val="21"/>
        </w:rPr>
        <w:t>，收件人及电话：详见项目公告的项目联系人）。投标人如选择邮寄投标文件及投标样品，请提前安排时间邮寄，务必保证投标文件及投标样品于提交投标文件截止时间前到达上述地址（以签收时间为准），并及时将快递单号发送至招标代理机构邮箱：</w:t>
      </w:r>
      <w:r>
        <w:rPr>
          <w:sz w:val="21"/>
        </w:rPr>
        <w:t>gzgk@gzgkbidding.com</w:t>
      </w:r>
      <w:r>
        <w:rPr>
          <w:sz w:val="21"/>
        </w:rPr>
        <w:t>。</w:t>
      </w:r>
    </w:p>
    <w:p>
      <w:pPr>
        <w:jc w:val="both"/>
      </w:pPr>
      <w:r>
        <w:rPr>
          <w:sz w:val="21"/>
        </w:rPr>
        <w:t>3、供应商电脑需提前安装CA签章客户端，并运行CA证书。</w:t>
      </w:r>
    </w:p>
    <w:p>
      <w:pPr>
        <w:jc w:val="both"/>
      </w:pPr>
      <w:r>
        <w:rPr>
          <w:sz w:val="21"/>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sz w:val="21"/>
        </w:rPr>
        <w:t>（五）投标报价说明：</w:t>
      </w:r>
    </w:p>
    <w:p>
      <w:pPr>
        <w:jc w:val="both"/>
      </w:pPr>
      <w:r>
        <w:rPr>
          <w:sz w:val="21"/>
        </w:rPr>
        <w:t>1、</w:t>
      </w:r>
      <w:r>
        <w:rPr>
          <w:sz w:val="21"/>
        </w:rPr>
        <w:t>投标报价包括：书款、运输、</w:t>
      </w:r>
      <w:r>
        <w:rPr>
          <w:sz w:val="21"/>
        </w:rPr>
        <w:t>包装、</w:t>
      </w:r>
      <w:r>
        <w:rPr>
          <w:sz w:val="21"/>
        </w:rPr>
        <w:t>保险、投入人员费用（包括应付的工资和应缴纳的五险一金等费用）、图书加工费、组织现采活动所需要的费用、交通费、物耗费用、税费、利润、不可预见费等在项目实施过程中的全部费用，投标人报价中漏报、少报的费用，视为此项费用已隐含在投标报价中，中标后不得再向采购人收取任何费用</w:t>
      </w:r>
      <w:r>
        <w:rPr>
          <w:sz w:val="21"/>
        </w:rPr>
        <w:t>。</w:t>
      </w:r>
    </w:p>
    <w:p>
      <w:pPr>
        <w:jc w:val="both"/>
      </w:pPr>
      <w:r>
        <w:rPr>
          <w:sz w:val="21"/>
        </w:rPr>
        <w:t>2、投标报价（投标</w:t>
      </w:r>
      <w:r>
        <w:rPr>
          <w:sz w:val="21"/>
        </w:rPr>
        <w:t>折扣</w:t>
      </w:r>
      <w:r>
        <w:rPr>
          <w:sz w:val="21"/>
        </w:rPr>
        <w:t>）说明：投标综合折扣必须为固定报价（□□.□□％），不接受区间报价（例如□□.□□％～□□.□□％），在报价区间要求范围内取值，若报价超出此范围则响应无效。各种货物的采购数量按采购人实际需求。例如：货物基准价为100元，投标拟优惠20元，实际供货单价为80元，那么投标综合折扣则为：80.00/100.00*100%=80.00%。</w:t>
      </w:r>
    </w:p>
    <w:p>
      <w:pPr>
        <w:ind w:firstLine="210"/>
        <w:jc w:val="both"/>
      </w:pPr>
      <w:r>
        <w:rPr>
          <w:sz w:val="21"/>
        </w:rPr>
        <w:t>3、报价区间要求：</w:t>
      </w:r>
      <w:r>
        <w:rPr>
          <w:sz w:val="21"/>
        </w:rPr>
        <w:t>采购包</w:t>
      </w:r>
      <w:r>
        <w:rPr>
          <w:sz w:val="21"/>
        </w:rPr>
        <w:t>1：国内版图书折扣率为0%-70%；</w:t>
      </w:r>
      <w:r>
        <w:rPr>
          <w:sz w:val="21"/>
        </w:rPr>
        <w:t>采购包</w:t>
      </w:r>
      <w:r>
        <w:rPr>
          <w:sz w:val="21"/>
        </w:rPr>
        <w:t>2：原版外文及港台图书的折扣率为0%-90%；</w:t>
      </w:r>
      <w:r>
        <w:rPr>
          <w:sz w:val="21"/>
        </w:rPr>
        <w:t>采购包</w:t>
      </w:r>
      <w:r>
        <w:rPr>
          <w:sz w:val="21"/>
        </w:rPr>
        <w:t>3：原版外文及港台期刊的折扣率为0%-94%。</w:t>
      </w:r>
    </w:p>
    <w:p>
      <w:pPr>
        <w:jc w:val="both"/>
      </w:pPr>
      <w:r>
        <w:rPr>
          <w:b/>
          <w:sz w:val="21"/>
        </w:rPr>
        <w:t>（</w:t>
      </w:r>
      <w:r>
        <w:rPr>
          <w:b/>
          <w:sz w:val="21"/>
        </w:rPr>
        <w:t>六</w:t>
      </w:r>
      <w:r>
        <w:rPr>
          <w:b/>
          <w:sz w:val="21"/>
        </w:rPr>
        <w:t>）实现的功能</w:t>
      </w:r>
    </w:p>
    <w:p>
      <w:pPr>
        <w:jc w:val="both"/>
      </w:pPr>
      <w:r>
        <w:rPr>
          <w:b/>
          <w:sz w:val="21"/>
        </w:rPr>
        <w:t xml:space="preserve">  </w:t>
      </w:r>
      <w:r>
        <w:rPr>
          <w:sz w:val="21"/>
        </w:rPr>
        <w:t xml:space="preserve"> 图书馆是学校的文献信息中心，每年均需采购各类纸质国内版图书，以满足学校教学及科研的需要。</w:t>
      </w:r>
    </w:p>
    <w:p>
      <w:pPr>
        <w:jc w:val="both"/>
      </w:pPr>
      <w:r>
        <w:rPr>
          <w:b/>
          <w:sz w:val="21"/>
        </w:rPr>
        <w:t>（</w:t>
      </w:r>
      <w:r>
        <w:rPr>
          <w:b/>
          <w:sz w:val="21"/>
        </w:rPr>
        <w:t>七</w:t>
      </w:r>
      <w:r>
        <w:rPr>
          <w:b/>
          <w:sz w:val="21"/>
        </w:rPr>
        <w:t>）需执行国家相关标准、行业标准、地方标准或者其他标准、规范</w:t>
      </w:r>
    </w:p>
    <w:p/>
    <w:p>
      <w:pPr>
        <w:ind w:firstLine="480"/>
      </w:pPr>
    </w:p>
    <w:p/>
    <w:p>
      <w:r>
        <w:rPr/>
        <w:t>采购包1（国内版图书）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交货期：合同签订后，订购图书的半年到书率90%以上；采购人指定书目(零订图书，市场上有流通的)30天到书率总体不得低于90%。</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有效期内，到馆图书经采购人验收合格，分十次完成交付，每批次图书到货后，经采购人完成验收工作，需要退换书的办妥退换书手续，并经双方确认后，按结算价结算。结算价格已包含履行合同及本项目招标文件特别是其中“技术标准与要求”要求所有相关服务所需的服务费用、其他费用及相关税费，采购人不再支付结算价格以外的其他任何费用。中标人提供国家税务部门监制的销售正式发票。图书结算价（实洋）（人民币元）＝图书定价×中标综合折扣率。 采购人于收到发票15日内实洋付款。 支付方式：采用支票、银行汇付（含电汇）等形式。</w:t>
            </w:r>
          </w:p>
        </w:tc>
      </w:tr>
      <w:tr>
        <w:tc>
          <w:tcPr>
            <w:tcW w:type="dxa" w:w="4153"/>
          </w:tcPr>
          <w:p>
            <w:r>
              <w:rPr/>
              <w:t>验收要求</w:t>
            </w:r>
          </w:p>
        </w:tc>
        <w:tc>
          <w:tcPr>
            <w:tcW w:type="dxa" w:w="4153"/>
          </w:tcPr>
          <w:p/>
          <w:p/>
          <w:p/>
          <w:p>
            <w:r>
              <w:rPr/>
              <w:t>1期：图书验收以采购人最终的验收结果为准。 1、所有送达图书馆的图书的品种及复本数量均由采购人决定，中标供应商不得自行搭配和追加非采购人确认订购的品种和复本数量的图书。 2、中标供应商应保证销售正版图书，保证所供应图书的版本与进书来源合法，并对所供应的图书版本、知识产权、进货来源承担相应的法律责任。如发现盗版现象，由中标供应商负全部法律责任。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包装与运输，包装应用合适的材料，适用长途运输、防潮、防震、能够保证图书的完整。</w:t>
            </w:r>
          </w:p>
          <w:p/>
          <w:p>
            <w:r>
              <w:rPr/>
              <w:t>保险，货物从出厂运至采购人指定地点的保险费用须包含在投标报价中。</w:t>
            </w:r>
          </w:p>
          <w:p/>
          <w:p>
            <w:r>
              <w:rPr/>
              <w:t>质量保证，出现如下情况，中标供应商必须在3个工作日内无条件更换：图书/期刊装订或印刷质量有问题，如缺页、倒装、模糊不清、折页、开线、开胶等；图书/期刊总数与对应清单不符；出现污损情况；图书/期刊的附件如光盘等不齐全。</w:t>
            </w:r>
          </w:p>
          <w:p/>
          <w:p>
            <w:r>
              <w:rPr/>
              <w:t>售后服务，1. 中标供应商须专门指派一名业务人员，负责与采购人保持业务联系。 2. 中标供应商在投递的每批图书、期刊中应随货附送与货物数量、品种、价格相符的详细电脑清单及汇总单，以便于双方协调验收和避免出现漏发、错投的现象。 3. 对汇总单中漏发的图书、期刊，中标供应商必须立刻快递补齐。 4. 对延迟出版及取消出版图书、期刊，中标供应商应及时向出版机构查询交涉，并同步通报采购人。 5. 接采购人通知（含电话）后，中标供应商必须在一个工作日内作出反馈并提出处理问题的方案。</w:t>
            </w:r>
          </w:p>
        </w:tc>
      </w:tr>
    </w:tbl>
    <w:p>
      <w:r>
        <w:rPr>
          <w:b/>
        </w:rPr>
        <w:t>2.技术标准与要求</w:t>
      </w:r>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其他普通图书</w:t>
            </w:r>
          </w:p>
        </w:tc>
        <w:tc>
          <w:tcPr>
            <w:tcW w:type="dxa" w:w="748"/>
          </w:tcPr>
          <w:p>
            <w:pPr>
              <w:jc w:val="left"/>
            </w:pPr>
            <w:r>
              <w:rPr/>
              <w:t>国内版图书</w:t>
            </w:r>
          </w:p>
        </w:tc>
        <w:tc>
          <w:tcPr>
            <w:tcW w:type="dxa" w:w="748"/>
          </w:tcPr>
          <w:p>
            <w:pPr>
              <w:jc w:val="left"/>
            </w:pPr>
            <w:r>
              <w:rPr/>
              <w:t>批</w:t>
            </w:r>
          </w:p>
        </w:tc>
        <w:tc>
          <w:tcPr>
            <w:tcW w:type="dxa" w:w="748"/>
          </w:tcPr>
          <w:p>
            <w:pPr>
              <w:jc w:val="right"/>
            </w:pPr>
            <w:r>
              <w:rPr/>
              <w:t>1.00</w:t>
            </w:r>
          </w:p>
        </w:tc>
        <w:tc>
          <w:tcPr>
            <w:tcW w:type="dxa" w:w="748"/>
          </w:tcPr>
          <w:p>
            <w:pPr>
              <w:jc w:val="right"/>
            </w:pPr>
            <w:r>
              <w:rPr/>
              <w:t>1,900,000.00</w:t>
            </w:r>
          </w:p>
        </w:tc>
        <w:tc>
          <w:tcPr>
            <w:tcW w:type="dxa" w:w="748"/>
          </w:tcPr>
          <w:p>
            <w:pPr>
              <w:jc w:val="right"/>
            </w:pPr>
            <w:r>
              <w:rPr/>
              <w:t>1,900,000.00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国内版图书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、项目需求概况：</w:t>
            </w:r>
          </w:p>
          <w:p>
            <w:pPr>
              <w:jc w:val="both"/>
            </w:pPr>
            <w:r>
              <w:rPr>
                <w:sz w:val="21"/>
              </w:rPr>
              <w:t>(1)</w:t>
            </w:r>
            <w:r>
              <w:rPr>
                <w:sz w:val="21"/>
              </w:rPr>
              <w:t>本项目所采购的图书为</w:t>
            </w:r>
            <w:r>
              <w:rPr>
                <w:sz w:val="21"/>
              </w:rPr>
              <w:t>2022</w:t>
            </w:r>
            <w:r>
              <w:rPr>
                <w:sz w:val="21"/>
              </w:rPr>
              <w:t>年</w:t>
            </w:r>
            <w:r>
              <w:rPr>
                <w:sz w:val="21"/>
              </w:rPr>
              <w:t>1</w:t>
            </w:r>
            <w:r>
              <w:rPr>
                <w:sz w:val="21"/>
              </w:rPr>
              <w:t>月</w:t>
            </w:r>
            <w:r>
              <w:rPr>
                <w:sz w:val="21"/>
              </w:rPr>
              <w:t>1</w:t>
            </w:r>
            <w:r>
              <w:rPr>
                <w:sz w:val="21"/>
              </w:rPr>
              <w:t>日后出版的本科高校适用的全新、正版的国内版纸质图书。</w:t>
            </w:r>
          </w:p>
          <w:p>
            <w:pPr>
              <w:jc w:val="both"/>
            </w:pPr>
            <w:r>
              <w:rPr>
                <w:sz w:val="21"/>
              </w:rPr>
              <w:t>(2)</w:t>
            </w:r>
            <w:r>
              <w:rPr>
                <w:sz w:val="21"/>
              </w:rPr>
              <w:t>采购数量：约</w:t>
            </w:r>
            <w:r>
              <w:rPr>
                <w:sz w:val="21"/>
              </w:rPr>
              <w:t>3.7</w:t>
            </w:r>
            <w:r>
              <w:rPr>
                <w:sz w:val="21"/>
              </w:rPr>
              <w:t>万册，每种图书复本量以实际订单为准，采购图书实洋总额不超人民币</w:t>
            </w:r>
            <w:r>
              <w:rPr>
                <w:sz w:val="21"/>
              </w:rPr>
              <w:t>190</w:t>
            </w:r>
            <w:r>
              <w:rPr>
                <w:sz w:val="21"/>
              </w:rPr>
              <w:t>万元。</w:t>
            </w:r>
          </w:p>
          <w:p>
            <w:pPr>
              <w:jc w:val="both"/>
            </w:pPr>
            <w:r>
              <w:rPr>
                <w:sz w:val="21"/>
              </w:rPr>
              <w:t>(3)</w:t>
            </w:r>
            <w:r>
              <w:rPr>
                <w:sz w:val="21"/>
              </w:rPr>
              <w:t>图书类别：采购人学校内设置的各学科专业图书和教材教辅图书，主要包括但不限于以下专业：经济、贸易、金融、会计、法学、社会学、教育学、文学、哲学、历史、心理学、美术、体育、外语（英语、日语、法语、西班牙语等）、广告学、传播学、艺术设计、工业设计、数学、物理学、化学、食品科学、生物科学、生物技术、电子科学与技术、材料学、机械设计制造及其自动化、测控技术、光电工程、电子信息、通信、计算机、医学、软件工程、建筑学、城市规划、土木工程、管理学（信息管理、工商管理、市场营销、人力资源管理、电子商务、行政管理、城市管理），以及其它社会科学、自然科学类图书，其中以上相关专业的本科及研究生教材是采购重点，应当配齐。</w:t>
            </w:r>
          </w:p>
          <w:p>
            <w:pPr>
              <w:jc w:val="both"/>
            </w:pPr>
            <w:r>
              <w:rPr>
                <w:sz w:val="21"/>
              </w:rPr>
              <w:t>(4)</w:t>
            </w:r>
            <w:r>
              <w:rPr>
                <w:sz w:val="21"/>
              </w:rPr>
              <w:t>中标人应当能够提供包括社科新书目和科技新书目在内的充足的符合</w:t>
            </w:r>
            <w:r>
              <w:rPr>
                <w:sz w:val="21"/>
              </w:rPr>
              <w:t>CNMARC</w:t>
            </w:r>
            <w:r>
              <w:rPr>
                <w:sz w:val="21"/>
              </w:rPr>
              <w:t>标准的电子版的期货书目（即预订新书目）采访数据的下载和网上报订服务，采购人直接从电子版书目中挑选订购图书并向中标人提供购书清单，中标人应当严格按照购书清单的要求按质按量按时提供图书。</w:t>
            </w:r>
          </w:p>
          <w:p>
            <w:pPr>
              <w:jc w:val="both"/>
            </w:pPr>
            <w:r>
              <w:rPr>
                <w:sz w:val="21"/>
              </w:rPr>
              <w:t>A.</w:t>
            </w:r>
            <w:r>
              <w:rPr>
                <w:sz w:val="21"/>
              </w:rPr>
              <w:t>书目订购主要参考能全面客观反映全国已出版或即将出版新书信息的采访书目，尤其是采购人学校图书馆根据本校学科特点认定的重点出版社以及新闻出版署等评定的新书信息，包括但不限于图书供应商书目、馆藏重点出版社书目、《科技新书目》和《社科新书目》以及各类推荐图书和获奖图书等。对采购人自定的主题，应在一周内将该主题的书目信息搜集齐全，并发送到指定邮箱供选择征订。</w:t>
            </w:r>
          </w:p>
          <w:p>
            <w:pPr>
              <w:jc w:val="both"/>
            </w:pPr>
            <w:r>
              <w:rPr>
                <w:sz w:val="21"/>
              </w:rPr>
              <w:t>B.</w:t>
            </w:r>
            <w:r>
              <w:rPr>
                <w:sz w:val="21"/>
              </w:rPr>
              <w:t>采购书源、采购方式、采购图书的品种和出版社等完全根据采购人学校图书馆需要</w:t>
            </w:r>
            <w:r>
              <w:rPr>
                <w:sz w:val="21"/>
              </w:rPr>
              <w:t>，</w:t>
            </w:r>
            <w:r>
              <w:rPr>
                <w:sz w:val="21"/>
              </w:rPr>
              <w:t>中标供应商不得对采购人</w:t>
            </w:r>
            <w:r>
              <w:rPr>
                <w:sz w:val="21"/>
              </w:rPr>
              <w:t>学校</w:t>
            </w:r>
            <w:r>
              <w:rPr>
                <w:sz w:val="21"/>
              </w:rPr>
              <w:t>图书馆的采购设置任何障碍。</w:t>
            </w:r>
          </w:p>
          <w:p>
            <w:pPr>
              <w:jc w:val="both"/>
            </w:pPr>
            <w:r>
              <w:rPr>
                <w:sz w:val="21"/>
              </w:rPr>
              <w:t>(5)</w:t>
            </w:r>
            <w:r>
              <w:rPr>
                <w:sz w:val="21"/>
              </w:rPr>
              <w:t>书目信息量：中标人应当保证能够每年负责提供符合采购人学校内图书馆馆藏要求的电子版书目≥</w:t>
            </w:r>
            <w:r>
              <w:rPr>
                <w:sz w:val="21"/>
              </w:rPr>
              <w:t>8</w:t>
            </w:r>
            <w:r>
              <w:rPr>
                <w:sz w:val="21"/>
              </w:rPr>
              <w:t>万种，每周至少提供一期电子版新书书目（</w:t>
            </w:r>
            <w:r>
              <w:rPr>
                <w:sz w:val="21"/>
              </w:rPr>
              <w:t>2000</w:t>
            </w:r>
            <w:r>
              <w:rPr>
                <w:sz w:val="21"/>
              </w:rPr>
              <w:t>种左右的书目信息），并按照社科版和科技版分成两批次，电子版书目格式为</w:t>
            </w:r>
            <w:r>
              <w:rPr>
                <w:sz w:val="21"/>
              </w:rPr>
              <w:t>CNMARC</w:t>
            </w:r>
            <w:r>
              <w:rPr>
                <w:sz w:val="21"/>
              </w:rPr>
              <w:t>格式。</w:t>
            </w:r>
          </w:p>
          <w:p>
            <w:pPr>
              <w:jc w:val="both"/>
            </w:pPr>
            <w:r>
              <w:rPr>
                <w:sz w:val="21"/>
              </w:rPr>
              <w:t>(6)</w:t>
            </w:r>
            <w:r>
              <w:rPr>
                <w:sz w:val="21"/>
              </w:rPr>
              <w:t>数据要求：中标人提供的电子版书目采访数据应符合采购人学校图书馆的技术要求：</w:t>
            </w:r>
          </w:p>
          <w:p>
            <w:pPr>
              <w:jc w:val="both"/>
            </w:pPr>
            <w:r>
              <w:rPr>
                <w:sz w:val="21"/>
              </w:rPr>
              <w:t>A.</w:t>
            </w:r>
            <w:r>
              <w:rPr>
                <w:sz w:val="21"/>
              </w:rPr>
              <w:t>提供的采访数据应当具有包括但不限于征订书目名、书目代号、期号、序号、书名、著者、出版社、</w:t>
            </w:r>
            <w:r>
              <w:rPr>
                <w:sz w:val="21"/>
              </w:rPr>
              <w:t>ISBN</w:t>
            </w:r>
            <w:r>
              <w:rPr>
                <w:sz w:val="21"/>
              </w:rPr>
              <w:t>、单价、开本、页码、出版时间、内容简介和读者对象及中图分类号的重要字段</w:t>
            </w:r>
            <w:r>
              <w:rPr>
                <w:sz w:val="21"/>
              </w:rPr>
              <w:t>,</w:t>
            </w:r>
            <w:r>
              <w:rPr>
                <w:sz w:val="21"/>
              </w:rPr>
              <w:t>多卷书和系列套装书的信息应尽量齐全，如多卷书的分卷次号、分册名要标注清楚，套装书如果按单册订购，应该将价格修改成单册价格，并负责为保证顺利导入采购人学校图书馆图书管理系统提供技术支持。</w:t>
            </w:r>
          </w:p>
          <w:p>
            <w:pPr>
              <w:jc w:val="both"/>
            </w:pPr>
            <w:r>
              <w:rPr>
                <w:sz w:val="21"/>
              </w:rPr>
              <w:t>B.</w:t>
            </w:r>
            <w:r>
              <w:rPr>
                <w:sz w:val="21"/>
              </w:rPr>
              <w:t>提供的征订图书内容均须符合高校图书馆收藏的要求，不应提供下列类型图书采访征订目录：</w:t>
            </w:r>
          </w:p>
          <w:p>
            <w:pPr>
              <w:jc w:val="both"/>
            </w:pPr>
            <w:r>
              <w:rPr>
                <w:sz w:val="21"/>
              </w:rPr>
              <w:t>a. 64</w:t>
            </w:r>
            <w:r>
              <w:rPr>
                <w:sz w:val="21"/>
              </w:rPr>
              <w:t>开及其以下开本的图书和少于</w:t>
            </w:r>
            <w:r>
              <w:rPr>
                <w:sz w:val="21"/>
              </w:rPr>
              <w:t>50</w:t>
            </w:r>
            <w:r>
              <w:rPr>
                <w:sz w:val="21"/>
              </w:rPr>
              <w:t>页的小册子；</w:t>
            </w:r>
          </w:p>
          <w:p>
            <w:pPr>
              <w:jc w:val="both"/>
            </w:pPr>
            <w:r>
              <w:rPr>
                <w:sz w:val="21"/>
              </w:rPr>
              <w:t>b.</w:t>
            </w:r>
            <w:r>
              <w:rPr>
                <w:sz w:val="21"/>
              </w:rPr>
              <w:t>挂图、单页图谱、活页（如练习册、试卷等）；</w:t>
            </w:r>
          </w:p>
          <w:p>
            <w:pPr>
              <w:jc w:val="both"/>
            </w:pPr>
            <w:r>
              <w:rPr>
                <w:sz w:val="21"/>
              </w:rPr>
              <w:t>c.</w:t>
            </w:r>
            <w:r>
              <w:rPr>
                <w:sz w:val="21"/>
              </w:rPr>
              <w:t>少儿读物、中级程度（包括中等专业、高职高专、专科学校）适用的各类图书、通俗读物和普及读物，及明显不适合高校图书馆收藏的图书。</w:t>
            </w:r>
          </w:p>
          <w:p>
            <w:pPr>
              <w:jc w:val="both"/>
            </w:pPr>
            <w:r>
              <w:rPr>
                <w:sz w:val="21"/>
              </w:rPr>
              <w:t>C.</w:t>
            </w:r>
            <w:r>
              <w:rPr>
                <w:sz w:val="21"/>
              </w:rPr>
              <w:t>随书配送</w:t>
            </w:r>
            <w:r>
              <w:rPr>
                <w:sz w:val="21"/>
              </w:rPr>
              <w:t>CNMARC</w:t>
            </w:r>
            <w:r>
              <w:rPr>
                <w:sz w:val="21"/>
              </w:rPr>
              <w:t>编目数据，数据配送率应当达</w:t>
            </w:r>
            <w:r>
              <w:rPr>
                <w:sz w:val="21"/>
              </w:rPr>
              <w:t>100%</w:t>
            </w:r>
            <w:r>
              <w:rPr>
                <w:sz w:val="21"/>
              </w:rPr>
              <w:t>。数据应当达到国家图书馆数据标准。不达标和所缺数据，应当在采购人通知后的</w:t>
            </w:r>
            <w:r>
              <w:rPr>
                <w:sz w:val="21"/>
              </w:rPr>
              <w:t>3</w:t>
            </w:r>
            <w:r>
              <w:rPr>
                <w:sz w:val="21"/>
              </w:rPr>
              <w:t>天之内补全。否则，应当支付采购人查询、下载相关数据的全部费用。</w:t>
            </w:r>
          </w:p>
          <w:p>
            <w:pPr>
              <w:jc w:val="both"/>
            </w:pPr>
            <w:r>
              <w:rPr>
                <w:sz w:val="21"/>
              </w:rPr>
              <w:t>D.</w:t>
            </w:r>
            <w:r>
              <w:rPr>
                <w:sz w:val="21"/>
              </w:rPr>
              <w:t>全年所提供的书目采访数据错误率应低于万分之三。</w:t>
            </w:r>
          </w:p>
          <w:p>
            <w:pPr>
              <w:jc w:val="both"/>
            </w:pPr>
            <w:r>
              <w:rPr>
                <w:sz w:val="21"/>
              </w:rPr>
              <w:t>2</w:t>
            </w:r>
            <w:r>
              <w:rPr>
                <w:sz w:val="21"/>
              </w:rPr>
              <w:t>、项目技术要求：</w:t>
            </w:r>
          </w:p>
          <w:p>
            <w:pPr>
              <w:jc w:val="both"/>
            </w:pPr>
            <w:r>
              <w:rPr>
                <w:sz w:val="21"/>
              </w:rPr>
              <w:t>(1)</w:t>
            </w:r>
            <w:r>
              <w:rPr>
                <w:sz w:val="21"/>
              </w:rPr>
              <w:t>到书率：订购图书的半年到书率≥</w:t>
            </w:r>
            <w:r>
              <w:rPr>
                <w:sz w:val="21"/>
              </w:rPr>
              <w:t>90%</w:t>
            </w:r>
            <w:r>
              <w:rPr>
                <w:sz w:val="21"/>
              </w:rPr>
              <w:t>；采购人指定书目</w:t>
            </w:r>
            <w:r>
              <w:rPr>
                <w:sz w:val="21"/>
              </w:rPr>
              <w:t>(</w:t>
            </w:r>
            <w:r>
              <w:rPr>
                <w:sz w:val="21"/>
              </w:rPr>
              <w:t>零订图书，市场上有流通的</w:t>
            </w:r>
            <w:r>
              <w:rPr>
                <w:sz w:val="21"/>
              </w:rPr>
              <w:t>)30</w:t>
            </w:r>
            <w:r>
              <w:rPr>
                <w:sz w:val="21"/>
              </w:rPr>
              <w:t>天到书率总体不得≤</w:t>
            </w:r>
            <w:r>
              <w:rPr>
                <w:sz w:val="21"/>
              </w:rPr>
              <w:t>90%</w:t>
            </w:r>
            <w:r>
              <w:rPr>
                <w:sz w:val="21"/>
              </w:rPr>
              <w:t>。订单</w:t>
            </w:r>
            <w:r>
              <w:rPr>
                <w:sz w:val="21"/>
              </w:rPr>
              <w:t>发出</w:t>
            </w:r>
            <w:r>
              <w:rPr>
                <w:sz w:val="21"/>
              </w:rPr>
              <w:t>半年</w:t>
            </w:r>
            <w:r>
              <w:rPr>
                <w:sz w:val="21"/>
              </w:rPr>
              <w:t>未能交付的图书</w:t>
            </w:r>
            <w:r>
              <w:rPr>
                <w:sz w:val="21"/>
              </w:rPr>
              <w:t>，</w:t>
            </w:r>
            <w:r>
              <w:rPr>
                <w:sz w:val="21"/>
              </w:rPr>
              <w:t>需提供理由并反馈信息。</w:t>
            </w:r>
          </w:p>
          <w:p>
            <w:pPr>
              <w:jc w:val="both"/>
            </w:pPr>
            <w:r>
              <w:rPr>
                <w:sz w:val="21"/>
              </w:rPr>
              <w:t>(2)</w:t>
            </w:r>
            <w:r>
              <w:rPr>
                <w:sz w:val="21"/>
              </w:rPr>
              <w:t>送货要求：中标人在每批图书发货一天前用电话或</w:t>
            </w:r>
            <w:r>
              <w:rPr>
                <w:sz w:val="21"/>
              </w:rPr>
              <w:t>Email</w:t>
            </w:r>
            <w:r>
              <w:rPr>
                <w:sz w:val="21"/>
              </w:rPr>
              <w:t>形式通知采购人并负责送书上门，所有图书应当按满足运输距离、防湿和防破损等运输和装卸要求打包送到采购单位指定地点（中标人提供无条件送书、卸货、搬运等），并提供纸质图书发货清单，一包一单，一式两份。发货清单应包括但不限于下列项目：购货单位、批次、制单日期、箱号、书名、</w:t>
            </w:r>
            <w:r>
              <w:rPr>
                <w:sz w:val="21"/>
              </w:rPr>
              <w:t>ISBN</w:t>
            </w:r>
            <w:r>
              <w:rPr>
                <w:sz w:val="21"/>
              </w:rPr>
              <w:t>、出版社、单价、册数、码洋、书目号等。每包有小计，包括种数、册数、本包码洋。整批图书有合计，合计内容为此批图书的总种数、总册数和总码洋。一份清单分别附于各包装货件内，另一份是以箱号为序的总清单，货单相符。外文图书及随书附光盘图书分包包装。</w:t>
            </w:r>
          </w:p>
          <w:p>
            <w:pPr>
              <w:jc w:val="both"/>
            </w:pPr>
            <w:r>
              <w:rPr>
                <w:sz w:val="21"/>
              </w:rPr>
              <w:t>(3)</w:t>
            </w:r>
            <w:r>
              <w:rPr>
                <w:sz w:val="21"/>
              </w:rPr>
              <w:t>图书质量：中标供应商应当保证销售正版图书，对盗版图书采购人拒绝验收，中标供应商应当接受无条件退货，并承担一切法律责任，由此而造成采购人向行政机关或第三人承担行政、民事责任或有其他损失的，</w:t>
            </w:r>
            <w:r>
              <w:rPr>
                <w:sz w:val="21"/>
              </w:rPr>
              <w:t>采购人有权向中标供应商追偿</w:t>
            </w:r>
            <w:r>
              <w:rPr>
                <w:sz w:val="21"/>
              </w:rPr>
              <w:t>。</w:t>
            </w:r>
          </w:p>
          <w:p>
            <w:pPr>
              <w:jc w:val="both"/>
            </w:pPr>
            <w:r>
              <w:rPr>
                <w:sz w:val="21"/>
              </w:rPr>
              <w:t>(4)</w:t>
            </w:r>
            <w:r>
              <w:rPr>
                <w:sz w:val="21"/>
              </w:rPr>
              <w:t>图书退换：图书出现下列任一情况，中标供应商应当无条件负责退换。退换产生的费用由</w:t>
            </w:r>
            <w:r>
              <w:rPr>
                <w:sz w:val="21"/>
              </w:rPr>
              <w:t>中标供应商</w:t>
            </w:r>
            <w:r>
              <w:rPr>
                <w:sz w:val="21"/>
              </w:rPr>
              <w:t>承担</w:t>
            </w:r>
            <w:r>
              <w:rPr>
                <w:sz w:val="21"/>
              </w:rPr>
              <w:t>。</w:t>
            </w:r>
          </w:p>
          <w:p>
            <w:pPr>
              <w:jc w:val="both"/>
            </w:pPr>
            <w:r>
              <w:rPr>
                <w:sz w:val="21"/>
              </w:rPr>
              <w:t>A.</w:t>
            </w:r>
            <w:r>
              <w:rPr>
                <w:sz w:val="21"/>
              </w:rPr>
              <w:t>盗版图书；</w:t>
            </w:r>
          </w:p>
          <w:p>
            <w:pPr>
              <w:jc w:val="both"/>
            </w:pPr>
            <w:r>
              <w:rPr>
                <w:sz w:val="21"/>
              </w:rPr>
              <w:t>B.</w:t>
            </w:r>
            <w:r>
              <w:rPr>
                <w:sz w:val="21"/>
              </w:rPr>
              <w:t>出现装订、印刷质量问题和损坏；</w:t>
            </w:r>
          </w:p>
          <w:p>
            <w:pPr>
              <w:jc w:val="both"/>
            </w:pPr>
            <w:r>
              <w:rPr>
                <w:sz w:val="21"/>
              </w:rPr>
              <w:t>C.</w:t>
            </w:r>
            <w:r>
              <w:rPr>
                <w:sz w:val="21"/>
              </w:rPr>
              <w:t>配套不齐全；</w:t>
            </w:r>
          </w:p>
          <w:p>
            <w:pPr>
              <w:jc w:val="both"/>
            </w:pPr>
            <w:r>
              <w:rPr>
                <w:sz w:val="21"/>
              </w:rPr>
              <w:t>D.</w:t>
            </w:r>
            <w:r>
              <w:rPr>
                <w:sz w:val="21"/>
              </w:rPr>
              <w:t>提供的品种和数量与订货单不符；</w:t>
            </w:r>
          </w:p>
          <w:p>
            <w:pPr>
              <w:jc w:val="both"/>
            </w:pPr>
            <w:r>
              <w:rPr>
                <w:sz w:val="21"/>
              </w:rPr>
              <w:t>E.</w:t>
            </w:r>
            <w:r>
              <w:rPr>
                <w:sz w:val="21"/>
              </w:rPr>
              <w:t>因内容、开本、页数等等原因不符合采购人学校图书馆馆藏；</w:t>
            </w:r>
          </w:p>
          <w:p>
            <w:pPr>
              <w:jc w:val="both"/>
            </w:pPr>
            <w:r>
              <w:rPr>
                <w:sz w:val="21"/>
              </w:rPr>
              <w:t>F.</w:t>
            </w:r>
            <w:r>
              <w:rPr>
                <w:sz w:val="21"/>
              </w:rPr>
              <w:t>因中标人提供的征订书目（采访数据）信息错、漏及模糊而导致采购人误订；</w:t>
            </w:r>
          </w:p>
          <w:p>
            <w:pPr>
              <w:jc w:val="both"/>
            </w:pPr>
            <w:r>
              <w:rPr>
                <w:sz w:val="21"/>
              </w:rPr>
              <w:t>G.</w:t>
            </w:r>
            <w:r>
              <w:rPr>
                <w:sz w:val="21"/>
              </w:rPr>
              <w:t>采购人认为必须退书的其他情况。</w:t>
            </w:r>
          </w:p>
          <w:p>
            <w:pPr>
              <w:jc w:val="both"/>
            </w:pPr>
            <w:r>
              <w:rPr>
                <w:sz w:val="21"/>
              </w:rPr>
              <w:t>(5)</w:t>
            </w:r>
            <w:r>
              <w:rPr>
                <w:sz w:val="21"/>
              </w:rPr>
              <w:t>图书零订：对采购人提出的零订图书清单，应多渠道想方设法采集提供，如确实未能补齐，应在</w:t>
            </w:r>
            <w:r>
              <w:rPr>
                <w:sz w:val="21"/>
              </w:rPr>
              <w:t>30</w:t>
            </w:r>
            <w:r>
              <w:rPr>
                <w:sz w:val="21"/>
              </w:rPr>
              <w:t>天内回复采购人。对教学科研急需添订的个别图书，应当天给予回告，并有义务采用特快专递方式以最快速度予以满足。对采购人自定专题的图书采购，应在一周内将该主题的书目信息搜集齐全，并发送到采购人指定邮箱，供采购人进一步选择征订。</w:t>
            </w:r>
          </w:p>
          <w:p>
            <w:pPr>
              <w:jc w:val="both"/>
            </w:pPr>
            <w:r>
              <w:rPr>
                <w:sz w:val="21"/>
              </w:rPr>
              <w:t>(6)</w:t>
            </w:r>
            <w:r>
              <w:rPr>
                <w:sz w:val="21"/>
              </w:rPr>
              <w:t>采购人所订图书，中标人需负责安装复合型钴基可充消防盗磁条。每册图书至少贴一根磁条，</w:t>
            </w:r>
            <w:r>
              <w:rPr>
                <w:sz w:val="21"/>
              </w:rPr>
              <w:t>300</w:t>
            </w:r>
            <w:r>
              <w:rPr>
                <w:sz w:val="21"/>
              </w:rPr>
              <w:t>页以上图书加贴两根。贴一根磁条时将防盗磁条装在图书前面约</w:t>
            </w:r>
            <w:r>
              <w:rPr>
                <w:sz w:val="21"/>
              </w:rPr>
              <w:t>1/3</w:t>
            </w:r>
            <w:r>
              <w:rPr>
                <w:sz w:val="21"/>
              </w:rPr>
              <w:t>页码处，贴两根磁条时则将防盗磁条分别装在图书前面约</w:t>
            </w:r>
            <w:r>
              <w:rPr>
                <w:sz w:val="21"/>
              </w:rPr>
              <w:t>1/3</w:t>
            </w:r>
            <w:r>
              <w:rPr>
                <w:sz w:val="21"/>
              </w:rPr>
              <w:t>页码处和图书后面约</w:t>
            </w:r>
            <w:r>
              <w:rPr>
                <w:sz w:val="21"/>
              </w:rPr>
              <w:t>1/3</w:t>
            </w:r>
            <w:r>
              <w:rPr>
                <w:sz w:val="21"/>
              </w:rPr>
              <w:t>页码处。</w:t>
            </w:r>
          </w:p>
          <w:p>
            <w:pPr>
              <w:jc w:val="both"/>
            </w:pPr>
            <w:r>
              <w:rPr>
                <w:sz w:val="21"/>
              </w:rPr>
              <w:t>(7)</w:t>
            </w:r>
            <w:r>
              <w:rPr>
                <w:sz w:val="21"/>
              </w:rPr>
              <w:t>订购信息反馈及自评：中标人每半年统计到书率情况、未到书清单，并以书面形式分析、说明未到书原因，并尽快补充未到的图书；在合同期执行完毕后中标书商按中图法大类（</w:t>
            </w:r>
            <w:r>
              <w:rPr>
                <w:sz w:val="21"/>
              </w:rPr>
              <w:t>22</w:t>
            </w:r>
            <w:r>
              <w:rPr>
                <w:sz w:val="21"/>
              </w:rPr>
              <w:t>大类，</w:t>
            </w:r>
            <w:r>
              <w:rPr>
                <w:sz w:val="21"/>
              </w:rPr>
              <w:t>T</w:t>
            </w:r>
            <w:r>
              <w:rPr>
                <w:sz w:val="21"/>
              </w:rPr>
              <w:t>大类按二级类目）和按出版社分别提供书目分类统计表，并针对合同要求的各项指标提供年度自评报告。</w:t>
            </w:r>
          </w:p>
          <w:p>
            <w:pPr>
              <w:jc w:val="both"/>
            </w:pPr>
            <w:r>
              <w:rPr>
                <w:sz w:val="21"/>
              </w:rPr>
              <w:t>(8)</w:t>
            </w:r>
            <w:r>
              <w:rPr>
                <w:sz w:val="21"/>
              </w:rPr>
              <w:t>承诺能够应采购人要求在采购人处举办书展，书展图书品种数量、出版区间符合采购人要求。中标人应具有自己的网站，能在网上无条件提供最新图书出版信息，能向我校师生开放书目查询及提供无条件订购功能。</w:t>
            </w:r>
          </w:p>
          <w:p>
            <w:pPr>
              <w:jc w:val="both"/>
            </w:pPr>
            <w:r>
              <w:rPr>
                <w:sz w:val="21"/>
              </w:rPr>
              <w:t>(9)</w:t>
            </w:r>
            <w:r>
              <w:rPr>
                <w:sz w:val="21"/>
              </w:rPr>
              <w:t>有下列情况之一，要征询采购人意见后再确认订购。</w:t>
            </w:r>
          </w:p>
          <w:p>
            <w:pPr>
              <w:jc w:val="both"/>
            </w:pPr>
            <w:r>
              <w:rPr>
                <w:sz w:val="21"/>
              </w:rPr>
              <w:t>A.</w:t>
            </w:r>
            <w:r>
              <w:rPr>
                <w:sz w:val="21"/>
              </w:rPr>
              <w:t>单本图书价格</w:t>
            </w:r>
            <w:r>
              <w:rPr>
                <w:sz w:val="21"/>
              </w:rPr>
              <w:t>300</w:t>
            </w:r>
            <w:r>
              <w:rPr>
                <w:sz w:val="21"/>
              </w:rPr>
              <w:t>元以上。</w:t>
            </w:r>
          </w:p>
          <w:p>
            <w:pPr>
              <w:jc w:val="both"/>
            </w:pPr>
            <w:r>
              <w:rPr>
                <w:sz w:val="21"/>
              </w:rPr>
              <w:t>B.</w:t>
            </w:r>
            <w:r>
              <w:rPr>
                <w:sz w:val="21"/>
              </w:rPr>
              <w:t>价格另算的随书配套磁带、光盘，或以光盘、磁带为主要载体的多媒体资料。</w:t>
            </w:r>
          </w:p>
          <w:p>
            <w:pPr>
              <w:jc w:val="both"/>
            </w:pPr>
            <w:r>
              <w:rPr>
                <w:sz w:val="21"/>
              </w:rPr>
              <w:t>C.</w:t>
            </w:r>
            <w:r>
              <w:rPr>
                <w:sz w:val="21"/>
              </w:rPr>
              <w:t>图书的</w:t>
            </w:r>
            <w:r>
              <w:rPr>
                <w:sz w:val="21"/>
              </w:rPr>
              <w:t>ISBN</w:t>
            </w:r>
            <w:r>
              <w:rPr>
                <w:sz w:val="21"/>
              </w:rPr>
              <w:t>或书名变更，或单本图书价格变动太大。</w:t>
            </w:r>
          </w:p>
          <w:p>
            <w:pPr>
              <w:jc w:val="both"/>
            </w:pPr>
            <w:r>
              <w:rPr>
                <w:sz w:val="21"/>
              </w:rPr>
              <w:t>(10)</w:t>
            </w:r>
            <w:r>
              <w:rPr>
                <w:sz w:val="21"/>
              </w:rPr>
              <w:t>违约处理：</w:t>
            </w:r>
          </w:p>
          <w:p>
            <w:pPr>
              <w:jc w:val="both"/>
            </w:pPr>
            <w:r>
              <w:rPr>
                <w:sz w:val="21"/>
              </w:rPr>
              <w:t>A.</w:t>
            </w:r>
            <w:r>
              <w:rPr>
                <w:sz w:val="21"/>
              </w:rPr>
              <w:t>中标人应当按采购人订购的图书品种、数量及时供货，除推迟出版或发生影响合同履行的不可抗力情况以外，若不能按时供货的图书种数或册数超过订单订购数的</w:t>
            </w:r>
            <w:r>
              <w:rPr>
                <w:sz w:val="21"/>
              </w:rPr>
              <w:t>15%</w:t>
            </w:r>
            <w:r>
              <w:rPr>
                <w:sz w:val="21"/>
              </w:rPr>
              <w:t>，即可以认定该中标人不具备供货条件，采购人有权要求终止供货，因终止供货而造成的损失由中标人承担。采购人有权采取相应的补救措施（如直接向出版商邮购图书或向其他供货商补订图书），由此给采购人造成的各项损失或增加的各项费用（如折扣损失、邮费、数据费、加工费）等均由违约的供货商承担并给予相应赔偿（损失难以计算的，则按未到图书码洋的</w:t>
            </w:r>
            <w:r>
              <w:rPr>
                <w:sz w:val="21"/>
              </w:rPr>
              <w:t>20%</w:t>
            </w:r>
            <w:r>
              <w:rPr>
                <w:sz w:val="21"/>
              </w:rPr>
              <w:t>支付违约金，违约金</w:t>
            </w:r>
            <w:r>
              <w:rPr>
                <w:sz w:val="21"/>
              </w:rPr>
              <w:t>可</w:t>
            </w:r>
            <w:r>
              <w:rPr>
                <w:sz w:val="21"/>
              </w:rPr>
              <w:t>从图书结算款中扣除）。</w:t>
            </w:r>
          </w:p>
          <w:p>
            <w:pPr>
              <w:jc w:val="both"/>
            </w:pPr>
            <w:r>
              <w:rPr>
                <w:sz w:val="21"/>
              </w:rPr>
              <w:t>B.</w:t>
            </w:r>
            <w:r>
              <w:rPr>
                <w:sz w:val="21"/>
              </w:rPr>
              <w:t>中标人不得更换采购人的图书订单，不得搭配非采购人订购的图书。如有违反，中标人应当无条件退货，并以非订购图书码洋的</w:t>
            </w:r>
            <w:r>
              <w:rPr>
                <w:sz w:val="21"/>
              </w:rPr>
              <w:t>20</w:t>
            </w:r>
            <w:r>
              <w:rPr>
                <w:sz w:val="21"/>
              </w:rPr>
              <w:t>倍金额支付违约金，违约金从图书结算款中扣除。</w:t>
            </w:r>
          </w:p>
          <w:p>
            <w:pPr>
              <w:jc w:val="both"/>
            </w:pPr>
            <w:r>
              <w:rPr>
                <w:sz w:val="21"/>
              </w:rPr>
              <w:t>C.</w:t>
            </w:r>
            <w:r>
              <w:rPr>
                <w:sz w:val="21"/>
              </w:rPr>
              <w:t>中标人对所提供图书的版权与进货来源的合法性承担相应的法律责任。如发现盗版、翻版图书，假一罚二十，金额在发生违约行为的供货批次书款中扣除。采购人可以单方面终止中标人供货资格，并且中标人应承担由此引起的一切法律责任。</w:t>
            </w:r>
          </w:p>
          <w:p>
            <w:pPr>
              <w:jc w:val="both"/>
            </w:pPr>
            <w:r>
              <w:rPr>
                <w:sz w:val="21"/>
              </w:rPr>
              <w:t>D.</w:t>
            </w:r>
            <w:r>
              <w:rPr>
                <w:sz w:val="21"/>
              </w:rPr>
              <w:t>中标人供书时同步提供的</w:t>
            </w:r>
            <w:r>
              <w:rPr>
                <w:sz w:val="21"/>
              </w:rPr>
              <w:t>CNMARC</w:t>
            </w:r>
            <w:r>
              <w:rPr>
                <w:sz w:val="21"/>
              </w:rPr>
              <w:t>数据（国家图书馆标准），若采购人校对人员发现错误率超过</w:t>
            </w:r>
            <w:r>
              <w:rPr>
                <w:sz w:val="21"/>
              </w:rPr>
              <w:t>5%</w:t>
            </w:r>
            <w:r>
              <w:rPr>
                <w:sz w:val="21"/>
              </w:rPr>
              <w:t>（由系统进行统计），则按每条数据壹元支付违约金，违约金从图书结算款中扣除。</w:t>
            </w:r>
          </w:p>
          <w:p>
            <w:pPr>
              <w:jc w:val="both"/>
            </w:pPr>
            <w:r>
              <w:rPr>
                <w:sz w:val="21"/>
              </w:rPr>
              <w:t>E.</w:t>
            </w:r>
            <w:r>
              <w:rPr>
                <w:sz w:val="21"/>
              </w:rPr>
              <w:t>每批图书总册数、总价必须与汇总单相符。如果在验收过程中，同一批次图书出现</w:t>
            </w:r>
            <w:r>
              <w:rPr>
                <w:sz w:val="21"/>
              </w:rPr>
              <w:t>5%</w:t>
            </w:r>
            <w:r>
              <w:rPr>
                <w:sz w:val="21"/>
              </w:rPr>
              <w:t>与相应清单不符，采购人有权退回该批次全部图书，要求中标人重新整理包装，直至该批图书与相应清单相符，所有费用由中标人负责，并以该批图书码洋的</w:t>
            </w:r>
            <w:r>
              <w:rPr>
                <w:sz w:val="21"/>
              </w:rPr>
              <w:t>2</w:t>
            </w:r>
            <w:r>
              <w:rPr>
                <w:sz w:val="21"/>
              </w:rPr>
              <w:t>倍金额赔偿。如果累计出现</w:t>
            </w:r>
            <w:r>
              <w:rPr>
                <w:sz w:val="21"/>
              </w:rPr>
              <w:t>2</w:t>
            </w:r>
            <w:r>
              <w:rPr>
                <w:sz w:val="21"/>
              </w:rPr>
              <w:t>批全部被退现象，</w:t>
            </w:r>
            <w:r>
              <w:rPr>
                <w:sz w:val="21"/>
              </w:rPr>
              <w:t>视为</w:t>
            </w:r>
            <w:r>
              <w:rPr>
                <w:sz w:val="21"/>
              </w:rPr>
              <w:t>采购人不能实现合同目的的，采购人有权解除合同。</w:t>
            </w:r>
          </w:p>
          <w:p>
            <w:pPr>
              <w:jc w:val="both"/>
            </w:pPr>
            <w:r>
              <w:rPr>
                <w:sz w:val="21"/>
              </w:rPr>
              <w:t>（</w:t>
            </w:r>
            <w:r>
              <w:rPr>
                <w:sz w:val="21"/>
              </w:rPr>
              <w:t>11</w:t>
            </w:r>
            <w:r>
              <w:rPr>
                <w:sz w:val="21"/>
              </w:rPr>
              <w:t>）投标人具有专门的图书零售场地、良好的图书样书室等现采场地。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采购包2（原版外文及港台图书）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交货期：①现货：合同签订后，自收到采购人订单通知后30个日历天内完成交货100%；②期货：合同签订后，自收到采购人订单通知后6个月内完成交货量85%以上。</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有效期内，到馆图书经采购人验收合格，完成交付，中标人按图书码洋中标折扣率结算并提供专用发票，本项目共分为六次付款。每批次图书到货后，经采购人完成验收工作，需要退换书的办妥退换书手续，并经双方确认后，按结算价结算。结算价格已包含履行合同及本项目招标文件特别是其中“技术标准与要求”要求所有相关服务所需的服务费用及进口关税、进口环节增值税、消费税、其他费用等相关税费，采购人不再支付结算价格以外的其他任何费用。中标人提供国家税务部门监制的销售正式发票。 图书结算价（实洋）（人民币元）=图书原币价格×到馆日原币汇率×中标综合折扣率。 图书原币价格：以出版社标价或供应商进货单据为准。 到馆日原币汇率：指图书到馆当日的中国银行外汇卖出日均价，即当天（北京时间为准）中国银行网站上公布的相应外币的所有现汇卖出价记录之均值。采购人于收到发票15日内实洋付款。 支付方式：采用支票、银行汇付（含电汇）等形式。</w:t>
            </w:r>
          </w:p>
        </w:tc>
      </w:tr>
      <w:tr>
        <w:tc>
          <w:tcPr>
            <w:tcW w:type="dxa" w:w="4153"/>
          </w:tcPr>
          <w:p>
            <w:r>
              <w:rPr/>
              <w:t>验收要求</w:t>
            </w:r>
          </w:p>
        </w:tc>
        <w:tc>
          <w:tcPr>
            <w:tcW w:type="dxa" w:w="4153"/>
          </w:tcPr>
          <w:p/>
          <w:p/>
          <w:p/>
          <w:p>
            <w:r>
              <w:rPr/>
              <w:t>1期：图书验收以采购人最终的验收结果为准。 1、所有送达图书馆的图书的品种及复本数量均由采购人决定，中标供应商不得自行搭配和追加非采购人确认订购的品种和复本数量的图书。中标供应商强硬搭配的图书，采购人有权按学校规定的图书捐赠制度处理。 2、中标供应商须保证销售正版图书，保证所供应图书的版本与进书来源合法，并对所供应的图书版本、知识产权、进货来源承担相应的法律责任。如发现盗版现象，按盗版书涉及金额的100倍进行赔偿，并由中标供应商负全部法律责任。 3、如出现图书装订、印刷、缺页、少页和污损等不符合图书馆藏书要求的图书，中标供应商须在20天内无条件给予退换货。 4、图书要求无偿提供随书100%配套、且符合要求的标准CNMARC编目数据，编目数据以光盘或电子邮件方式提供，由采购人负责转入本馆系统。</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包装与运输，包装应用合适的材料，适用长途运输、防潮、防震、能够保证图书的完整。</w:t>
            </w:r>
          </w:p>
          <w:p/>
          <w:p>
            <w:r>
              <w:rPr/>
              <w:t>保险，货物从出厂运至采购人指定地点的保险费用须包含在投标报价中。</w:t>
            </w:r>
          </w:p>
          <w:p/>
          <w:p>
            <w:r>
              <w:rPr/>
              <w:t>质量保证，出现如下情况，中标供应商必须在3个工作日内无条件更换：图书/期刊装订或印刷质量有问题，如缺页、倒装、模糊不清、折页、开线、开胶等；图书/期刊总数与对应清单不符；出现污损情况；图书/期刊的附件如光盘等不齐全。</w:t>
            </w:r>
          </w:p>
          <w:p/>
          <w:p>
            <w:r>
              <w:rPr/>
              <w:t>售后服务，1. 中标供应商须专门指派一名业务人员，负责与采购人保持业务联系。 2. 中标供应商在投递的每批图书、期刊中应随货附送与货物数量、品种、价格相符的详细电脑清单及汇总单，以便于双方协调验收和避免出现漏发、错投的现象。 3. 对汇总单中漏发的图书、期刊，中标供应商必须立刻快递补齐。 4. 对延迟出版及取消出版图书、期刊，中标供应商应及时向出版机构查询交涉，并同步通报采购人。 5. 接采购人通知（含电话）后，中标供应商必须在一个工作日内作出反馈并提出处理问题的方案。</w:t>
            </w:r>
          </w:p>
        </w:tc>
      </w:tr>
    </w:tbl>
    <w:p>
      <w:r>
        <w:rPr>
          <w:b/>
        </w:rPr>
        <w:t>2.技术标准与要求</w:t>
      </w:r>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其他图书</w:t>
            </w:r>
          </w:p>
        </w:tc>
        <w:tc>
          <w:tcPr>
            <w:tcW w:type="dxa" w:w="748"/>
          </w:tcPr>
          <w:p>
            <w:pPr>
              <w:jc w:val="left"/>
            </w:pPr>
            <w:r>
              <w:rPr/>
              <w:t>原版外文及港台图书</w:t>
            </w:r>
          </w:p>
        </w:tc>
        <w:tc>
          <w:tcPr>
            <w:tcW w:type="dxa" w:w="748"/>
          </w:tcPr>
          <w:p>
            <w:pPr>
              <w:jc w:val="left"/>
            </w:pPr>
            <w:r>
              <w:rPr/>
              <w:t>批</w:t>
            </w:r>
          </w:p>
        </w:tc>
        <w:tc>
          <w:tcPr>
            <w:tcW w:type="dxa" w:w="748"/>
          </w:tcPr>
          <w:p>
            <w:pPr>
              <w:jc w:val="right"/>
            </w:pPr>
            <w:r>
              <w:rPr/>
              <w:t>1.00</w:t>
            </w:r>
          </w:p>
        </w:tc>
        <w:tc>
          <w:tcPr>
            <w:tcW w:type="dxa" w:w="748"/>
          </w:tcPr>
          <w:p>
            <w:pPr>
              <w:jc w:val="right"/>
            </w:pPr>
            <w:r>
              <w:rPr/>
              <w:t>500,000.00</w:t>
            </w:r>
          </w:p>
        </w:tc>
        <w:tc>
          <w:tcPr>
            <w:tcW w:type="dxa" w:w="748"/>
          </w:tcPr>
          <w:p>
            <w:pPr>
              <w:jc w:val="right"/>
            </w:pPr>
            <w:r>
              <w:rPr/>
              <w:t>500,000.00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原版外文及港台图书</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一、技术要求</w:t>
            </w:r>
          </w:p>
          <w:p>
            <w:pPr>
              <w:jc w:val="both"/>
            </w:pPr>
            <w:r>
              <w:rPr>
                <w:sz w:val="21"/>
              </w:rPr>
              <w:t>（一）图书要求</w:t>
            </w:r>
          </w:p>
          <w:p>
            <w:pPr>
              <w:jc w:val="both"/>
            </w:pPr>
            <w:r>
              <w:rPr>
                <w:sz w:val="21"/>
              </w:rPr>
              <w:t>1</w:t>
            </w:r>
            <w:r>
              <w:rPr>
                <w:sz w:val="21"/>
              </w:rPr>
              <w:t>、书目形态：供货商应提供完全符合</w:t>
            </w:r>
            <w:r>
              <w:rPr>
                <w:sz w:val="21"/>
              </w:rPr>
              <w:t>ISO-2709</w:t>
            </w:r>
            <w:r>
              <w:rPr>
                <w:sz w:val="21"/>
              </w:rPr>
              <w:t>标准、</w:t>
            </w:r>
            <w:r>
              <w:rPr>
                <w:sz w:val="21"/>
              </w:rPr>
              <w:t>CNMARC</w:t>
            </w:r>
            <w:r>
              <w:rPr>
                <w:sz w:val="21"/>
              </w:rPr>
              <w:t>标准和西文图书著录条例的电子版书目数据；</w:t>
            </w:r>
          </w:p>
          <w:p>
            <w:pPr>
              <w:jc w:val="both"/>
            </w:pPr>
            <w:r>
              <w:rPr>
                <w:sz w:val="21"/>
              </w:rPr>
              <w:t>2</w:t>
            </w:r>
            <w:r>
              <w:rPr>
                <w:sz w:val="21"/>
              </w:rPr>
              <w:t>、出版地范围：国外（欧美国家为主）出版的外文（英文为主）原版纸质图书及港台出版的纸质图书；</w:t>
            </w:r>
          </w:p>
          <w:p>
            <w:pPr>
              <w:jc w:val="both"/>
            </w:pPr>
            <w:r>
              <w:rPr>
                <w:sz w:val="21"/>
              </w:rPr>
              <w:t>3</w:t>
            </w:r>
            <w:r>
              <w:rPr>
                <w:sz w:val="21"/>
              </w:rPr>
              <w:t>、出版时间：</w:t>
            </w:r>
            <w:r>
              <w:rPr>
                <w:sz w:val="21"/>
              </w:rPr>
              <w:t>2022</w:t>
            </w:r>
            <w:r>
              <w:rPr>
                <w:sz w:val="21"/>
              </w:rPr>
              <w:t>年</w:t>
            </w:r>
            <w:r>
              <w:rPr>
                <w:sz w:val="21"/>
              </w:rPr>
              <w:t>1</w:t>
            </w:r>
            <w:r>
              <w:rPr>
                <w:sz w:val="21"/>
              </w:rPr>
              <w:t>月至今；</w:t>
            </w:r>
          </w:p>
          <w:p>
            <w:pPr>
              <w:jc w:val="both"/>
            </w:pPr>
            <w:r>
              <w:rPr>
                <w:sz w:val="21"/>
              </w:rPr>
              <w:t>4</w:t>
            </w:r>
            <w:r>
              <w:rPr>
                <w:sz w:val="21"/>
              </w:rPr>
              <w:t>、图书外观：开本大于</w:t>
            </w:r>
            <w:r>
              <w:rPr>
                <w:sz w:val="21"/>
              </w:rPr>
              <w:t>64</w:t>
            </w:r>
            <w:r>
              <w:rPr>
                <w:sz w:val="21"/>
              </w:rPr>
              <w:t>开、页数多于</w:t>
            </w:r>
            <w:r>
              <w:rPr>
                <w:sz w:val="21"/>
              </w:rPr>
              <w:t>50</w:t>
            </w:r>
            <w:r>
              <w:rPr>
                <w:sz w:val="21"/>
              </w:rPr>
              <w:t>页、非散页装图书。</w:t>
            </w:r>
          </w:p>
          <w:p>
            <w:pPr>
              <w:jc w:val="both"/>
            </w:pPr>
            <w:r>
              <w:rPr>
                <w:sz w:val="21"/>
              </w:rPr>
              <w:t>（二）采访书目数据要求</w:t>
            </w:r>
          </w:p>
          <w:p>
            <w:pPr>
              <w:jc w:val="both"/>
            </w:pPr>
            <w:r>
              <w:rPr>
                <w:sz w:val="21"/>
              </w:rPr>
              <w:t>1</w:t>
            </w:r>
            <w:r>
              <w:rPr>
                <w:sz w:val="21"/>
              </w:rPr>
              <w:t>、供货商应提供符合采购人学校图书馆采访要求的</w:t>
            </w:r>
            <w:r>
              <w:rPr>
                <w:sz w:val="21"/>
              </w:rPr>
              <w:t>CNMARC</w:t>
            </w:r>
            <w:r>
              <w:rPr>
                <w:sz w:val="21"/>
              </w:rPr>
              <w:t>格式的采访数据，采访书目中不得含有</w:t>
            </w:r>
            <w:r>
              <w:rPr>
                <w:sz w:val="21"/>
              </w:rPr>
              <w:t>856</w:t>
            </w:r>
            <w:r>
              <w:rPr>
                <w:sz w:val="21"/>
              </w:rPr>
              <w:t>、</w:t>
            </w:r>
            <w:r>
              <w:rPr>
                <w:sz w:val="21"/>
              </w:rPr>
              <w:t>905</w:t>
            </w:r>
            <w:r>
              <w:rPr>
                <w:sz w:val="21"/>
              </w:rPr>
              <w:t>字段；</w:t>
            </w:r>
          </w:p>
          <w:p>
            <w:pPr>
              <w:jc w:val="both"/>
            </w:pPr>
            <w:r>
              <w:rPr>
                <w:sz w:val="21"/>
              </w:rPr>
              <w:t>2</w:t>
            </w:r>
            <w:r>
              <w:rPr>
                <w:sz w:val="21"/>
              </w:rPr>
              <w:t>、一个采访书目文件，仅能含同一征订书目、同一期号的文件；</w:t>
            </w:r>
          </w:p>
          <w:p>
            <w:pPr>
              <w:jc w:val="both"/>
            </w:pPr>
            <w:r>
              <w:rPr>
                <w:sz w:val="21"/>
              </w:rPr>
              <w:t>3</w:t>
            </w:r>
            <w:r>
              <w:rPr>
                <w:sz w:val="21"/>
              </w:rPr>
              <w:t>、采访书目信息应著录在</w:t>
            </w:r>
            <w:r>
              <w:rPr>
                <w:sz w:val="21"/>
              </w:rPr>
              <w:t>092</w:t>
            </w:r>
            <w:r>
              <w:rPr>
                <w:sz w:val="21"/>
              </w:rPr>
              <w:t>字段，不得在其他字段反映。</w:t>
            </w:r>
          </w:p>
          <w:p>
            <w:pPr>
              <w:jc w:val="both"/>
            </w:pPr>
            <w:r>
              <w:rPr>
                <w:sz w:val="21"/>
              </w:rPr>
              <w:t>（三）编目书目数据要求</w:t>
            </w:r>
          </w:p>
          <w:p>
            <w:pPr>
              <w:jc w:val="both"/>
            </w:pPr>
            <w:r>
              <w:rPr>
                <w:sz w:val="21"/>
              </w:rPr>
              <w:t>1</w:t>
            </w:r>
            <w:r>
              <w:rPr>
                <w:sz w:val="21"/>
              </w:rPr>
              <w:t>、随书配送</w:t>
            </w:r>
            <w:r>
              <w:rPr>
                <w:sz w:val="21"/>
              </w:rPr>
              <w:t>CNMARC</w:t>
            </w:r>
            <w:r>
              <w:rPr>
                <w:sz w:val="21"/>
              </w:rPr>
              <w:t>编目数据，数据配送率须达</w:t>
            </w:r>
            <w:r>
              <w:rPr>
                <w:sz w:val="21"/>
              </w:rPr>
              <w:t>100%</w:t>
            </w:r>
            <w:r>
              <w:rPr>
                <w:sz w:val="21"/>
              </w:rPr>
              <w:t>。数据应达到国家图书馆数据标准。</w:t>
            </w:r>
          </w:p>
          <w:p>
            <w:pPr>
              <w:jc w:val="both"/>
            </w:pPr>
            <w:r>
              <w:rPr>
                <w:sz w:val="21"/>
              </w:rPr>
              <w:t>（四）书目数量和频率</w:t>
            </w:r>
          </w:p>
          <w:p>
            <w:pPr>
              <w:jc w:val="both"/>
            </w:pPr>
            <w:r>
              <w:rPr>
                <w:sz w:val="21"/>
              </w:rPr>
              <w:t>1</w:t>
            </w:r>
            <w:r>
              <w:rPr>
                <w:sz w:val="21"/>
              </w:rPr>
              <w:t>、中标供货商应积极收集书目，保证在合同期内每月至少提供一期现货新书书目，每期不少于</w:t>
            </w:r>
            <w:r>
              <w:rPr>
                <w:sz w:val="21"/>
              </w:rPr>
              <w:t>400</w:t>
            </w:r>
            <w:r>
              <w:rPr>
                <w:sz w:val="21"/>
              </w:rPr>
              <w:t>种。</w:t>
            </w:r>
          </w:p>
          <w:p>
            <w:pPr>
              <w:jc w:val="both"/>
            </w:pPr>
            <w:r>
              <w:rPr>
                <w:sz w:val="21"/>
              </w:rPr>
              <w:t>2</w:t>
            </w:r>
            <w:r>
              <w:rPr>
                <w:sz w:val="21"/>
              </w:rPr>
              <w:t>、中标供货商应接受采购人提供的零散订单并积极配书。</w:t>
            </w:r>
          </w:p>
          <w:p>
            <w:pPr>
              <w:jc w:val="both"/>
            </w:pPr>
            <w:r>
              <w:rPr>
                <w:sz w:val="21"/>
              </w:rPr>
              <w:t>（五）到书率</w:t>
            </w:r>
          </w:p>
          <w:p>
            <w:pPr>
              <w:jc w:val="both"/>
            </w:pPr>
            <w:r>
              <w:rPr>
                <w:sz w:val="21"/>
              </w:rPr>
              <w:t>1</w:t>
            </w:r>
            <w:r>
              <w:rPr>
                <w:sz w:val="21"/>
              </w:rPr>
              <w:t>、中标供应商应保证图书的到书率从质和量上准确无误，高效快捷，无误投。到书率须达到</w:t>
            </w:r>
            <w:r>
              <w:rPr>
                <w:sz w:val="21"/>
              </w:rPr>
              <w:t>90%</w:t>
            </w:r>
            <w:r>
              <w:rPr>
                <w:sz w:val="21"/>
              </w:rPr>
              <w:t>（取消出版计划等情况除外）。</w:t>
            </w:r>
          </w:p>
          <w:p>
            <w:pPr>
              <w:jc w:val="both"/>
            </w:pPr>
            <w:r>
              <w:rPr>
                <w:sz w:val="21"/>
              </w:rPr>
              <w:t>（六）订准率</w:t>
            </w:r>
          </w:p>
          <w:p>
            <w:pPr>
              <w:jc w:val="both"/>
            </w:pPr>
            <w:r>
              <w:rPr>
                <w:sz w:val="21"/>
              </w:rPr>
              <w:t>1</w:t>
            </w:r>
            <w:r>
              <w:rPr>
                <w:sz w:val="21"/>
              </w:rPr>
              <w:t>、要求供应商严格按照订单发书，不允许任意搭配图书，非采购人订购的图书一律退回。</w:t>
            </w:r>
          </w:p>
          <w:p>
            <w:pPr>
              <w:jc w:val="both"/>
            </w:pPr>
            <w:r>
              <w:rPr>
                <w:sz w:val="21"/>
              </w:rPr>
              <w:t>（七）涨价率</w:t>
            </w:r>
          </w:p>
          <w:p>
            <w:pPr>
              <w:jc w:val="both"/>
            </w:pPr>
            <w:r>
              <w:rPr>
                <w:sz w:val="21"/>
              </w:rPr>
              <w:t>1</w:t>
            </w:r>
            <w:r>
              <w:rPr>
                <w:sz w:val="21"/>
              </w:rPr>
              <w:t>、图书实际出版价格上涨超过征订目录价格</w:t>
            </w:r>
            <w:r>
              <w:rPr>
                <w:sz w:val="21"/>
              </w:rPr>
              <w:t>40</w:t>
            </w:r>
            <w:r>
              <w:rPr>
                <w:sz w:val="21"/>
              </w:rPr>
              <w:t>％应通知采购人，询问是否继续订购。</w:t>
            </w:r>
          </w:p>
          <w:p>
            <w:pPr>
              <w:jc w:val="both"/>
            </w:pPr>
            <w:r>
              <w:rPr>
                <w:sz w:val="21"/>
              </w:rPr>
              <w:t>（</w:t>
            </w:r>
            <w:r>
              <w:rPr>
                <w:sz w:val="21"/>
              </w:rPr>
              <w:t>八</w:t>
            </w:r>
            <w:r>
              <w:rPr>
                <w:sz w:val="21"/>
              </w:rPr>
              <w:t>）</w:t>
            </w:r>
            <w:r>
              <w:rPr>
                <w:sz w:val="21"/>
              </w:rPr>
              <w:t>到货周期</w:t>
            </w:r>
          </w:p>
          <w:p>
            <w:pPr>
              <w:jc w:val="both"/>
            </w:pPr>
            <w:r>
              <w:rPr>
                <w:sz w:val="21"/>
              </w:rPr>
              <w:t>1</w:t>
            </w:r>
            <w:r>
              <w:rPr>
                <w:sz w:val="21"/>
              </w:rPr>
              <w:t>、现货：收到订单后</w:t>
            </w:r>
            <w:r>
              <w:rPr>
                <w:sz w:val="21"/>
              </w:rPr>
              <w:t>30</w:t>
            </w:r>
            <w:r>
              <w:rPr>
                <w:sz w:val="21"/>
              </w:rPr>
              <w:t>天内交货</w:t>
            </w:r>
            <w:r>
              <w:rPr>
                <w:sz w:val="21"/>
              </w:rPr>
              <w:t>100%</w:t>
            </w:r>
            <w:r>
              <w:rPr>
                <w:sz w:val="21"/>
              </w:rPr>
              <w:t>。</w:t>
            </w:r>
          </w:p>
          <w:p>
            <w:pPr>
              <w:jc w:val="both"/>
            </w:pPr>
            <w:r>
              <w:rPr>
                <w:sz w:val="21"/>
              </w:rPr>
              <w:t>2</w:t>
            </w:r>
            <w:r>
              <w:rPr>
                <w:sz w:val="21"/>
              </w:rPr>
              <w:t>、期货：收到订单</w:t>
            </w:r>
            <w:r>
              <w:rPr>
                <w:sz w:val="21"/>
              </w:rPr>
              <w:t>6</w:t>
            </w:r>
            <w:r>
              <w:rPr>
                <w:sz w:val="21"/>
              </w:rPr>
              <w:t>个月内到书</w:t>
            </w:r>
            <w:r>
              <w:rPr>
                <w:sz w:val="21"/>
              </w:rPr>
              <w:t>85%</w:t>
            </w:r>
            <w:r>
              <w:rPr>
                <w:sz w:val="21"/>
              </w:rPr>
              <w:t>以上。</w:t>
            </w:r>
          </w:p>
          <w:p>
            <w:pPr>
              <w:jc w:val="both"/>
            </w:pPr>
            <w:r>
              <w:rPr>
                <w:sz w:val="21"/>
              </w:rPr>
              <w:t>二、服务要求</w:t>
            </w:r>
          </w:p>
          <w:p>
            <w:pPr>
              <w:jc w:val="both"/>
            </w:pPr>
            <w:r>
              <w:rPr>
                <w:sz w:val="21"/>
              </w:rPr>
              <w:t>(</w:t>
            </w:r>
            <w:r>
              <w:rPr>
                <w:sz w:val="21"/>
              </w:rPr>
              <w:t>一</w:t>
            </w:r>
            <w:r>
              <w:rPr>
                <w:sz w:val="21"/>
              </w:rPr>
              <w:t>)</w:t>
            </w:r>
            <w:r>
              <w:rPr>
                <w:sz w:val="21"/>
              </w:rPr>
              <w:t>供货要求</w:t>
            </w:r>
          </w:p>
          <w:p>
            <w:pPr>
              <w:jc w:val="both"/>
            </w:pPr>
            <w:r>
              <w:rPr>
                <w:sz w:val="21"/>
              </w:rPr>
              <w:t>1</w:t>
            </w:r>
            <w:r>
              <w:rPr>
                <w:sz w:val="21"/>
              </w:rPr>
              <w:t>、</w:t>
            </w:r>
            <w:r>
              <w:rPr>
                <w:sz w:val="21"/>
              </w:rPr>
              <w:t>中标人</w:t>
            </w:r>
            <w:r>
              <w:rPr>
                <w:sz w:val="21"/>
              </w:rPr>
              <w:t>在每批图书发货一天前用电话或</w:t>
            </w:r>
            <w:r>
              <w:rPr>
                <w:sz w:val="21"/>
              </w:rPr>
              <w:t>Email</w:t>
            </w:r>
            <w:r>
              <w:rPr>
                <w:sz w:val="21"/>
              </w:rPr>
              <w:t>形式通知采购人并负责送书上门，所有图书必须按满足运输距离、防湿和防破损等运输和装卸要求打包送到采购单位指定地点（供货商提供</w:t>
            </w:r>
            <w:r>
              <w:rPr>
                <w:sz w:val="21"/>
              </w:rPr>
              <w:t>无条件</w:t>
            </w:r>
            <w:r>
              <w:rPr>
                <w:sz w:val="21"/>
              </w:rPr>
              <w:t>送书、卸货、搬运等），并提供纸质图书发货清单，一包一单，一式两份。</w:t>
            </w:r>
          </w:p>
          <w:p>
            <w:pPr>
              <w:jc w:val="both"/>
            </w:pPr>
            <w:r>
              <w:rPr>
                <w:sz w:val="21"/>
              </w:rPr>
              <w:t>2</w:t>
            </w:r>
            <w:r>
              <w:rPr>
                <w:sz w:val="21"/>
              </w:rPr>
              <w:t>、发货清单应包括下列项目：购货单位、批次、制单日期、箱号、书名、</w:t>
            </w:r>
            <w:r>
              <w:rPr>
                <w:sz w:val="21"/>
              </w:rPr>
              <w:t>ISBN</w:t>
            </w:r>
            <w:r>
              <w:rPr>
                <w:sz w:val="21"/>
              </w:rPr>
              <w:t>、出版社、单价、册数、码洋、书目号等。每包有小计，包括种数、册数、本包码洋。</w:t>
            </w:r>
          </w:p>
          <w:p>
            <w:pPr>
              <w:jc w:val="both"/>
            </w:pPr>
            <w:r>
              <w:rPr>
                <w:sz w:val="21"/>
              </w:rPr>
              <w:t>3</w:t>
            </w:r>
            <w:r>
              <w:rPr>
                <w:sz w:val="21"/>
              </w:rPr>
              <w:t>、整批图书有合计，合计内容为此批图书的总种数、总册数和总码洋。</w:t>
            </w:r>
          </w:p>
          <w:p>
            <w:pPr>
              <w:jc w:val="both"/>
            </w:pPr>
            <w:r>
              <w:rPr>
                <w:sz w:val="21"/>
              </w:rPr>
              <w:t>4</w:t>
            </w:r>
            <w:r>
              <w:rPr>
                <w:sz w:val="21"/>
              </w:rPr>
              <w:t>、一份清单分别附于各包装货件内，另一份是以箱号为序的总清单，货单相符。</w:t>
            </w:r>
          </w:p>
          <w:p>
            <w:pPr>
              <w:jc w:val="both"/>
            </w:pPr>
            <w:r>
              <w:rPr>
                <w:sz w:val="21"/>
              </w:rPr>
              <w:t>（二）图书质量</w:t>
            </w:r>
          </w:p>
          <w:p>
            <w:pPr>
              <w:jc w:val="both"/>
            </w:pPr>
            <w:r>
              <w:rPr>
                <w:sz w:val="21"/>
              </w:rPr>
              <w:t>1</w:t>
            </w:r>
            <w:r>
              <w:rPr>
                <w:sz w:val="21"/>
              </w:rPr>
              <w:t>、投标人须保证销售正版图书，对盗版图书采购人拒绝验收，供货商应当接受无条件退货，并承担一切法律责任，由此而造成采购人</w:t>
            </w:r>
            <w:r>
              <w:rPr>
                <w:sz w:val="21"/>
              </w:rPr>
              <w:t>向行政机关或第三人承担行政、民事责任或有其他</w:t>
            </w:r>
            <w:r>
              <w:rPr>
                <w:sz w:val="21"/>
              </w:rPr>
              <w:t>损失的，供货商须给予相应的赔偿</w:t>
            </w:r>
            <w:r>
              <w:rPr>
                <w:sz w:val="21"/>
              </w:rPr>
              <w:t>，</w:t>
            </w:r>
            <w:r>
              <w:rPr>
                <w:sz w:val="21"/>
              </w:rPr>
              <w:t>采购人有权向中标供应商追偿</w:t>
            </w:r>
            <w:r>
              <w:rPr>
                <w:sz w:val="21"/>
              </w:rPr>
              <w:t>。</w:t>
            </w:r>
          </w:p>
          <w:p>
            <w:pPr>
              <w:jc w:val="both"/>
            </w:pPr>
            <w:r>
              <w:rPr>
                <w:sz w:val="21"/>
              </w:rPr>
              <w:t>2</w:t>
            </w:r>
            <w:r>
              <w:rPr>
                <w:sz w:val="21"/>
              </w:rPr>
              <w:t>、图书到货后发现任何质量问题，如破损、重订或者投递与所订品种、复本数量、随刊光盘</w:t>
            </w:r>
            <w:r>
              <w:rPr>
                <w:sz w:val="21"/>
              </w:rPr>
              <w:t>/</w:t>
            </w:r>
            <w:r>
              <w:rPr>
                <w:sz w:val="21"/>
              </w:rPr>
              <w:t>磁盘</w:t>
            </w:r>
            <w:r>
              <w:rPr>
                <w:sz w:val="21"/>
              </w:rPr>
              <w:t>/</w:t>
            </w:r>
            <w:r>
              <w:rPr>
                <w:sz w:val="21"/>
              </w:rPr>
              <w:t>磁带等不符的情况时，无论是否已作前期加工，投标人应全部无条件退换。</w:t>
            </w:r>
            <w:r>
              <w:rPr>
                <w:sz w:val="21"/>
              </w:rPr>
              <w:t>退换产生的费用由</w:t>
            </w:r>
            <w:r>
              <w:rPr>
                <w:sz w:val="21"/>
              </w:rPr>
              <w:t>中标供应商</w:t>
            </w:r>
            <w:r>
              <w:rPr>
                <w:sz w:val="21"/>
              </w:rPr>
              <w:t>承担。</w:t>
            </w:r>
          </w:p>
          <w:p>
            <w:pPr>
              <w:jc w:val="both"/>
            </w:pPr>
            <w:r>
              <w:rPr>
                <w:sz w:val="21"/>
              </w:rPr>
              <w:t>（三）图书退换</w:t>
            </w:r>
          </w:p>
          <w:p>
            <w:pPr>
              <w:jc w:val="both"/>
            </w:pPr>
            <w:r>
              <w:rPr>
                <w:sz w:val="21"/>
              </w:rPr>
              <w:t>1</w:t>
            </w:r>
            <w:r>
              <w:rPr>
                <w:sz w:val="21"/>
              </w:rPr>
              <w:t>、</w:t>
            </w:r>
            <w:r>
              <w:rPr>
                <w:sz w:val="21"/>
              </w:rPr>
              <w:t>图书出现下列任一情况，</w:t>
            </w:r>
            <w:r>
              <w:rPr>
                <w:sz w:val="21"/>
              </w:rPr>
              <w:t>中标</w:t>
            </w:r>
            <w:r>
              <w:rPr>
                <w:sz w:val="21"/>
              </w:rPr>
              <w:t>供货商须无条件负责退换。</w:t>
            </w:r>
          </w:p>
          <w:p>
            <w:pPr>
              <w:jc w:val="both"/>
            </w:pPr>
            <w:r>
              <w:rPr>
                <w:sz w:val="21"/>
              </w:rPr>
              <w:t>（</w:t>
            </w:r>
            <w:r>
              <w:rPr>
                <w:sz w:val="21"/>
              </w:rPr>
              <w:t>1</w:t>
            </w:r>
            <w:r>
              <w:rPr>
                <w:sz w:val="21"/>
              </w:rPr>
              <w:t>）盗版图书；</w:t>
            </w:r>
          </w:p>
          <w:p>
            <w:pPr>
              <w:jc w:val="both"/>
            </w:pPr>
            <w:r>
              <w:rPr>
                <w:sz w:val="21"/>
              </w:rPr>
              <w:t>（</w:t>
            </w:r>
            <w:r>
              <w:rPr>
                <w:sz w:val="21"/>
              </w:rPr>
              <w:t>2</w:t>
            </w:r>
            <w:r>
              <w:rPr>
                <w:sz w:val="21"/>
              </w:rPr>
              <w:t>）出现装订、印刷质量问题和损坏；</w:t>
            </w:r>
          </w:p>
          <w:p>
            <w:pPr>
              <w:jc w:val="both"/>
            </w:pPr>
            <w:r>
              <w:rPr>
                <w:sz w:val="21"/>
              </w:rPr>
              <w:t>（</w:t>
            </w:r>
            <w:r>
              <w:rPr>
                <w:sz w:val="21"/>
              </w:rPr>
              <w:t>3</w:t>
            </w:r>
            <w:r>
              <w:rPr>
                <w:sz w:val="21"/>
              </w:rPr>
              <w:t>）配套不齐全；</w:t>
            </w:r>
          </w:p>
          <w:p>
            <w:pPr>
              <w:jc w:val="both"/>
            </w:pPr>
            <w:r>
              <w:rPr>
                <w:sz w:val="21"/>
              </w:rPr>
              <w:t>（</w:t>
            </w:r>
            <w:r>
              <w:rPr>
                <w:sz w:val="21"/>
              </w:rPr>
              <w:t>4</w:t>
            </w:r>
            <w:r>
              <w:rPr>
                <w:sz w:val="21"/>
              </w:rPr>
              <w:t>）提供的品种和数量与订货单不符；</w:t>
            </w:r>
          </w:p>
          <w:p>
            <w:pPr>
              <w:jc w:val="both"/>
            </w:pPr>
            <w:r>
              <w:rPr>
                <w:sz w:val="21"/>
              </w:rPr>
              <w:t>（</w:t>
            </w:r>
            <w:r>
              <w:rPr>
                <w:sz w:val="21"/>
              </w:rPr>
              <w:t>5</w:t>
            </w:r>
            <w:r>
              <w:rPr>
                <w:sz w:val="21"/>
              </w:rPr>
              <w:t>）因内容、开本、页数等等原因不符合</w:t>
            </w:r>
            <w:r>
              <w:rPr>
                <w:sz w:val="21"/>
              </w:rPr>
              <w:t>采购人学校</w:t>
            </w:r>
            <w:r>
              <w:rPr>
                <w:sz w:val="21"/>
              </w:rPr>
              <w:t>图书馆馆藏要求；</w:t>
            </w:r>
          </w:p>
          <w:p>
            <w:pPr>
              <w:jc w:val="both"/>
            </w:pPr>
            <w:r>
              <w:rPr>
                <w:sz w:val="21"/>
              </w:rPr>
              <w:t>（</w:t>
            </w:r>
            <w:r>
              <w:rPr>
                <w:sz w:val="21"/>
              </w:rPr>
              <w:t>6</w:t>
            </w:r>
            <w:r>
              <w:rPr>
                <w:sz w:val="21"/>
              </w:rPr>
              <w:t>）因</w:t>
            </w:r>
            <w:r>
              <w:rPr>
                <w:sz w:val="21"/>
              </w:rPr>
              <w:t>中标</w:t>
            </w:r>
            <w:r>
              <w:rPr>
                <w:sz w:val="21"/>
              </w:rPr>
              <w:t>供货商提供的书目信息错漏而导致采购人误订；</w:t>
            </w:r>
          </w:p>
          <w:p>
            <w:pPr>
              <w:jc w:val="both"/>
            </w:pPr>
            <w:r>
              <w:rPr>
                <w:sz w:val="21"/>
              </w:rPr>
              <w:t>（</w:t>
            </w:r>
            <w:r>
              <w:rPr>
                <w:sz w:val="21"/>
              </w:rPr>
              <w:t>7</w:t>
            </w:r>
            <w:r>
              <w:rPr>
                <w:sz w:val="21"/>
              </w:rPr>
              <w:t>）采购人认为必须退书的其它情况。</w:t>
            </w:r>
          </w:p>
          <w:p>
            <w:pPr>
              <w:jc w:val="both"/>
            </w:pPr>
            <w:r>
              <w:rPr>
                <w:sz w:val="21"/>
              </w:rPr>
              <w:t>（四）图书验收</w:t>
            </w:r>
          </w:p>
          <w:p>
            <w:pPr>
              <w:jc w:val="both"/>
            </w:pPr>
            <w:r>
              <w:rPr>
                <w:sz w:val="21"/>
              </w:rPr>
              <w:t>图书验收以采购人最终的验收结果为准。</w:t>
            </w:r>
          </w:p>
          <w:p>
            <w:pPr>
              <w:jc w:val="both"/>
            </w:pPr>
            <w:r>
              <w:rPr>
                <w:sz w:val="21"/>
              </w:rPr>
              <w:t>1</w:t>
            </w:r>
            <w:r>
              <w:rPr>
                <w:sz w:val="21"/>
              </w:rPr>
              <w:t>、所有送达图书馆的图书的品种及复本数量均由采购人决定，中标供应商不得自行搭配和追加非采购人确认订购的品种和复本数量的图书。中标供应商强硬搭配的图书，采购人有权按学校规定的图书捐赠制度处理。</w:t>
            </w:r>
          </w:p>
          <w:p>
            <w:pPr>
              <w:jc w:val="both"/>
            </w:pPr>
            <w:r>
              <w:rPr>
                <w:sz w:val="21"/>
              </w:rPr>
              <w:t>2</w:t>
            </w:r>
            <w:r>
              <w:rPr>
                <w:sz w:val="21"/>
              </w:rPr>
              <w:t>、</w:t>
            </w:r>
            <w:r>
              <w:rPr>
                <w:sz w:val="21"/>
              </w:rPr>
              <w:t>中标供应商</w:t>
            </w:r>
            <w:r>
              <w:rPr>
                <w:sz w:val="21"/>
              </w:rPr>
              <w:t>须保证销售正版图书，保证所供应图书的版本与进书来源合法，并对所供应的图书版本、知识产权、进货来源承担相应的法律责任。如发现盗版现象，按盗版书涉及金额的</w:t>
            </w:r>
            <w:r>
              <w:rPr>
                <w:sz w:val="21"/>
              </w:rPr>
              <w:t>100</w:t>
            </w:r>
            <w:r>
              <w:rPr>
                <w:sz w:val="21"/>
              </w:rPr>
              <w:t>倍进行赔偿，并由供应商负全部法律责任。</w:t>
            </w:r>
          </w:p>
          <w:p>
            <w:pPr>
              <w:jc w:val="both"/>
            </w:pPr>
            <w:r>
              <w:rPr>
                <w:sz w:val="21"/>
              </w:rPr>
              <w:t>3</w:t>
            </w:r>
            <w:r>
              <w:rPr>
                <w:sz w:val="21"/>
              </w:rPr>
              <w:t>、如出现图书装订、印刷、缺页、少页和污损等不符合图书馆藏书要求的图书，</w:t>
            </w:r>
            <w:r>
              <w:rPr>
                <w:sz w:val="21"/>
              </w:rPr>
              <w:t>中标</w:t>
            </w:r>
            <w:r>
              <w:rPr>
                <w:sz w:val="21"/>
              </w:rPr>
              <w:t>供应商须在</w:t>
            </w:r>
            <w:r>
              <w:rPr>
                <w:sz w:val="21"/>
              </w:rPr>
              <w:t>20</w:t>
            </w:r>
            <w:r>
              <w:rPr>
                <w:sz w:val="21"/>
              </w:rPr>
              <w:t>天内无条件给予退货。</w:t>
            </w:r>
          </w:p>
          <w:p>
            <w:pPr>
              <w:jc w:val="both"/>
            </w:pPr>
            <w:r>
              <w:rPr>
                <w:sz w:val="21"/>
              </w:rPr>
              <w:t>4</w:t>
            </w:r>
            <w:r>
              <w:rPr>
                <w:sz w:val="21"/>
              </w:rPr>
              <w:t>、图书要求无偿提供随书</w:t>
            </w:r>
            <w:r>
              <w:rPr>
                <w:sz w:val="21"/>
              </w:rPr>
              <w:t>100%</w:t>
            </w:r>
            <w:r>
              <w:rPr>
                <w:sz w:val="21"/>
              </w:rPr>
              <w:t>配套、且符合要求的标准</w:t>
            </w:r>
            <w:r>
              <w:rPr>
                <w:sz w:val="21"/>
              </w:rPr>
              <w:t>CNMARC</w:t>
            </w:r>
            <w:r>
              <w:rPr>
                <w:sz w:val="21"/>
              </w:rPr>
              <w:t>编目数据，编目数据以光盘或电子邮件方式提供，由采购人负责转入本馆系统。</w:t>
            </w:r>
          </w:p>
          <w:p>
            <w:pPr>
              <w:jc w:val="both"/>
            </w:pPr>
            <w:r>
              <w:rPr>
                <w:sz w:val="21"/>
              </w:rPr>
              <w:t>（五）供应商要求</w:t>
            </w:r>
          </w:p>
          <w:p>
            <w:pPr>
              <w:jc w:val="both"/>
            </w:pPr>
            <w:r>
              <w:rPr>
                <w:sz w:val="21"/>
              </w:rPr>
              <w:t>1</w:t>
            </w:r>
            <w:r>
              <w:rPr>
                <w:sz w:val="21"/>
              </w:rPr>
              <w:t>、</w:t>
            </w:r>
            <w:r>
              <w:rPr>
                <w:sz w:val="21"/>
              </w:rPr>
              <w:t>中标供应商</w:t>
            </w:r>
            <w:r>
              <w:rPr>
                <w:sz w:val="21"/>
              </w:rPr>
              <w:t>具有履行合同的能力，包括</w:t>
            </w:r>
            <w:r>
              <w:rPr>
                <w:sz w:val="21"/>
              </w:rPr>
              <w:t>但不限于</w:t>
            </w:r>
            <w:r>
              <w:rPr>
                <w:sz w:val="21"/>
              </w:rPr>
              <w:t>原版外文期刊的订购、配送能力、专业技术人员、质量保证能力和资信。</w:t>
            </w:r>
          </w:p>
          <w:p>
            <w:pPr>
              <w:jc w:val="both"/>
            </w:pPr>
            <w:r>
              <w:rPr>
                <w:sz w:val="21"/>
              </w:rPr>
              <w:t>2</w:t>
            </w:r>
            <w:r>
              <w:rPr>
                <w:sz w:val="21"/>
              </w:rPr>
              <w:t>、</w:t>
            </w:r>
            <w:r>
              <w:rPr>
                <w:sz w:val="21"/>
              </w:rPr>
              <w:t>中标</w:t>
            </w:r>
            <w:r>
              <w:rPr>
                <w:sz w:val="21"/>
              </w:rPr>
              <w:t>供货商须按采购人订购的图书品种、数量及时供货，除出版推迟或发生影响协议履行的不可抗力事情外，若不能按时供货的图书种数或册数超过订单订购数的</w:t>
            </w:r>
            <w:r>
              <w:rPr>
                <w:sz w:val="21"/>
              </w:rPr>
              <w:t>20%</w:t>
            </w:r>
            <w:r>
              <w:rPr>
                <w:sz w:val="21"/>
              </w:rPr>
              <w:t>即可认定</w:t>
            </w:r>
            <w:r>
              <w:rPr>
                <w:sz w:val="21"/>
              </w:rPr>
              <w:t>中标</w:t>
            </w:r>
            <w:r>
              <w:rPr>
                <w:sz w:val="21"/>
              </w:rPr>
              <w:t>供货商不具备供货条件。一旦采购人提出终止供货的要求，</w:t>
            </w:r>
            <w:r>
              <w:rPr>
                <w:sz w:val="21"/>
              </w:rPr>
              <w:t>中标</w:t>
            </w:r>
            <w:r>
              <w:rPr>
                <w:sz w:val="21"/>
              </w:rPr>
              <w:t>供货商须无条件接受，终止供货造成的损失由供货商承担。为尽可能消除因供货商不能按协议规定要求对采购人所造成的影响，供货商有义务采取相应的补救措施（如直接向出版商邮购图书或向其他供货商补订图书），由此给采购人造成的各项损失或增加的各项费用（</w:t>
            </w:r>
            <w:r>
              <w:rPr>
                <w:sz w:val="21"/>
              </w:rPr>
              <w:t>包括但不限于</w:t>
            </w:r>
            <w:r>
              <w:rPr>
                <w:sz w:val="21"/>
              </w:rPr>
              <w:t>邮费、数据费、加工费</w:t>
            </w:r>
            <w:r>
              <w:rPr>
                <w:sz w:val="21"/>
              </w:rPr>
              <w:t>、图书差价</w:t>
            </w:r>
            <w:r>
              <w:rPr>
                <w:sz w:val="21"/>
              </w:rPr>
              <w:t>）等均由违约的</w:t>
            </w:r>
            <w:r>
              <w:rPr>
                <w:sz w:val="21"/>
              </w:rPr>
              <w:t>中标</w:t>
            </w:r>
            <w:r>
              <w:rPr>
                <w:sz w:val="21"/>
              </w:rPr>
              <w:t>供货商承担。</w:t>
            </w:r>
          </w:p>
          <w:p>
            <w:pPr>
              <w:jc w:val="both"/>
            </w:pPr>
            <w:r>
              <w:rPr>
                <w:sz w:val="21"/>
              </w:rPr>
              <w:t>3</w:t>
            </w:r>
            <w:r>
              <w:rPr>
                <w:sz w:val="21"/>
              </w:rPr>
              <w:t>、采购人所订图书，</w:t>
            </w:r>
            <w:r>
              <w:rPr>
                <w:sz w:val="21"/>
              </w:rPr>
              <w:t>中标</w:t>
            </w:r>
            <w:r>
              <w:rPr>
                <w:sz w:val="21"/>
              </w:rPr>
              <w:t>供货商需负责安装复合型钴基可充消防盗磁条。每册图书至少贴一根磁条，</w:t>
            </w:r>
            <w:r>
              <w:rPr>
                <w:sz w:val="21"/>
              </w:rPr>
              <w:t>300</w:t>
            </w:r>
            <w:r>
              <w:rPr>
                <w:sz w:val="21"/>
              </w:rPr>
              <w:t>页以上图书需贴两根。若贴一根磁条，需将防盗磁条装在图书前面约</w:t>
            </w:r>
            <w:r>
              <w:rPr>
                <w:sz w:val="21"/>
              </w:rPr>
              <w:t>1/3</w:t>
            </w:r>
            <w:r>
              <w:rPr>
                <w:sz w:val="21"/>
              </w:rPr>
              <w:t>页码处，若贴两根磁条，则将需防盗磁条分别装在图书前面约</w:t>
            </w:r>
            <w:r>
              <w:rPr>
                <w:sz w:val="21"/>
              </w:rPr>
              <w:t>1/3</w:t>
            </w:r>
            <w:r>
              <w:rPr>
                <w:sz w:val="21"/>
              </w:rPr>
              <w:t>页码处和图书后面约</w:t>
            </w:r>
            <w:r>
              <w:rPr>
                <w:sz w:val="21"/>
              </w:rPr>
              <w:t>1/3</w:t>
            </w:r>
            <w:r>
              <w:rPr>
                <w:sz w:val="21"/>
              </w:rPr>
              <w:t>页码处。</w:t>
            </w:r>
          </w:p>
          <w:p>
            <w:pPr>
              <w:jc w:val="both"/>
            </w:pPr>
            <w:r>
              <w:rPr>
                <w:sz w:val="21"/>
              </w:rPr>
              <w:t>4</w:t>
            </w:r>
            <w:r>
              <w:rPr>
                <w:sz w:val="21"/>
              </w:rPr>
              <w:t>、实际操作过程中出现以上未列明的其他问题，由双方协商解决。</w:t>
            </w:r>
          </w:p>
          <w:p>
            <w:pPr>
              <w:jc w:val="both"/>
            </w:pPr>
            <w:r>
              <w:rPr>
                <w:sz w:val="21"/>
              </w:rPr>
              <w:t>5</w:t>
            </w:r>
            <w:r>
              <w:rPr>
                <w:sz w:val="21"/>
              </w:rPr>
              <w:t>、投标人具有专门的图书零售场地、良好的图书样书室等现采场地。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采购包3（原版外文及港台期刊）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合同签订后，年到刊率要求达到96%以上（延迟及取消出版计划等情况除外）；期刊出版后60天内到货。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1期：支付比例100%,采购人最迟于2024年9月30日前按中标人民币实洋付款。中标供货商必须按实洋数开具国家税务部门监制的正式发票。 图书结算价（实洋）（人民币元）=图书原币价格×到馆日原币汇率×中标综合折扣率。 图书原币价格：以出版社标价或供应商进货单据为准。 到馆日原币汇率：指图书到馆当日的中国银行外汇卖出日均价，即当天（北京时间为准）中国银行网站上公布的相应外币的所有现汇卖出价记录之均值。采购人于收到发票15日内实洋付款。 支付方式：采用支票、银行汇付（含电汇）等形式。</w:t>
            </w:r>
          </w:p>
        </w:tc>
      </w:tr>
      <w:tr>
        <w:tc>
          <w:tcPr>
            <w:tcW w:type="dxa" w:w="4153"/>
          </w:tcPr>
          <w:p>
            <w:r>
              <w:rPr/>
              <w:t>验收要求</w:t>
            </w:r>
          </w:p>
        </w:tc>
        <w:tc>
          <w:tcPr>
            <w:tcW w:type="dxa" w:w="4153"/>
          </w:tcPr>
          <w:p/>
          <w:p/>
          <w:p/>
          <w:p>
            <w:r>
              <w:rPr/>
              <w:t>1期：期刊验收以采购人用户需求书及最终的验收结果为准。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包装与运输，包装应用合适的材料，适用长途运输、防潮、防震、能够保证图书的完整。</w:t>
            </w:r>
          </w:p>
          <w:p/>
          <w:p>
            <w:r>
              <w:rPr/>
              <w:t>保险，货物从出厂运至采购人指定地点的保险费用须包含在投标报价中。</w:t>
            </w:r>
          </w:p>
          <w:p/>
          <w:p>
            <w:r>
              <w:rPr/>
              <w:t>质量保证，出现如下情况，中标供应商必须在3个工作日内无条件更换：图书/期刊装订或印刷质量有问题，如缺页、倒装、模糊不清、折页、开线、开胶等；图书/期刊总数与对应清单不符；出现污损情况；图书/期刊的附件如光盘等不齐全。</w:t>
            </w:r>
          </w:p>
          <w:p/>
          <w:p>
            <w:r>
              <w:rPr/>
              <w:t>售后服务，1. 中标供应商须专门指派一名业务人员，负责与采购人保持业务联系。 2. 中标供应商在投递的每批图书、期刊中应随货附送与货物数量、品种、价格相符的详细电脑清单及汇总单，以便于双方协调验收和避免出现漏发、错投的现象。 3. 对汇总单中漏发的图书、期刊，中标供应商必须立刻快递补齐。 4. 对延迟出版及取消出版图书、期刊，中标供应商应及时向出版机构查询交涉，并同步通报采购人。 5. 接采购人通知（含电话）后，中标供应商必须在一个工作日内作出反馈并提出处理问题的方案。</w:t>
            </w:r>
          </w:p>
        </w:tc>
      </w:tr>
    </w:tbl>
    <w:p>
      <w:r>
        <w:rPr>
          <w:b/>
        </w:rPr>
        <w:t>2.技术标准与要求</w:t>
      </w:r>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其他期刊</w:t>
            </w:r>
          </w:p>
        </w:tc>
        <w:tc>
          <w:tcPr>
            <w:tcW w:type="dxa" w:w="748"/>
          </w:tcPr>
          <w:p>
            <w:pPr>
              <w:jc w:val="left"/>
            </w:pPr>
            <w:r>
              <w:rPr/>
              <w:t>原版外文及港台期刊</w:t>
            </w:r>
          </w:p>
        </w:tc>
        <w:tc>
          <w:tcPr>
            <w:tcW w:type="dxa" w:w="748"/>
          </w:tcPr>
          <w:p>
            <w:pPr>
              <w:jc w:val="left"/>
            </w:pPr>
            <w:r>
              <w:rPr/>
              <w:t>批</w:t>
            </w:r>
          </w:p>
        </w:tc>
        <w:tc>
          <w:tcPr>
            <w:tcW w:type="dxa" w:w="748"/>
          </w:tcPr>
          <w:p>
            <w:pPr>
              <w:jc w:val="right"/>
            </w:pPr>
            <w:r>
              <w:rPr/>
              <w:t>1.00</w:t>
            </w:r>
          </w:p>
        </w:tc>
        <w:tc>
          <w:tcPr>
            <w:tcW w:type="dxa" w:w="748"/>
          </w:tcPr>
          <w:p>
            <w:pPr>
              <w:jc w:val="right"/>
            </w:pPr>
            <w:r>
              <w:rPr/>
              <w:t>651,000.00</w:t>
            </w:r>
          </w:p>
        </w:tc>
        <w:tc>
          <w:tcPr>
            <w:tcW w:type="dxa" w:w="748"/>
          </w:tcPr>
          <w:p>
            <w:pPr>
              <w:jc w:val="right"/>
            </w:pPr>
            <w:r>
              <w:rPr/>
              <w:t>651,000.00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原版外文及港台期刊</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采购范围：采购人学校图书馆所需求的</w:t>
            </w:r>
            <w:r>
              <w:rPr>
                <w:sz w:val="21"/>
              </w:rPr>
              <w:t>2024</w:t>
            </w:r>
            <w:r>
              <w:rPr>
                <w:sz w:val="21"/>
              </w:rPr>
              <w:t>年各学科类目的港台期刊及国外原版期刊。</w:t>
            </w:r>
          </w:p>
          <w:p>
            <w:pPr>
              <w:jc w:val="both"/>
            </w:pPr>
            <w:r>
              <w:rPr>
                <w:sz w:val="21"/>
              </w:rPr>
              <w:t>2.</w:t>
            </w:r>
            <w:r>
              <w:rPr>
                <w:sz w:val="21"/>
              </w:rPr>
              <w:t>项目技术要求：</w:t>
            </w:r>
          </w:p>
          <w:p>
            <w:pPr>
              <w:jc w:val="both"/>
            </w:pPr>
            <w:r>
              <w:rPr>
                <w:sz w:val="21"/>
              </w:rPr>
              <w:t>（</w:t>
            </w:r>
            <w:r>
              <w:rPr>
                <w:sz w:val="21"/>
              </w:rPr>
              <w:t>1</w:t>
            </w:r>
            <w:r>
              <w:rPr>
                <w:sz w:val="21"/>
              </w:rPr>
              <w:t>）征订目录要求：中标供货商必须每年</w:t>
            </w:r>
            <w:r>
              <w:rPr>
                <w:sz w:val="21"/>
              </w:rPr>
              <w:t>根据征订目录</w:t>
            </w:r>
            <w:r>
              <w:rPr>
                <w:sz w:val="21"/>
              </w:rPr>
              <w:t>按时无条件提供港台及国外各类型期刊社及其他专门的最新书本式期刊征订目录和电子版期刊征订目录（含报价），特别是符合采购人教学和科研需要的当年新增期刊目录。</w:t>
            </w:r>
          </w:p>
          <w:p>
            <w:pPr>
              <w:jc w:val="both"/>
            </w:pPr>
            <w:r>
              <w:rPr>
                <w:sz w:val="21"/>
              </w:rPr>
              <w:t>（</w:t>
            </w:r>
            <w:r>
              <w:rPr>
                <w:sz w:val="21"/>
              </w:rPr>
              <w:t>2</w:t>
            </w:r>
            <w:r>
              <w:rPr>
                <w:sz w:val="21"/>
              </w:rPr>
              <w:t>）期刊变更信息要求：因出版方原因未能及时供刊，及期刊发生停刊、改名、合并、分刊、载体变化或个别期刊价格非正常上涨等情况，中标供应商应编制专门的《期刊变动情况表》，尽早通知采购人并说明原因。平时对于采购人对期刊的询订、催缺应及时处理和回复。</w:t>
            </w:r>
          </w:p>
          <w:p>
            <w:pPr>
              <w:jc w:val="both"/>
            </w:pPr>
            <w:r>
              <w:rPr>
                <w:sz w:val="21"/>
              </w:rPr>
              <w:t>（</w:t>
            </w:r>
            <w:r>
              <w:rPr>
                <w:sz w:val="21"/>
              </w:rPr>
              <w:t>3</w:t>
            </w:r>
            <w:r>
              <w:rPr>
                <w:sz w:val="21"/>
              </w:rPr>
              <w:t>）订到率：在版订到率要求</w:t>
            </w:r>
            <w:r>
              <w:rPr>
                <w:sz w:val="21"/>
              </w:rPr>
              <w:t>98%</w:t>
            </w:r>
            <w:r>
              <w:rPr>
                <w:sz w:val="21"/>
              </w:rPr>
              <w:t>。</w:t>
            </w:r>
          </w:p>
          <w:p>
            <w:pPr>
              <w:jc w:val="both"/>
            </w:pPr>
            <w:r>
              <w:rPr>
                <w:sz w:val="21"/>
              </w:rPr>
              <w:t>（</w:t>
            </w:r>
            <w:r>
              <w:rPr>
                <w:sz w:val="21"/>
              </w:rPr>
              <w:t>4</w:t>
            </w:r>
            <w:r>
              <w:rPr>
                <w:sz w:val="21"/>
              </w:rPr>
              <w:t>）到刊率：年到刊率要求达到</w:t>
            </w:r>
            <w:r>
              <w:rPr>
                <w:sz w:val="21"/>
              </w:rPr>
              <w:t>96%</w:t>
            </w:r>
            <w:r>
              <w:rPr>
                <w:sz w:val="21"/>
              </w:rPr>
              <w:t>以上（延迟及取消出版计划等情况除外）。</w:t>
            </w:r>
          </w:p>
          <w:p>
            <w:pPr>
              <w:jc w:val="both"/>
            </w:pPr>
            <w:r>
              <w:rPr>
                <w:sz w:val="21"/>
              </w:rPr>
              <w:t>（</w:t>
            </w:r>
            <w:r>
              <w:rPr>
                <w:sz w:val="21"/>
              </w:rPr>
              <w:t>5</w:t>
            </w:r>
            <w:r>
              <w:rPr>
                <w:sz w:val="21"/>
              </w:rPr>
              <w:t>）到刊统计：中标供货商提供期刊到货的统计；每三个月提供未到刊清单，并以书面形式分析、说明原因，尽快给予补充未到的期刊。</w:t>
            </w:r>
          </w:p>
          <w:p>
            <w:pPr>
              <w:jc w:val="both"/>
            </w:pPr>
            <w:r>
              <w:rPr>
                <w:sz w:val="21"/>
              </w:rPr>
              <w:t>（</w:t>
            </w:r>
            <w:r>
              <w:rPr>
                <w:sz w:val="21"/>
              </w:rPr>
              <w:t>6</w:t>
            </w:r>
            <w:r>
              <w:rPr>
                <w:sz w:val="21"/>
              </w:rPr>
              <w:t>）追加订购：供货商应尽量按投标报价时相同的优惠条件订购采购人要求追加订购的其他期刊。</w:t>
            </w:r>
          </w:p>
          <w:p>
            <w:pPr>
              <w:jc w:val="both"/>
            </w:pPr>
            <w:r>
              <w:rPr>
                <w:sz w:val="21"/>
              </w:rPr>
              <w:t>3.</w:t>
            </w:r>
            <w:r>
              <w:rPr>
                <w:sz w:val="21"/>
              </w:rPr>
              <w:t>项目服务要求：</w:t>
            </w:r>
          </w:p>
          <w:p>
            <w:pPr>
              <w:jc w:val="both"/>
            </w:pPr>
            <w:r>
              <w:rPr>
                <w:sz w:val="21"/>
              </w:rPr>
              <w:t>（</w:t>
            </w:r>
            <w:r>
              <w:rPr>
                <w:sz w:val="21"/>
              </w:rPr>
              <w:t>1</w:t>
            </w:r>
            <w:r>
              <w:rPr>
                <w:sz w:val="21"/>
              </w:rPr>
              <w:t>）期刊供货：中标供货商必须按采购清单的期刊品种和数量及时供货，除非采购人作出调整或增减，不得自行搭配和追加未经采购人确认的期刊品种和复本数量（期刊本身附赠的赠刊除外），非采购人订购的期刊一律退回。供货商必须保证提供正版期刊，对非正版期刊采购人有权拒绝验收，中标供应商必须接受无条件退货且以十倍金额支付违约金，从期刊结算款中扣除，同时，可终止中标供应商的供货资格，</w:t>
            </w:r>
            <w:r>
              <w:rPr>
                <w:sz w:val="21"/>
              </w:rPr>
              <w:t>采购人仅为期刊使用人，</w:t>
            </w:r>
            <w:r>
              <w:rPr>
                <w:sz w:val="21"/>
              </w:rPr>
              <w:t>中标供应商</w:t>
            </w:r>
            <w:r>
              <w:rPr>
                <w:sz w:val="21"/>
              </w:rPr>
              <w:t>应</w:t>
            </w:r>
            <w:r>
              <w:rPr>
                <w:sz w:val="21"/>
              </w:rPr>
              <w:t>承担由此而引起的一切法律责任。</w:t>
            </w:r>
          </w:p>
          <w:p>
            <w:pPr>
              <w:jc w:val="both"/>
            </w:pPr>
            <w:r>
              <w:rPr>
                <w:sz w:val="21"/>
              </w:rPr>
              <w:t>（</w:t>
            </w:r>
            <w:r>
              <w:rPr>
                <w:sz w:val="21"/>
              </w:rPr>
              <w:t>2</w:t>
            </w:r>
            <w:r>
              <w:rPr>
                <w:sz w:val="21"/>
              </w:rPr>
              <w:t>）送货要求：中标供货商必须无条件配送期刊到图书馆采编部指定地点</w:t>
            </w:r>
            <w:r>
              <w:rPr>
                <w:sz w:val="21"/>
              </w:rPr>
              <w:t>（</w:t>
            </w:r>
            <w:r>
              <w:rPr>
                <w:sz w:val="21"/>
              </w:rPr>
              <w:t>中标供应商无条件送书、卸货、搬运等</w:t>
            </w:r>
            <w:r>
              <w:rPr>
                <w:sz w:val="21"/>
              </w:rPr>
              <w:t>）</w:t>
            </w:r>
            <w:r>
              <w:rPr>
                <w:sz w:val="21"/>
              </w:rPr>
              <w:t>，提供每批期刊包装清单，包括但不限于批号、包号、刊号、刊名（改名的注明原刊名）、卷次、期次、册数、投递或发刊日期内容，并合计种数、份数。期刊未按到期顺序到馆的需在刊名后注明；每份期刊必须有明确清晰的标识，包括但不限于刊号、卷期。中标供货商应对发送的期刊进行防湿和防破装卸要求的包装，并派专人追踪每批期刊的到货情况。期刊在到达采购人指定地点前发生的不可预见的风险均由中标供货商负责。最少一周一次投递。</w:t>
            </w:r>
          </w:p>
          <w:p>
            <w:pPr>
              <w:jc w:val="both"/>
            </w:pPr>
            <w:r>
              <w:rPr>
                <w:sz w:val="21"/>
              </w:rPr>
              <w:t>（</w:t>
            </w:r>
            <w:r>
              <w:rPr>
                <w:sz w:val="21"/>
              </w:rPr>
              <w:t>3</w:t>
            </w:r>
            <w:r>
              <w:rPr>
                <w:sz w:val="21"/>
              </w:rPr>
              <w:t>）期刊退换：期刊出现下列任一情况，中标供货商必须无条件负责退换，退换货发生的全部费用由供货商承担。①出现装订、印刷质量问题和损坏；②配套不齐全；③提供的品种和数量与订货单不符；④采购人认为必须退刊的其它情况。</w:t>
            </w:r>
          </w:p>
          <w:p>
            <w:pPr>
              <w:jc w:val="both"/>
            </w:pPr>
            <w:r>
              <w:rPr>
                <w:sz w:val="21"/>
              </w:rPr>
              <w:t>（</w:t>
            </w:r>
            <w:r>
              <w:rPr>
                <w:sz w:val="21"/>
              </w:rPr>
              <w:t>4</w:t>
            </w:r>
            <w:r>
              <w:rPr>
                <w:sz w:val="21"/>
              </w:rPr>
              <w:t>）每包及每批期刊的品种、册数等必须与对应的清单相符。如果在验收过程中，同一批次期刊出现</w:t>
            </w:r>
            <w:r>
              <w:rPr>
                <w:sz w:val="21"/>
              </w:rPr>
              <w:t>3%</w:t>
            </w:r>
            <w:r>
              <w:rPr>
                <w:sz w:val="21"/>
              </w:rPr>
              <w:t>的期刊品种与相应清单不符，采购人有权退回该批次全部期刊，要求中标供应商重新核对，直至该批期刊与清单相符</w:t>
            </w:r>
            <w:r>
              <w:rPr>
                <w:sz w:val="21"/>
              </w:rPr>
              <w:t>。</w:t>
            </w:r>
            <w:r>
              <w:rPr>
                <w:sz w:val="21"/>
              </w:rPr>
              <w:t>中标供应商应在采购人退回</w:t>
            </w:r>
            <w:r>
              <w:rPr>
                <w:sz w:val="21"/>
              </w:rPr>
              <w:t>一周内</w:t>
            </w:r>
            <w:r>
              <w:rPr>
                <w:sz w:val="21"/>
              </w:rPr>
              <w:t>重发交付</w:t>
            </w:r>
            <w:r>
              <w:rPr>
                <w:sz w:val="21"/>
              </w:rPr>
              <w:t>采购人，由此产生的费用都由中标供应商</w:t>
            </w:r>
            <w:r>
              <w:rPr>
                <w:sz w:val="21"/>
              </w:rPr>
              <w:t>负责</w:t>
            </w:r>
            <w:r>
              <w:rPr>
                <w:sz w:val="21"/>
              </w:rPr>
              <w:t>。</w:t>
            </w:r>
          </w:p>
          <w:p>
            <w:pPr>
              <w:jc w:val="both"/>
            </w:pPr>
            <w:r>
              <w:rPr>
                <w:sz w:val="21"/>
              </w:rPr>
              <w:t>（</w:t>
            </w:r>
            <w:r>
              <w:rPr>
                <w:sz w:val="21"/>
              </w:rPr>
              <w:t>5</w:t>
            </w:r>
            <w:r>
              <w:rPr>
                <w:sz w:val="21"/>
              </w:rPr>
              <w:t>）中标供货商必须按采购人订购的期刊品种、数量及时供货，除出版推迟或发生影响协议履行的不可抗力事情外，供应期刊订到率未达到</w:t>
            </w:r>
            <w:r>
              <w:rPr>
                <w:sz w:val="21"/>
              </w:rPr>
              <w:t>97%</w:t>
            </w:r>
            <w:r>
              <w:rPr>
                <w:sz w:val="21"/>
              </w:rPr>
              <w:t>、或年到刊率未达到</w:t>
            </w:r>
            <w:r>
              <w:rPr>
                <w:sz w:val="21"/>
              </w:rPr>
              <w:t>95%</w:t>
            </w:r>
            <w:r>
              <w:rPr>
                <w:sz w:val="21"/>
              </w:rPr>
              <w:t>（中标供货商能够提供出版社尚未出版证明的不计入未到期刊）时，除退回期刊款外，供货商按未到期刊价格的</w:t>
            </w:r>
            <w:r>
              <w:rPr>
                <w:sz w:val="21"/>
              </w:rPr>
              <w:t>20%</w:t>
            </w:r>
            <w:r>
              <w:rPr>
                <w:sz w:val="21"/>
              </w:rPr>
              <w:t>向采购人支付违约金，违约金从期刊结算款中扣除；并且采购人可以</w:t>
            </w:r>
            <w:r>
              <w:rPr>
                <w:sz w:val="21"/>
              </w:rPr>
              <w:t>解除</w:t>
            </w:r>
            <w:r>
              <w:rPr>
                <w:sz w:val="21"/>
              </w:rPr>
              <w:t>本协议，由此引起的一切后果均由中标供货商承担。</w:t>
            </w:r>
          </w:p>
          <w:p>
            <w:pPr>
              <w:jc w:val="both"/>
            </w:pPr>
            <w:r>
              <w:rPr>
                <w:sz w:val="21"/>
              </w:rPr>
              <w:t>（</w:t>
            </w:r>
            <w:r>
              <w:rPr>
                <w:sz w:val="21"/>
              </w:rPr>
              <w:t>6</w:t>
            </w:r>
            <w:r>
              <w:rPr>
                <w:sz w:val="21"/>
              </w:rPr>
              <w:t>）实际操作过程中出现以上未列明的其他问题，由双方协商解决。</w:t>
            </w:r>
          </w:p>
          <w:p>
            <w:pPr>
              <w:jc w:val="both"/>
            </w:pPr>
            <w:r>
              <w:rPr>
                <w:sz w:val="21"/>
              </w:rPr>
              <w:t>（</w:t>
            </w:r>
            <w:r>
              <w:rPr>
                <w:sz w:val="21"/>
              </w:rPr>
              <w:t>7）</w:t>
            </w:r>
            <w:r>
              <w:rPr>
                <w:sz w:val="21"/>
              </w:rPr>
              <w:t>投标人具有专门的图书零售场地、良好的图书样书室等现采场地。</w:t>
            </w:r>
          </w:p>
          <w:p>
            <w:pPr>
              <w:ind w:firstLine="420"/>
            </w:pPr>
            <w:r>
              <w:rPr>
                <w:sz w:val="21"/>
              </w:rPr>
              <w:t>3.</w:t>
            </w:r>
            <w:r>
              <w:rPr>
                <w:sz w:val="21"/>
              </w:rPr>
              <w:t>2024</w:t>
            </w:r>
            <w:r>
              <w:rPr>
                <w:sz w:val="21"/>
              </w:rPr>
              <w:t>年原版外文期刊订单</w:t>
            </w:r>
          </w:p>
          <w:tbl>
            <w:tblPr>
              <w:tblBorders>
                <w:top w:val="none" w:color="000000" w:sz="4"/>
                <w:left w:val="none" w:color="000000" w:sz="4"/>
                <w:bottom w:val="none" w:color="000000" w:sz="4"/>
                <w:right w:val="none" w:color="000000" w:sz="4"/>
                <w:insideH w:val="none"/>
                <w:insideV w:val="none"/>
              </w:tblBorders>
            </w:tblPr>
            <w:tblGrid>
              <w:gridCol w:w="304"/>
              <w:gridCol w:w="661"/>
              <w:gridCol w:w="621"/>
              <w:gridCol w:w="1707"/>
              <w:gridCol w:w="489"/>
              <w:gridCol w:w="1773"/>
            </w:tblGrid>
            <w:tr>
              <w:tc>
                <w:tcPr>
                  <w:tcW w:type="dxa" w:w="30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61"/>
                  <w:tcBorders>
                    <w:top w:val="single" w:color="000000" w:sz="4"/>
                    <w:left w:val="none" w:color="000000" w:sz="4"/>
                    <w:bottom w:val="single" w:color="000000" w:sz="4"/>
                    <w:right w:val="single" w:color="000000" w:sz="4"/>
                  </w:tcBorders>
                  <w:vAlign w:val="top"/>
                </w:tcPr>
                <w:p>
                  <w:pPr>
                    <w:jc w:val="both"/>
                  </w:pPr>
                  <w:r>
                    <w:rPr>
                      <w:sz w:val="21"/>
                    </w:rPr>
                    <w:t>刊号</w:t>
                  </w:r>
                </w:p>
              </w:tc>
              <w:tc>
                <w:tcPr>
                  <w:tcW w:type="dxa" w:w="621"/>
                  <w:tcBorders>
                    <w:top w:val="single" w:color="000000" w:sz="4"/>
                    <w:left w:val="none" w:color="000000" w:sz="4"/>
                    <w:bottom w:val="single" w:color="000000" w:sz="4"/>
                    <w:right w:val="single" w:color="000000" w:sz="4"/>
                  </w:tcBorders>
                  <w:vAlign w:val="top"/>
                </w:tcPr>
                <w:p>
                  <w:pPr>
                    <w:jc w:val="both"/>
                  </w:pPr>
                  <w:r>
                    <w:rPr>
                      <w:sz w:val="21"/>
                    </w:rPr>
                    <w:t>PISSN</w:t>
                  </w:r>
                </w:p>
              </w:tc>
              <w:tc>
                <w:tcPr>
                  <w:tcW w:type="dxa" w:w="1707"/>
                  <w:tcBorders>
                    <w:top w:val="single" w:color="000000" w:sz="4"/>
                    <w:left w:val="none" w:color="000000" w:sz="4"/>
                    <w:bottom w:val="single" w:color="000000" w:sz="4"/>
                    <w:right w:val="single" w:color="000000" w:sz="4"/>
                  </w:tcBorders>
                  <w:vAlign w:val="top"/>
                </w:tcPr>
                <w:p>
                  <w:pPr>
                    <w:jc w:val="both"/>
                  </w:pPr>
                  <w:r>
                    <w:rPr>
                      <w:sz w:val="21"/>
                    </w:rPr>
                    <w:t>刊名</w:t>
                  </w:r>
                </w:p>
              </w:tc>
              <w:tc>
                <w:tcPr>
                  <w:tcW w:type="dxa" w:w="489"/>
                  <w:tcBorders>
                    <w:top w:val="single" w:color="000000" w:sz="4"/>
                    <w:left w:val="none" w:color="000000" w:sz="4"/>
                    <w:bottom w:val="single" w:color="000000" w:sz="4"/>
                    <w:right w:val="single" w:color="000000" w:sz="4"/>
                  </w:tcBorders>
                  <w:vAlign w:val="top"/>
                </w:tcPr>
                <w:p>
                  <w:pPr>
                    <w:jc w:val="both"/>
                  </w:pPr>
                  <w:r>
                    <w:rPr>
                      <w:sz w:val="21"/>
                    </w:rPr>
                    <w:t>频率</w:t>
                  </w:r>
                </w:p>
              </w:tc>
              <w:tc>
                <w:tcPr>
                  <w:tcW w:type="dxa" w:w="1773"/>
                  <w:tcBorders>
                    <w:top w:val="single" w:color="000000" w:sz="4"/>
                    <w:left w:val="none" w:color="000000" w:sz="4"/>
                    <w:bottom w:val="single" w:color="000000" w:sz="4"/>
                    <w:right w:val="single" w:color="000000" w:sz="4"/>
                  </w:tcBorders>
                  <w:vAlign w:val="top"/>
                </w:tcPr>
                <w:p>
                  <w:pPr>
                    <w:jc w:val="both"/>
                  </w:pPr>
                  <w:r>
                    <w:rPr>
                      <w:sz w:val="21"/>
                    </w:rPr>
                    <w:t>出版社</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w:t>
                  </w:r>
                </w:p>
              </w:tc>
              <w:tc>
                <w:tcPr>
                  <w:tcW w:type="dxa" w:w="661"/>
                  <w:tcBorders>
                    <w:top w:val="none" w:color="000000" w:sz="4"/>
                    <w:left w:val="none" w:color="000000" w:sz="4"/>
                    <w:bottom w:val="single" w:color="000000" w:sz="4"/>
                    <w:right w:val="single" w:color="000000" w:sz="4"/>
                  </w:tcBorders>
                  <w:vAlign w:val="top"/>
                </w:tcPr>
                <w:p>
                  <w:pPr>
                    <w:jc w:val="both"/>
                  </w:pPr>
                  <w:r>
                    <w:rPr>
                      <w:sz w:val="21"/>
                    </w:rPr>
                    <w:t>210D0097</w:t>
                  </w:r>
                </w:p>
              </w:tc>
              <w:tc>
                <w:tcPr>
                  <w:tcW w:type="dxa" w:w="621"/>
                  <w:tcBorders>
                    <w:top w:val="none" w:color="000000" w:sz="4"/>
                    <w:left w:val="none" w:color="000000" w:sz="4"/>
                    <w:bottom w:val="single" w:color="000000" w:sz="4"/>
                    <w:right w:val="single" w:color="000000" w:sz="4"/>
                  </w:tcBorders>
                  <w:vAlign w:val="top"/>
                </w:tcPr>
                <w:p>
                  <w:pPr>
                    <w:jc w:val="both"/>
                  </w:pPr>
                </w:p>
              </w:tc>
              <w:tc>
                <w:tcPr>
                  <w:tcW w:type="dxa" w:w="1707"/>
                  <w:tcBorders>
                    <w:top w:val="none" w:color="000000" w:sz="4"/>
                    <w:left w:val="none" w:color="000000" w:sz="4"/>
                    <w:bottom w:val="single" w:color="000000" w:sz="4"/>
                    <w:right w:val="single" w:color="000000" w:sz="4"/>
                  </w:tcBorders>
                  <w:vAlign w:val="top"/>
                </w:tcPr>
                <w:p>
                  <w:pPr>
                    <w:jc w:val="both"/>
                  </w:pPr>
                  <w:r>
                    <w:rPr>
                      <w:sz w:val="21"/>
                    </w:rPr>
                    <w:t>東南</w:t>
                  </w:r>
                  <w:r>
                    <w:rPr>
                      <w:sz w:val="21"/>
                    </w:rPr>
                    <w:t>アジア</w:t>
                  </w:r>
                  <w:r>
                    <w:rPr>
                      <w:sz w:val="21"/>
                    </w:rPr>
                    <w:t>;</w:t>
                  </w:r>
                  <w:r>
                    <w:rPr>
                      <w:sz w:val="21"/>
                    </w:rPr>
                    <w:t>歴史</w:t>
                  </w:r>
                  <w:r>
                    <w:rPr>
                      <w:sz w:val="21"/>
                    </w:rPr>
                    <w:t>と</w:t>
                  </w:r>
                  <w:r>
                    <w:rPr>
                      <w:sz w:val="21"/>
                    </w:rPr>
                    <w:t>文化</w:t>
                  </w:r>
                  <w:r>
                    <w:rPr>
                      <w:sz w:val="21"/>
                    </w:rPr>
                    <w:t>.</w:t>
                  </w:r>
                </w:p>
              </w:tc>
              <w:tc>
                <w:tcPr>
                  <w:tcW w:type="dxa" w:w="489"/>
                  <w:tcBorders>
                    <w:top w:val="none" w:color="000000" w:sz="4"/>
                    <w:left w:val="none" w:color="000000" w:sz="4"/>
                    <w:bottom w:val="single" w:color="000000" w:sz="4"/>
                    <w:right w:val="single" w:color="000000" w:sz="4"/>
                  </w:tcBorders>
                  <w:vAlign w:val="top"/>
                </w:tcPr>
                <w:p>
                  <w:pPr>
                    <w:jc w:val="both"/>
                  </w:pPr>
                  <w:r>
                    <w:rPr>
                      <w:sz w:val="21"/>
                    </w:rPr>
                    <w:t>1</w:t>
                  </w:r>
                </w:p>
              </w:tc>
              <w:tc>
                <w:tcPr>
                  <w:tcW w:type="dxa" w:w="1773"/>
                  <w:tcBorders>
                    <w:top w:val="none" w:color="000000" w:sz="4"/>
                    <w:left w:val="none" w:color="000000" w:sz="4"/>
                    <w:bottom w:val="single" w:color="000000" w:sz="4"/>
                    <w:right w:val="single" w:color="000000" w:sz="4"/>
                  </w:tcBorders>
                  <w:vAlign w:val="top"/>
                </w:tcPr>
                <w:p>
                  <w:pPr>
                    <w:jc w:val="both"/>
                  </w:pPr>
                  <w:r>
                    <w:rPr>
                      <w:sz w:val="21"/>
                    </w:rPr>
                    <w:t>山川出版社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294D0133</w:t>
                  </w:r>
                </w:p>
              </w:tc>
              <w:tc>
                <w:tcPr>
                  <w:tcW w:type="dxa" w:w="621"/>
                  <w:tcBorders>
                    <w:top w:val="none" w:color="000000" w:sz="4"/>
                    <w:left w:val="none" w:color="000000" w:sz="4"/>
                    <w:bottom w:val="single" w:color="000000" w:sz="4"/>
                    <w:right w:val="single" w:color="000000" w:sz="4"/>
                  </w:tcBorders>
                  <w:vAlign w:val="top"/>
                </w:tcPr>
                <w:p>
                  <w:pPr>
                    <w:jc w:val="both"/>
                  </w:pPr>
                </w:p>
              </w:tc>
              <w:tc>
                <w:tcPr>
                  <w:tcW w:type="dxa" w:w="1707"/>
                  <w:tcBorders>
                    <w:top w:val="none" w:color="000000" w:sz="4"/>
                    <w:left w:val="none" w:color="000000" w:sz="4"/>
                    <w:bottom w:val="single" w:color="000000" w:sz="4"/>
                    <w:right w:val="single" w:color="000000" w:sz="4"/>
                  </w:tcBorders>
                  <w:vAlign w:val="top"/>
                </w:tcPr>
                <w:p>
                  <w:pPr>
                    <w:jc w:val="both"/>
                  </w:pPr>
                  <w:r>
                    <w:rPr>
                      <w:sz w:val="21"/>
                    </w:rPr>
                    <w:t>コマ</w:t>
                  </w:r>
                  <w:r>
                    <w:rPr>
                      <w:sz w:val="21"/>
                    </w:rPr>
                    <w:t>-</w:t>
                  </w:r>
                  <w:r>
                    <w:rPr>
                      <w:sz w:val="21"/>
                    </w:rPr>
                    <w:t>シャル·フォト</w:t>
                  </w:r>
                  <w:r>
                    <w:rPr>
                      <w:sz w:val="21"/>
                    </w:rPr>
                    <w:t>/Commercial Photo.</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玄光社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480B0089</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0010-3519</w:t>
                  </w:r>
                </w:p>
              </w:tc>
              <w:tc>
                <w:tcPr>
                  <w:tcW w:type="dxa" w:w="1707"/>
                  <w:tcBorders>
                    <w:top w:val="none" w:color="000000" w:sz="4"/>
                    <w:left w:val="none" w:color="000000" w:sz="4"/>
                    <w:bottom w:val="single" w:color="000000" w:sz="4"/>
                    <w:right w:val="single" w:color="000000" w:sz="4"/>
                  </w:tcBorders>
                  <w:vAlign w:val="top"/>
                </w:tcPr>
                <w:p>
                  <w:pPr>
                    <w:jc w:val="both"/>
                  </w:pPr>
                  <w:r>
                    <w:rPr>
                      <w:sz w:val="21"/>
                    </w:rPr>
                    <w:t>Communication Arts.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Coyne &amp; Blanchard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w:t>
                  </w:r>
                </w:p>
              </w:tc>
              <w:tc>
                <w:tcPr>
                  <w:tcW w:type="dxa" w:w="661"/>
                  <w:tcBorders>
                    <w:top w:val="none" w:color="000000" w:sz="4"/>
                    <w:left w:val="none" w:color="000000" w:sz="4"/>
                    <w:bottom w:val="single" w:color="000000" w:sz="4"/>
                    <w:right w:val="single" w:color="000000" w:sz="4"/>
                  </w:tcBorders>
                  <w:vAlign w:val="top"/>
                </w:tcPr>
                <w:p>
                  <w:pPr>
                    <w:jc w:val="both"/>
                  </w:pPr>
                  <w:r>
                    <w:rPr>
                      <w:sz w:val="21"/>
                    </w:rPr>
                    <w:t>863MC001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0012-5377</w:t>
                  </w:r>
                </w:p>
              </w:tc>
              <w:tc>
                <w:tcPr>
                  <w:tcW w:type="dxa" w:w="1707"/>
                  <w:tcBorders>
                    <w:top w:val="none" w:color="000000" w:sz="4"/>
                    <w:left w:val="none" w:color="000000" w:sz="4"/>
                    <w:bottom w:val="single" w:color="000000" w:sz="4"/>
                    <w:right w:val="single" w:color="000000" w:sz="4"/>
                  </w:tcBorders>
                  <w:vAlign w:val="top"/>
                </w:tcPr>
                <w:p>
                  <w:pPr>
                    <w:jc w:val="both"/>
                  </w:pPr>
                  <w:r>
                    <w:rPr>
                      <w:sz w:val="21"/>
                    </w:rPr>
                    <w:t>Domus.</w:t>
                  </w:r>
                </w:p>
              </w:tc>
              <w:tc>
                <w:tcPr>
                  <w:tcW w:type="dxa" w:w="489"/>
                  <w:tcBorders>
                    <w:top w:val="none" w:color="000000" w:sz="4"/>
                    <w:left w:val="none" w:color="000000" w:sz="4"/>
                    <w:bottom w:val="single" w:color="000000" w:sz="4"/>
                    <w:right w:val="single" w:color="000000" w:sz="4"/>
                  </w:tcBorders>
                  <w:vAlign w:val="top"/>
                </w:tcPr>
                <w:p>
                  <w:pPr>
                    <w:jc w:val="both"/>
                  </w:pPr>
                  <w:r>
                    <w:rPr>
                      <w:sz w:val="21"/>
                    </w:rPr>
                    <w:t>11</w:t>
                  </w:r>
                </w:p>
              </w:tc>
              <w:tc>
                <w:tcPr>
                  <w:tcW w:type="dxa" w:w="1773"/>
                  <w:tcBorders>
                    <w:top w:val="none" w:color="000000" w:sz="4"/>
                    <w:left w:val="none" w:color="000000" w:sz="4"/>
                    <w:bottom w:val="single" w:color="000000" w:sz="4"/>
                    <w:right w:val="single" w:color="000000" w:sz="4"/>
                  </w:tcBorders>
                  <w:vAlign w:val="top"/>
                </w:tcPr>
                <w:p>
                  <w:pPr>
                    <w:jc w:val="both"/>
                  </w:pPr>
                  <w:r>
                    <w:rPr>
                      <w:sz w:val="21"/>
                    </w:rPr>
                    <w:t>Editoriale Domus S.p.A..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5</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294D0064</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0019-1299</w:t>
                  </w:r>
                </w:p>
              </w:tc>
              <w:tc>
                <w:tcPr>
                  <w:tcW w:type="dxa" w:w="1707"/>
                  <w:tcBorders>
                    <w:top w:val="none" w:color="000000" w:sz="4"/>
                    <w:left w:val="none" w:color="000000" w:sz="4"/>
                    <w:bottom w:val="single" w:color="000000" w:sz="4"/>
                    <w:right w:val="single" w:color="000000" w:sz="4"/>
                  </w:tcBorders>
                  <w:vAlign w:val="top"/>
                </w:tcPr>
                <w:p>
                  <w:pPr>
                    <w:jc w:val="both"/>
                  </w:pPr>
                  <w:r>
                    <w:rPr>
                      <w:sz w:val="21"/>
                    </w:rPr>
                    <w:t>アイデア</w:t>
                  </w:r>
                  <w:r>
                    <w:rPr>
                      <w:sz w:val="21"/>
                    </w:rPr>
                    <w:t>/Idea.</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誠文堂新光社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714B0063-A</w:t>
                  </w:r>
                </w:p>
              </w:tc>
              <w:tc>
                <w:tcPr>
                  <w:tcW w:type="dxa" w:w="621"/>
                  <w:tcBorders>
                    <w:top w:val="none" w:color="000000" w:sz="4"/>
                    <w:left w:val="none" w:color="000000" w:sz="4"/>
                    <w:bottom w:val="single" w:color="000000" w:sz="4"/>
                    <w:right w:val="single" w:color="000000" w:sz="4"/>
                  </w:tcBorders>
                  <w:vAlign w:val="top"/>
                </w:tcPr>
                <w:p>
                  <w:pPr>
                    <w:jc w:val="both"/>
                  </w:pPr>
                  <w:r>
                    <w:rPr>
                      <w:sz w:val="21"/>
                    </w:rPr>
                    <w:t>0025-1909</w:t>
                  </w:r>
                </w:p>
              </w:tc>
              <w:tc>
                <w:tcPr>
                  <w:tcW w:type="dxa" w:w="1707"/>
                  <w:tcBorders>
                    <w:top w:val="none" w:color="000000" w:sz="4"/>
                    <w:left w:val="none" w:color="000000" w:sz="4"/>
                    <w:bottom w:val="single" w:color="000000" w:sz="4"/>
                    <w:right w:val="single" w:color="000000" w:sz="4"/>
                  </w:tcBorders>
                  <w:vAlign w:val="top"/>
                </w:tcPr>
                <w:p>
                  <w:pPr>
                    <w:jc w:val="both"/>
                  </w:pPr>
                  <w:r>
                    <w:rPr>
                      <w:sz w:val="21"/>
                    </w:rPr>
                    <w:t>Management 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INFORMS.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7</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410C0248/IP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0026-7937</w:t>
                  </w:r>
                </w:p>
              </w:tc>
              <w:tc>
                <w:tcPr>
                  <w:tcW w:type="dxa" w:w="1707"/>
                  <w:tcBorders>
                    <w:top w:val="none" w:color="000000" w:sz="4"/>
                    <w:left w:val="none" w:color="000000" w:sz="4"/>
                    <w:bottom w:val="single" w:color="000000" w:sz="4"/>
                    <w:right w:val="single" w:color="000000" w:sz="4"/>
                  </w:tcBorders>
                  <w:vAlign w:val="top"/>
                </w:tcPr>
                <w:p>
                  <w:pPr>
                    <w:jc w:val="both"/>
                  </w:pPr>
                  <w:r>
                    <w:rPr>
                      <w:sz w:val="21"/>
                    </w:rPr>
                    <w:t>Modern Language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Modern Humanities Research Association (MHRA)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8</w:t>
                  </w:r>
                </w:p>
              </w:tc>
              <w:tc>
                <w:tcPr>
                  <w:tcW w:type="dxa" w:w="661"/>
                  <w:tcBorders>
                    <w:top w:val="none" w:color="000000" w:sz="4"/>
                    <w:left w:val="none" w:color="000000" w:sz="4"/>
                    <w:bottom w:val="single" w:color="000000" w:sz="4"/>
                    <w:right w:val="single" w:color="000000" w:sz="4"/>
                  </w:tcBorders>
                  <w:vAlign w:val="top"/>
                </w:tcPr>
                <w:p>
                  <w:pPr>
                    <w:jc w:val="both"/>
                  </w:pPr>
                  <w:r>
                    <w:rPr>
                      <w:sz w:val="21"/>
                    </w:rPr>
                    <w:t>375C0071</w:t>
                  </w:r>
                </w:p>
              </w:tc>
              <w:tc>
                <w:tcPr>
                  <w:tcW w:type="dxa" w:w="621"/>
                  <w:tcBorders>
                    <w:top w:val="none" w:color="000000" w:sz="4"/>
                    <w:left w:val="none" w:color="000000" w:sz="4"/>
                    <w:bottom w:val="single" w:color="000000" w:sz="4"/>
                    <w:right w:val="single" w:color="000000" w:sz="4"/>
                  </w:tcBorders>
                  <w:vAlign w:val="top"/>
                </w:tcPr>
                <w:p>
                  <w:pPr>
                    <w:jc w:val="both"/>
                  </w:pPr>
                  <w:r>
                    <w:rPr>
                      <w:sz w:val="21"/>
                    </w:rPr>
                    <w:t>2514-9288</w:t>
                  </w:r>
                </w:p>
              </w:tc>
              <w:tc>
                <w:tcPr>
                  <w:tcW w:type="dxa" w:w="1707"/>
                  <w:tcBorders>
                    <w:top w:val="none" w:color="000000" w:sz="4"/>
                    <w:left w:val="none" w:color="000000" w:sz="4"/>
                    <w:bottom w:val="single" w:color="000000" w:sz="4"/>
                    <w:right w:val="single" w:color="000000" w:sz="4"/>
                  </w:tcBorders>
                  <w:vAlign w:val="top"/>
                </w:tcPr>
                <w:p>
                  <w:pPr>
                    <w:jc w:val="both"/>
                  </w:pPr>
                  <w:r>
                    <w:rPr>
                      <w:sz w:val="21"/>
                    </w:rPr>
                    <w:t>Data Technologies and Applications.</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9</w:t>
                  </w:r>
                </w:p>
              </w:tc>
              <w:tc>
                <w:tcPr>
                  <w:tcW w:type="dxa" w:w="661"/>
                  <w:tcBorders>
                    <w:top w:val="none" w:color="000000" w:sz="4"/>
                    <w:left w:val="none" w:color="000000" w:sz="4"/>
                    <w:bottom w:val="single" w:color="000000" w:sz="4"/>
                    <w:right w:val="single" w:color="000000" w:sz="4"/>
                  </w:tcBorders>
                  <w:vAlign w:val="top"/>
                </w:tcPr>
                <w:p>
                  <w:pPr>
                    <w:jc w:val="both"/>
                  </w:pPr>
                  <w:r>
                    <w:rPr>
                      <w:sz w:val="21"/>
                    </w:rPr>
                    <w:t>300B0015-1</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0034-0375</w:t>
                  </w:r>
                </w:p>
              </w:tc>
              <w:tc>
                <w:tcPr>
                  <w:tcW w:type="dxa" w:w="1707"/>
                  <w:tcBorders>
                    <w:top w:val="none" w:color="000000" w:sz="4"/>
                    <w:left w:val="none" w:color="000000" w:sz="4"/>
                    <w:bottom w:val="single" w:color="000000" w:sz="4"/>
                    <w:right w:val="single" w:color="000000" w:sz="4"/>
                  </w:tcBorders>
                  <w:vAlign w:val="top"/>
                </w:tcPr>
                <w:p>
                  <w:pPr>
                    <w:jc w:val="both"/>
                  </w:pPr>
                  <w:r>
                    <w:rPr>
                      <w:sz w:val="21"/>
                    </w:rPr>
                    <w:t>Reader's Digest. (U.S. Ed.)</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读者文摘远东有限公司</w:t>
                  </w:r>
                  <w:r>
                    <w:rPr>
                      <w:sz w:val="21"/>
                    </w:rPr>
                    <w:t>/Reader's Digest Association Far East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10</w:t>
                  </w:r>
                </w:p>
              </w:tc>
              <w:tc>
                <w:tcPr>
                  <w:tcW w:type="dxa" w:w="661"/>
                  <w:tcBorders>
                    <w:top w:val="none" w:color="000000" w:sz="4"/>
                    <w:left w:val="none" w:color="000000" w:sz="4"/>
                    <w:bottom w:val="single" w:color="000000" w:sz="4"/>
                    <w:right w:val="single" w:color="000000" w:sz="4"/>
                  </w:tcBorders>
                  <w:vAlign w:val="top"/>
                </w:tcPr>
                <w:p>
                  <w:pPr>
                    <w:jc w:val="both"/>
                  </w:pPr>
                  <w:r>
                    <w:rPr>
                      <w:sz w:val="21"/>
                    </w:rPr>
                    <w:t>500B0008</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0036-8075</w:t>
                  </w:r>
                </w:p>
              </w:tc>
              <w:tc>
                <w:tcPr>
                  <w:tcW w:type="dxa" w:w="1707"/>
                  <w:tcBorders>
                    <w:top w:val="none" w:color="000000" w:sz="4"/>
                    <w:left w:val="none" w:color="000000" w:sz="4"/>
                    <w:bottom w:val="single" w:color="000000" w:sz="4"/>
                    <w:right w:val="single" w:color="000000" w:sz="4"/>
                  </w:tcBorders>
                  <w:vAlign w:val="top"/>
                </w:tcPr>
                <w:p>
                  <w:pPr>
                    <w:jc w:val="both"/>
                  </w:pPr>
                  <w:r>
                    <w:rPr>
                      <w:sz w:val="21"/>
                    </w:rPr>
                    <w:t>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52</w:t>
                  </w:r>
                </w:p>
              </w:tc>
              <w:tc>
                <w:tcPr>
                  <w:tcW w:type="dxa" w:w="1773"/>
                  <w:tcBorders>
                    <w:top w:val="none" w:color="000000" w:sz="4"/>
                    <w:left w:val="none" w:color="000000" w:sz="4"/>
                    <w:bottom w:val="single" w:color="000000" w:sz="4"/>
                    <w:right w:val="single" w:color="000000" w:sz="4"/>
                  </w:tcBorders>
                  <w:vAlign w:val="top"/>
                </w:tcPr>
                <w:p>
                  <w:pPr>
                    <w:jc w:val="both"/>
                  </w:pPr>
                  <w:r>
                    <w:rPr>
                      <w:sz w:val="21"/>
                    </w:rPr>
                    <w:t>American Association for Advancement of Science.</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11</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294B0166</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0037-5063</w:t>
                  </w:r>
                </w:p>
              </w:tc>
              <w:tc>
                <w:tcPr>
                  <w:tcW w:type="dxa" w:w="1707"/>
                  <w:tcBorders>
                    <w:top w:val="none" w:color="000000" w:sz="4"/>
                    <w:left w:val="none" w:color="000000" w:sz="4"/>
                    <w:bottom w:val="single" w:color="000000" w:sz="4"/>
                    <w:right w:val="single" w:color="000000" w:sz="4"/>
                  </w:tcBorders>
                  <w:vAlign w:val="top"/>
                </w:tcPr>
                <w:p>
                  <w:pPr>
                    <w:jc w:val="both"/>
                  </w:pPr>
                  <w:r>
                    <w:rPr>
                      <w:sz w:val="21"/>
                    </w:rPr>
                    <w:t>Signs of the Times.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ST Publications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12</w:t>
                  </w:r>
                </w:p>
              </w:tc>
              <w:tc>
                <w:tcPr>
                  <w:tcW w:type="dxa" w:w="661"/>
                  <w:tcBorders>
                    <w:top w:val="none" w:color="000000" w:sz="4"/>
                    <w:left w:val="none" w:color="000000" w:sz="4"/>
                    <w:bottom w:val="single" w:color="000000" w:sz="4"/>
                    <w:right w:val="single" w:color="000000" w:sz="4"/>
                  </w:tcBorders>
                  <w:vAlign w:val="top"/>
                </w:tcPr>
                <w:p>
                  <w:pPr>
                    <w:jc w:val="both"/>
                  </w:pPr>
                  <w:r>
                    <w:rPr>
                      <w:sz w:val="21"/>
                    </w:rPr>
                    <w:t>485E0063</w:t>
                  </w:r>
                </w:p>
              </w:tc>
              <w:tc>
                <w:tcPr>
                  <w:tcW w:type="dxa" w:w="621"/>
                  <w:tcBorders>
                    <w:top w:val="none" w:color="000000" w:sz="4"/>
                    <w:left w:val="none" w:color="000000" w:sz="4"/>
                    <w:bottom w:val="single" w:color="000000" w:sz="4"/>
                    <w:right w:val="single" w:color="000000" w:sz="4"/>
                  </w:tcBorders>
                  <w:vAlign w:val="top"/>
                </w:tcPr>
                <w:p>
                  <w:pPr>
                    <w:jc w:val="both"/>
                  </w:pPr>
                  <w:r>
                    <w:rPr>
                      <w:sz w:val="21"/>
                    </w:rPr>
                    <w:t>0172-7028</w:t>
                  </w:r>
                </w:p>
              </w:tc>
              <w:tc>
                <w:tcPr>
                  <w:tcW w:type="dxa" w:w="1707"/>
                  <w:tcBorders>
                    <w:top w:val="none" w:color="000000" w:sz="4"/>
                    <w:left w:val="none" w:color="000000" w:sz="4"/>
                    <w:bottom w:val="single" w:color="000000" w:sz="4"/>
                    <w:right w:val="single" w:color="000000" w:sz="4"/>
                  </w:tcBorders>
                  <w:vAlign w:val="top"/>
                </w:tcPr>
                <w:p>
                  <w:pPr>
                    <w:jc w:val="both"/>
                  </w:pPr>
                  <w:r>
                    <w:rPr>
                      <w:sz w:val="21"/>
                    </w:rPr>
                    <w:t>European Photography.</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European Photography.</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13</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480E0062</w:t>
                  </w:r>
                </w:p>
              </w:tc>
              <w:tc>
                <w:tcPr>
                  <w:tcW w:type="dxa" w:w="621"/>
                  <w:tcBorders>
                    <w:top w:val="none" w:color="000000" w:sz="4"/>
                    <w:left w:val="none" w:color="000000" w:sz="4"/>
                    <w:bottom w:val="single" w:color="000000" w:sz="4"/>
                    <w:right w:val="single" w:color="000000" w:sz="4"/>
                  </w:tcBorders>
                  <w:vAlign w:val="top"/>
                </w:tcPr>
                <w:p>
                  <w:pPr>
                    <w:jc w:val="both"/>
                  </w:pPr>
                  <w:r>
                    <w:rPr>
                      <w:sz w:val="21"/>
                    </w:rPr>
                    <w:t>0173-2781</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Gruner + Jahr AG &amp; Co..</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14</w:t>
                  </w:r>
                </w:p>
              </w:tc>
              <w:tc>
                <w:tcPr>
                  <w:tcW w:type="dxa" w:w="661"/>
                  <w:tcBorders>
                    <w:top w:val="none" w:color="000000" w:sz="4"/>
                    <w:left w:val="none" w:color="000000" w:sz="4"/>
                    <w:bottom w:val="single" w:color="000000" w:sz="4"/>
                    <w:right w:val="single" w:color="000000" w:sz="4"/>
                  </w:tcBorders>
                  <w:vAlign w:val="top"/>
                </w:tcPr>
                <w:p>
                  <w:pPr>
                    <w:jc w:val="both"/>
                  </w:pPr>
                  <w:r>
                    <w:rPr>
                      <w:sz w:val="21"/>
                    </w:rPr>
                    <w:t>738LB014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0269-2821</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Artificial Intelligence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15</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410C0022</w:t>
                  </w:r>
                </w:p>
              </w:tc>
              <w:tc>
                <w:tcPr>
                  <w:tcW w:type="dxa" w:w="621"/>
                  <w:tcBorders>
                    <w:top w:val="none" w:color="000000" w:sz="4"/>
                    <w:left w:val="none" w:color="000000" w:sz="4"/>
                    <w:bottom w:val="single" w:color="000000" w:sz="4"/>
                    <w:right w:val="single" w:color="000000" w:sz="4"/>
                  </w:tcBorders>
                  <w:vAlign w:val="top"/>
                </w:tcPr>
                <w:p>
                  <w:pPr>
                    <w:jc w:val="both"/>
                  </w:pPr>
                  <w:r>
                    <w:rPr>
                      <w:sz w:val="21"/>
                    </w:rPr>
                    <w:t>0272-2631</w:t>
                  </w:r>
                </w:p>
              </w:tc>
              <w:tc>
                <w:tcPr>
                  <w:tcW w:type="dxa" w:w="1707"/>
                  <w:tcBorders>
                    <w:top w:val="none" w:color="000000" w:sz="4"/>
                    <w:left w:val="none" w:color="000000" w:sz="4"/>
                    <w:bottom w:val="single" w:color="000000" w:sz="4"/>
                    <w:right w:val="single" w:color="000000" w:sz="4"/>
                  </w:tcBorders>
                  <w:vAlign w:val="top"/>
                </w:tcPr>
                <w:p>
                  <w:pPr>
                    <w:jc w:val="both"/>
                  </w:pPr>
                  <w:r>
                    <w:rPr>
                      <w:sz w:val="21"/>
                    </w:rPr>
                    <w:t>Studies in Second Language Acquisition.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5</w:t>
                  </w:r>
                </w:p>
              </w:tc>
              <w:tc>
                <w:tcPr>
                  <w:tcW w:type="dxa" w:w="1773"/>
                  <w:tcBorders>
                    <w:top w:val="none" w:color="000000" w:sz="4"/>
                    <w:left w:val="none" w:color="000000" w:sz="4"/>
                    <w:bottom w:val="single" w:color="000000" w:sz="4"/>
                    <w:right w:val="single" w:color="000000" w:sz="4"/>
                  </w:tcBorders>
                  <w:vAlign w:val="top"/>
                </w:tcPr>
                <w:p>
                  <w:pPr>
                    <w:jc w:val="both"/>
                  </w:pPr>
                  <w:r>
                    <w:rPr>
                      <w:sz w:val="21"/>
                    </w:rPr>
                    <w:t>Cambridge University Press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16</w:t>
                  </w:r>
                </w:p>
              </w:tc>
              <w:tc>
                <w:tcPr>
                  <w:tcW w:type="dxa" w:w="661"/>
                  <w:tcBorders>
                    <w:top w:val="none" w:color="000000" w:sz="4"/>
                    <w:left w:val="none" w:color="000000" w:sz="4"/>
                    <w:bottom w:val="single" w:color="000000" w:sz="4"/>
                    <w:right w:val="single" w:color="000000" w:sz="4"/>
                  </w:tcBorders>
                  <w:vAlign w:val="top"/>
                </w:tcPr>
                <w:p>
                  <w:pPr>
                    <w:jc w:val="both"/>
                  </w:pPr>
                  <w:r>
                    <w:rPr>
                      <w:sz w:val="21"/>
                    </w:rPr>
                    <w:t>510B0001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0273-0979</w:t>
                  </w:r>
                </w:p>
              </w:tc>
              <w:tc>
                <w:tcPr>
                  <w:tcW w:type="dxa" w:w="1707"/>
                  <w:tcBorders>
                    <w:top w:val="none" w:color="000000" w:sz="4"/>
                    <w:left w:val="none" w:color="000000" w:sz="4"/>
                    <w:bottom w:val="single" w:color="000000" w:sz="4"/>
                    <w:right w:val="single" w:color="000000" w:sz="4"/>
                  </w:tcBorders>
                  <w:vAlign w:val="top"/>
                </w:tcPr>
                <w:p>
                  <w:pPr>
                    <w:jc w:val="both"/>
                  </w:pPr>
                  <w:r>
                    <w:rPr>
                      <w:sz w:val="21"/>
                    </w:rPr>
                    <w:t>Bulletin of the American Mathematical Society.</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American Mathematical Society</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17</w:t>
                  </w:r>
                </w:p>
              </w:tc>
              <w:tc>
                <w:tcPr>
                  <w:tcW w:type="dxa" w:w="661"/>
                  <w:tcBorders>
                    <w:top w:val="none" w:color="000000" w:sz="4"/>
                    <w:left w:val="none" w:color="000000" w:sz="4"/>
                    <w:bottom w:val="single" w:color="000000" w:sz="4"/>
                    <w:right w:val="single" w:color="000000" w:sz="4"/>
                  </w:tcBorders>
                  <w:vAlign w:val="top"/>
                </w:tcPr>
                <w:p>
                  <w:pPr>
                    <w:jc w:val="both"/>
                  </w:pPr>
                  <w:r>
                    <w:rPr>
                      <w:sz w:val="21"/>
                    </w:rPr>
                    <w:t>291D0065</w:t>
                  </w:r>
                </w:p>
              </w:tc>
              <w:tc>
                <w:tcPr>
                  <w:tcW w:type="dxa" w:w="621"/>
                  <w:tcBorders>
                    <w:top w:val="none" w:color="000000" w:sz="4"/>
                    <w:left w:val="none" w:color="000000" w:sz="4"/>
                    <w:bottom w:val="single" w:color="000000" w:sz="4"/>
                    <w:right w:val="single" w:color="000000" w:sz="4"/>
                  </w:tcBorders>
                  <w:vAlign w:val="top"/>
                </w:tcPr>
                <w:p>
                  <w:pPr>
                    <w:jc w:val="both"/>
                  </w:pPr>
                  <w:r>
                    <w:rPr>
                      <w:sz w:val="21"/>
                    </w:rPr>
                    <w:t>0286-9713</w:t>
                  </w:r>
                </w:p>
              </w:tc>
              <w:tc>
                <w:tcPr>
                  <w:tcW w:type="dxa" w:w="1707"/>
                  <w:tcBorders>
                    <w:top w:val="none" w:color="000000" w:sz="4"/>
                    <w:left w:val="none" w:color="000000" w:sz="4"/>
                    <w:bottom w:val="single" w:color="000000" w:sz="4"/>
                    <w:right w:val="single" w:color="000000" w:sz="4"/>
                  </w:tcBorders>
                  <w:vAlign w:val="top"/>
                </w:tcPr>
                <w:p>
                  <w:pPr>
                    <w:jc w:val="both"/>
                  </w:pPr>
                  <w:r>
                    <w:rPr>
                      <w:sz w:val="21"/>
                    </w:rPr>
                    <w:t>組織科学</w:t>
                  </w:r>
                  <w:r>
                    <w:rPr>
                      <w:sz w:val="21"/>
                    </w:rPr>
                    <w:t>/Organization 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白桃書房</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18</w:t>
                  </w:r>
                </w:p>
              </w:tc>
              <w:tc>
                <w:tcPr>
                  <w:tcW w:type="dxa" w:w="661"/>
                  <w:tcBorders>
                    <w:top w:val="none" w:color="000000" w:sz="4"/>
                    <w:left w:val="none" w:color="000000" w:sz="4"/>
                    <w:bottom w:val="single" w:color="000000" w:sz="4"/>
                    <w:right w:val="single" w:color="000000" w:sz="4"/>
                  </w:tcBorders>
                  <w:vAlign w:val="top"/>
                </w:tcPr>
                <w:p>
                  <w:pPr>
                    <w:jc w:val="both"/>
                  </w:pPr>
                  <w:r>
                    <w:rPr>
                      <w:sz w:val="21"/>
                    </w:rPr>
                    <w:t>420C0039/IP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0305-1498</w:t>
                  </w:r>
                </w:p>
              </w:tc>
              <w:tc>
                <w:tcPr>
                  <w:tcW w:type="dxa" w:w="1707"/>
                  <w:tcBorders>
                    <w:top w:val="none" w:color="000000" w:sz="4"/>
                    <w:left w:val="none" w:color="000000" w:sz="4"/>
                    <w:bottom w:val="single" w:color="000000" w:sz="4"/>
                    <w:right w:val="single" w:color="000000" w:sz="4"/>
                  </w:tcBorders>
                  <w:vAlign w:val="top"/>
                </w:tcPr>
                <w:p>
                  <w:pPr>
                    <w:jc w:val="both"/>
                  </w:pPr>
                  <w:r>
                    <w:rPr>
                      <w:sz w:val="21"/>
                    </w:rPr>
                    <w:t>Oxford Literary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Edinburgh University Press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19</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410C0250/IP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0306-2473</w:t>
                  </w:r>
                </w:p>
              </w:tc>
              <w:tc>
                <w:tcPr>
                  <w:tcW w:type="dxa" w:w="1707"/>
                  <w:tcBorders>
                    <w:top w:val="none" w:color="000000" w:sz="4"/>
                    <w:left w:val="none" w:color="000000" w:sz="4"/>
                    <w:bottom w:val="single" w:color="000000" w:sz="4"/>
                    <w:right w:val="single" w:color="000000" w:sz="4"/>
                  </w:tcBorders>
                  <w:vAlign w:val="top"/>
                </w:tcPr>
                <w:p>
                  <w:pPr>
                    <w:jc w:val="both"/>
                  </w:pPr>
                  <w:r>
                    <w:rPr>
                      <w:sz w:val="21"/>
                    </w:rPr>
                    <w:t>Yearbook of English Studies.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w:t>
                  </w:r>
                </w:p>
              </w:tc>
              <w:tc>
                <w:tcPr>
                  <w:tcW w:type="dxa" w:w="1773"/>
                  <w:tcBorders>
                    <w:top w:val="none" w:color="000000" w:sz="4"/>
                    <w:left w:val="none" w:color="000000" w:sz="4"/>
                    <w:bottom w:val="single" w:color="000000" w:sz="4"/>
                    <w:right w:val="single" w:color="000000" w:sz="4"/>
                  </w:tcBorders>
                  <w:vAlign w:val="top"/>
                </w:tcPr>
                <w:p>
                  <w:pPr>
                    <w:jc w:val="both"/>
                  </w:pPr>
                  <w:r>
                    <w:rPr>
                      <w:sz w:val="21"/>
                    </w:rPr>
                    <w:t>Modern Humanities Research Association (MHRA)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20</w:t>
                  </w:r>
                </w:p>
              </w:tc>
              <w:tc>
                <w:tcPr>
                  <w:tcW w:type="dxa" w:w="661"/>
                  <w:tcBorders>
                    <w:top w:val="none" w:color="000000" w:sz="4"/>
                    <w:left w:val="none" w:color="000000" w:sz="4"/>
                    <w:bottom w:val="single" w:color="000000" w:sz="4"/>
                    <w:right w:val="single" w:color="000000" w:sz="4"/>
                  </w:tcBorders>
                  <w:vAlign w:val="top"/>
                </w:tcPr>
                <w:p>
                  <w:pPr>
                    <w:jc w:val="both"/>
                  </w:pPr>
                  <w:r>
                    <w:rPr>
                      <w:sz w:val="21"/>
                    </w:rPr>
                    <w:t>482D0101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0389-7141</w:t>
                  </w:r>
                </w:p>
              </w:tc>
              <w:tc>
                <w:tcPr>
                  <w:tcW w:type="dxa" w:w="1707"/>
                  <w:tcBorders>
                    <w:top w:val="none" w:color="000000" w:sz="4"/>
                    <w:left w:val="none" w:color="000000" w:sz="4"/>
                    <w:bottom w:val="single" w:color="000000" w:sz="4"/>
                    <w:right w:val="single" w:color="000000" w:sz="4"/>
                  </w:tcBorders>
                  <w:vAlign w:val="top"/>
                </w:tcPr>
                <w:p>
                  <w:pPr>
                    <w:jc w:val="both"/>
                  </w:pPr>
                  <w:r>
                    <w:rPr>
                      <w:sz w:val="21"/>
                    </w:rPr>
                    <w:t>一枚の絵</w:t>
                  </w:r>
                  <w:r>
                    <w:rPr>
                      <w:sz w:val="21"/>
                    </w:rPr>
                    <w: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一枚の絵株式会社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21</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480MC006</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0015-3524</w:t>
                  </w:r>
                </w:p>
              </w:tc>
              <w:tc>
                <w:tcPr>
                  <w:tcW w:type="dxa" w:w="1707"/>
                  <w:tcBorders>
                    <w:top w:val="none" w:color="000000" w:sz="4"/>
                    <w:left w:val="none" w:color="000000" w:sz="4"/>
                    <w:bottom w:val="single" w:color="000000" w:sz="4"/>
                    <w:right w:val="single" w:color="000000" w:sz="4"/>
                  </w:tcBorders>
                  <w:vAlign w:val="top"/>
                </w:tcPr>
                <w:p>
                  <w:pPr>
                    <w:jc w:val="both"/>
                  </w:pPr>
                  <w:r>
                    <w:rPr>
                      <w:sz w:val="21"/>
                    </w:rPr>
                    <w:t>Flash Art International.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Giancarlo Politi Editore.</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22</w:t>
                  </w:r>
                </w:p>
              </w:tc>
              <w:tc>
                <w:tcPr>
                  <w:tcW w:type="dxa" w:w="661"/>
                  <w:tcBorders>
                    <w:top w:val="none" w:color="000000" w:sz="4"/>
                    <w:left w:val="none" w:color="000000" w:sz="4"/>
                    <w:bottom w:val="single" w:color="000000" w:sz="4"/>
                    <w:right w:val="single" w:color="000000" w:sz="4"/>
                  </w:tcBorders>
                  <w:vAlign w:val="top"/>
                </w:tcPr>
                <w:p>
                  <w:pPr>
                    <w:jc w:val="both"/>
                  </w:pPr>
                  <w:r>
                    <w:rPr>
                      <w:sz w:val="21"/>
                    </w:rPr>
                    <w:t>110D0059</w:t>
                  </w:r>
                </w:p>
              </w:tc>
              <w:tc>
                <w:tcPr>
                  <w:tcW w:type="dxa" w:w="621"/>
                  <w:tcBorders>
                    <w:top w:val="none" w:color="000000" w:sz="4"/>
                    <w:left w:val="none" w:color="000000" w:sz="4"/>
                    <w:bottom w:val="single" w:color="000000" w:sz="4"/>
                    <w:right w:val="single" w:color="000000" w:sz="4"/>
                  </w:tcBorders>
                  <w:vAlign w:val="top"/>
                </w:tcPr>
                <w:p>
                  <w:pPr>
                    <w:jc w:val="both"/>
                  </w:pPr>
                  <w:r>
                    <w:rPr>
                      <w:sz w:val="21"/>
                    </w:rPr>
                    <w:t>0520-0962</w:t>
                  </w:r>
                </w:p>
              </w:tc>
              <w:tc>
                <w:tcPr>
                  <w:tcW w:type="dxa" w:w="1707"/>
                  <w:tcBorders>
                    <w:top w:val="none" w:color="000000" w:sz="4"/>
                    <w:left w:val="none" w:color="000000" w:sz="4"/>
                    <w:bottom w:val="single" w:color="000000" w:sz="4"/>
                    <w:right w:val="single" w:color="000000" w:sz="4"/>
                  </w:tcBorders>
                  <w:vAlign w:val="top"/>
                </w:tcPr>
                <w:p>
                  <w:pPr>
                    <w:jc w:val="both"/>
                  </w:pPr>
                  <w:r>
                    <w:rPr>
                      <w:sz w:val="21"/>
                    </w:rPr>
                    <w:t>美学</w:t>
                  </w:r>
                  <w:r>
                    <w:rPr>
                      <w:sz w:val="21"/>
                    </w:rPr>
                    <w:t>/Aesthetics.</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美术出版社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23</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294B0198</w:t>
                  </w:r>
                </w:p>
              </w:tc>
              <w:tc>
                <w:tcPr>
                  <w:tcW w:type="dxa" w:w="621"/>
                  <w:tcBorders>
                    <w:top w:val="none" w:color="000000" w:sz="4"/>
                    <w:left w:val="none" w:color="000000" w:sz="4"/>
                    <w:bottom w:val="single" w:color="000000" w:sz="4"/>
                    <w:right w:val="single" w:color="000000" w:sz="4"/>
                  </w:tcBorders>
                  <w:vAlign w:val="top"/>
                </w:tcPr>
                <w:p>
                  <w:pPr>
                    <w:jc w:val="both"/>
                  </w:pPr>
                  <w:r>
                    <w:rPr>
                      <w:sz w:val="21"/>
                    </w:rPr>
                    <w:t>0738-3355</w:t>
                  </w:r>
                </w:p>
              </w:tc>
              <w:tc>
                <w:tcPr>
                  <w:tcW w:type="dxa" w:w="1707"/>
                  <w:tcBorders>
                    <w:top w:val="none" w:color="000000" w:sz="4"/>
                    <w:left w:val="none" w:color="000000" w:sz="4"/>
                    <w:bottom w:val="single" w:color="000000" w:sz="4"/>
                    <w:right w:val="single" w:color="000000" w:sz="4"/>
                  </w:tcBorders>
                  <w:vAlign w:val="top"/>
                </w:tcPr>
                <w:p>
                  <w:pPr>
                    <w:jc w:val="both"/>
                  </w:pPr>
                  <w:r>
                    <w:rPr>
                      <w:sz w:val="21"/>
                    </w:rPr>
                    <w:t>Technical Analysis of Stocks &amp; Commodities.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13</w:t>
                  </w:r>
                </w:p>
              </w:tc>
              <w:tc>
                <w:tcPr>
                  <w:tcW w:type="dxa" w:w="1773"/>
                  <w:tcBorders>
                    <w:top w:val="none" w:color="000000" w:sz="4"/>
                    <w:left w:val="none" w:color="000000" w:sz="4"/>
                    <w:bottom w:val="single" w:color="000000" w:sz="4"/>
                    <w:right w:val="single" w:color="000000" w:sz="4"/>
                  </w:tcBorders>
                  <w:vAlign w:val="top"/>
                </w:tcPr>
                <w:p>
                  <w:pPr>
                    <w:jc w:val="both"/>
                  </w:pPr>
                  <w:r>
                    <w:rPr>
                      <w:sz w:val="21"/>
                    </w:rPr>
                    <w:t>Technical Analysis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24</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410B0152</w:t>
                  </w:r>
                </w:p>
              </w:tc>
              <w:tc>
                <w:tcPr>
                  <w:tcW w:type="dxa" w:w="621"/>
                  <w:tcBorders>
                    <w:top w:val="none" w:color="000000" w:sz="4"/>
                    <w:left w:val="none" w:color="000000" w:sz="4"/>
                    <w:bottom w:val="single" w:color="000000" w:sz="4"/>
                    <w:right w:val="single" w:color="000000" w:sz="4"/>
                  </w:tcBorders>
                  <w:vAlign w:val="top"/>
                </w:tcPr>
                <w:p>
                  <w:pPr>
                    <w:jc w:val="both"/>
                  </w:pPr>
                  <w:r>
                    <w:rPr>
                      <w:sz w:val="21"/>
                    </w:rPr>
                    <w:t>0835-1813</w:t>
                  </w:r>
                </w:p>
              </w:tc>
              <w:tc>
                <w:tcPr>
                  <w:tcW w:type="dxa" w:w="1707"/>
                  <w:tcBorders>
                    <w:top w:val="none" w:color="000000" w:sz="4"/>
                    <w:left w:val="none" w:color="000000" w:sz="4"/>
                    <w:bottom w:val="single" w:color="000000" w:sz="4"/>
                    <w:right w:val="single" w:color="000000" w:sz="4"/>
                  </w:tcBorders>
                  <w:vAlign w:val="top"/>
                </w:tcPr>
                <w:p>
                  <w:pPr>
                    <w:jc w:val="both"/>
                  </w:pPr>
                  <w:r>
                    <w:rPr>
                      <w:sz w:val="21"/>
                    </w:rPr>
                    <w:t>Research on Language and Social Interaction.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Taylor &amp; Francis Group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25</w:t>
                  </w:r>
                </w:p>
              </w:tc>
              <w:tc>
                <w:tcPr>
                  <w:tcW w:type="dxa" w:w="661"/>
                  <w:tcBorders>
                    <w:top w:val="none" w:color="000000" w:sz="4"/>
                    <w:left w:val="none" w:color="000000" w:sz="4"/>
                    <w:bottom w:val="single" w:color="000000" w:sz="4"/>
                    <w:right w:val="single" w:color="000000" w:sz="4"/>
                  </w:tcBorders>
                  <w:vAlign w:val="top"/>
                </w:tcPr>
                <w:p>
                  <w:pPr>
                    <w:jc w:val="both"/>
                  </w:pPr>
                  <w:r>
                    <w:rPr>
                      <w:sz w:val="21"/>
                    </w:rPr>
                    <w:t>712C0042/IP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0884-2914</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Materials Research.</w:t>
                  </w:r>
                </w:p>
              </w:tc>
              <w:tc>
                <w:tcPr>
                  <w:tcW w:type="dxa" w:w="489"/>
                  <w:tcBorders>
                    <w:top w:val="none" w:color="000000" w:sz="4"/>
                    <w:left w:val="none" w:color="000000" w:sz="4"/>
                    <w:bottom w:val="single" w:color="000000" w:sz="4"/>
                    <w:right w:val="single" w:color="000000" w:sz="4"/>
                  </w:tcBorders>
                  <w:vAlign w:val="top"/>
                </w:tcPr>
                <w:p>
                  <w:pPr>
                    <w:jc w:val="both"/>
                  </w:pPr>
                  <w:r>
                    <w:rPr>
                      <w:sz w:val="21"/>
                    </w:rPr>
                    <w:t>24</w:t>
                  </w:r>
                </w:p>
              </w:tc>
              <w:tc>
                <w:tcPr>
                  <w:tcW w:type="dxa" w:w="1773"/>
                  <w:tcBorders>
                    <w:top w:val="none" w:color="000000" w:sz="4"/>
                    <w:left w:val="none" w:color="000000" w:sz="4"/>
                    <w:bottom w:val="single" w:color="000000" w:sz="4"/>
                    <w:right w:val="single" w:color="000000" w:sz="4"/>
                  </w:tcBorders>
                  <w:vAlign w:val="top"/>
                </w:tcPr>
                <w:p>
                  <w:pPr>
                    <w:jc w:val="both"/>
                  </w:pPr>
                  <w:r>
                    <w:rPr>
                      <w:sz w:val="21"/>
                    </w:rPr>
                    <w:t>Cambridge University Press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26</w:t>
                  </w:r>
                </w:p>
              </w:tc>
              <w:tc>
                <w:tcPr>
                  <w:tcW w:type="dxa" w:w="661"/>
                  <w:tcBorders>
                    <w:top w:val="none" w:color="000000" w:sz="4"/>
                    <w:left w:val="none" w:color="000000" w:sz="4"/>
                    <w:bottom w:val="single" w:color="000000" w:sz="4"/>
                    <w:right w:val="single" w:color="000000" w:sz="4"/>
                  </w:tcBorders>
                  <w:vAlign w:val="top"/>
                </w:tcPr>
                <w:p>
                  <w:pPr>
                    <w:jc w:val="both"/>
                  </w:pPr>
                  <w:r>
                    <w:rPr>
                      <w:sz w:val="21"/>
                    </w:rPr>
                    <w:t>420D0137</w:t>
                  </w:r>
                </w:p>
              </w:tc>
              <w:tc>
                <w:tcPr>
                  <w:tcW w:type="dxa" w:w="621"/>
                  <w:tcBorders>
                    <w:top w:val="none" w:color="000000" w:sz="4"/>
                    <w:left w:val="none" w:color="000000" w:sz="4"/>
                    <w:bottom w:val="single" w:color="000000" w:sz="4"/>
                    <w:right w:val="single" w:color="000000" w:sz="4"/>
                  </w:tcBorders>
                  <w:vAlign w:val="top"/>
                </w:tcPr>
                <w:p>
                  <w:pPr>
                    <w:jc w:val="both"/>
                  </w:pPr>
                  <w:r>
                    <w:rPr>
                      <w:sz w:val="21"/>
                    </w:rPr>
                    <w:t>0914-224X</w:t>
                  </w:r>
                </w:p>
              </w:tc>
              <w:tc>
                <w:tcPr>
                  <w:tcW w:type="dxa" w:w="1707"/>
                  <w:tcBorders>
                    <w:top w:val="none" w:color="000000" w:sz="4"/>
                    <w:left w:val="none" w:color="000000" w:sz="4"/>
                    <w:bottom w:val="single" w:color="000000" w:sz="4"/>
                    <w:right w:val="single" w:color="000000" w:sz="4"/>
                  </w:tcBorders>
                  <w:vAlign w:val="top"/>
                </w:tcPr>
                <w:p>
                  <w:pPr>
                    <w:jc w:val="both"/>
                  </w:pPr>
                  <w:r>
                    <w:rPr>
                      <w:sz w:val="21"/>
                    </w:rPr>
                    <w:t>野草．</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中国文芸研究会</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27</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297C0129</w:t>
                  </w:r>
                </w:p>
              </w:tc>
              <w:tc>
                <w:tcPr>
                  <w:tcW w:type="dxa" w:w="621"/>
                  <w:tcBorders>
                    <w:top w:val="none" w:color="000000" w:sz="4"/>
                    <w:left w:val="none" w:color="000000" w:sz="4"/>
                    <w:bottom w:val="single" w:color="000000" w:sz="4"/>
                    <w:right w:val="single" w:color="000000" w:sz="4"/>
                  </w:tcBorders>
                  <w:vAlign w:val="top"/>
                </w:tcPr>
                <w:p>
                  <w:pPr>
                    <w:jc w:val="both"/>
                  </w:pPr>
                  <w:r>
                    <w:rPr>
                      <w:sz w:val="21"/>
                    </w:rPr>
                    <w:t>0951-3574</w:t>
                  </w:r>
                </w:p>
              </w:tc>
              <w:tc>
                <w:tcPr>
                  <w:tcW w:type="dxa" w:w="1707"/>
                  <w:tcBorders>
                    <w:top w:val="none" w:color="000000" w:sz="4"/>
                    <w:left w:val="none" w:color="000000" w:sz="4"/>
                    <w:bottom w:val="single" w:color="000000" w:sz="4"/>
                    <w:right w:val="single" w:color="000000" w:sz="4"/>
                  </w:tcBorders>
                  <w:vAlign w:val="top"/>
                </w:tcPr>
                <w:p>
                  <w:pPr>
                    <w:jc w:val="both"/>
                  </w:pPr>
                  <w:r>
                    <w:rPr>
                      <w:sz w:val="21"/>
                    </w:rPr>
                    <w:t>Accounting, Auditing &amp; Accountability Journal.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28</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714C0020</w:t>
                  </w:r>
                </w:p>
              </w:tc>
              <w:tc>
                <w:tcPr>
                  <w:tcW w:type="dxa" w:w="621"/>
                  <w:tcBorders>
                    <w:top w:val="none" w:color="000000" w:sz="4"/>
                    <w:left w:val="none" w:color="000000" w:sz="4"/>
                    <w:bottom w:val="single" w:color="000000" w:sz="4"/>
                    <w:right w:val="single" w:color="000000" w:sz="4"/>
                  </w:tcBorders>
                  <w:vAlign w:val="top"/>
                </w:tcPr>
                <w:p>
                  <w:pPr>
                    <w:jc w:val="both"/>
                  </w:pPr>
                  <w:r>
                    <w:rPr>
                      <w:sz w:val="21"/>
                    </w:rPr>
                    <w:t>0969-6474</w:t>
                  </w:r>
                </w:p>
              </w:tc>
              <w:tc>
                <w:tcPr>
                  <w:tcW w:type="dxa" w:w="1707"/>
                  <w:tcBorders>
                    <w:top w:val="none" w:color="000000" w:sz="4"/>
                    <w:left w:val="none" w:color="000000" w:sz="4"/>
                    <w:bottom w:val="single" w:color="000000" w:sz="4"/>
                    <w:right w:val="single" w:color="000000" w:sz="4"/>
                  </w:tcBorders>
                  <w:vAlign w:val="top"/>
                </w:tcPr>
                <w:p>
                  <w:pPr>
                    <w:jc w:val="both"/>
                  </w:pPr>
                  <w:r>
                    <w:rPr>
                      <w:sz w:val="21"/>
                    </w:rPr>
                    <w:t>The Learning Organization: The International Journal of Knowledge and Organizational Learning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29</w:t>
                  </w:r>
                </w:p>
              </w:tc>
              <w:tc>
                <w:tcPr>
                  <w:tcW w:type="dxa" w:w="661"/>
                  <w:tcBorders>
                    <w:top w:val="none" w:color="000000" w:sz="4"/>
                    <w:left w:val="none" w:color="000000" w:sz="4"/>
                    <w:bottom w:val="single" w:color="000000" w:sz="4"/>
                    <w:right w:val="single" w:color="000000" w:sz="4"/>
                  </w:tcBorders>
                  <w:vAlign w:val="top"/>
                </w:tcPr>
                <w:p>
                  <w:pPr>
                    <w:jc w:val="both"/>
                  </w:pPr>
                  <w:r>
                    <w:rPr>
                      <w:sz w:val="21"/>
                    </w:rPr>
                    <w:t>519LB014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1019-7168</w:t>
                  </w:r>
                </w:p>
              </w:tc>
              <w:tc>
                <w:tcPr>
                  <w:tcW w:type="dxa" w:w="1707"/>
                  <w:tcBorders>
                    <w:top w:val="none" w:color="000000" w:sz="4"/>
                    <w:left w:val="none" w:color="000000" w:sz="4"/>
                    <w:bottom w:val="single" w:color="000000" w:sz="4"/>
                    <w:right w:val="single" w:color="000000" w:sz="4"/>
                  </w:tcBorders>
                  <w:vAlign w:val="top"/>
                </w:tcPr>
                <w:p>
                  <w:pPr>
                    <w:jc w:val="both"/>
                  </w:pPr>
                  <w:r>
                    <w:rPr>
                      <w:sz w:val="21"/>
                    </w:rPr>
                    <w:t>Advances in Computational Mathematics.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30</w:t>
                  </w:r>
                </w:p>
              </w:tc>
              <w:tc>
                <w:tcPr>
                  <w:tcW w:type="dxa" w:w="661"/>
                  <w:tcBorders>
                    <w:top w:val="none" w:color="000000" w:sz="4"/>
                    <w:left w:val="none" w:color="000000" w:sz="4"/>
                    <w:bottom w:val="single" w:color="000000" w:sz="4"/>
                    <w:right w:val="single" w:color="000000" w:sz="4"/>
                  </w:tcBorders>
                  <w:vAlign w:val="top"/>
                </w:tcPr>
                <w:p>
                  <w:pPr>
                    <w:jc w:val="both"/>
                  </w:pPr>
                  <w:r>
                    <w:rPr>
                      <w:sz w:val="21"/>
                    </w:rPr>
                    <w:t>862B0103</w:t>
                  </w:r>
                </w:p>
              </w:tc>
              <w:tc>
                <w:tcPr>
                  <w:tcW w:type="dxa" w:w="621"/>
                  <w:tcBorders>
                    <w:top w:val="none" w:color="000000" w:sz="4"/>
                    <w:left w:val="none" w:color="000000" w:sz="4"/>
                    <w:bottom w:val="single" w:color="000000" w:sz="4"/>
                    <w:right w:val="single" w:color="000000" w:sz="4"/>
                  </w:tcBorders>
                  <w:vAlign w:val="top"/>
                </w:tcPr>
                <w:p>
                  <w:pPr>
                    <w:jc w:val="both"/>
                  </w:pPr>
                  <w:r>
                    <w:rPr>
                      <w:sz w:val="21"/>
                    </w:rPr>
                    <w:t>1046-1957</w:t>
                  </w:r>
                </w:p>
              </w:tc>
              <w:tc>
                <w:tcPr>
                  <w:tcW w:type="dxa" w:w="1707"/>
                  <w:tcBorders>
                    <w:top w:val="none" w:color="000000" w:sz="4"/>
                    <w:left w:val="none" w:color="000000" w:sz="4"/>
                    <w:bottom w:val="single" w:color="000000" w:sz="4"/>
                    <w:right w:val="single" w:color="000000" w:sz="4"/>
                  </w:tcBorders>
                  <w:vAlign w:val="top"/>
                </w:tcPr>
                <w:p>
                  <w:pPr>
                    <w:jc w:val="both"/>
                  </w:pPr>
                  <w:r>
                    <w:rPr>
                      <w:sz w:val="21"/>
                    </w:rPr>
                    <w:t>Elle Decor. (American Edition)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10</w:t>
                  </w:r>
                </w:p>
              </w:tc>
              <w:tc>
                <w:tcPr>
                  <w:tcW w:type="dxa" w:w="1773"/>
                  <w:tcBorders>
                    <w:top w:val="none" w:color="000000" w:sz="4"/>
                    <w:left w:val="none" w:color="000000" w:sz="4"/>
                    <w:bottom w:val="single" w:color="000000" w:sz="4"/>
                    <w:right w:val="single" w:color="000000" w:sz="4"/>
                  </w:tcBorders>
                  <w:vAlign w:val="top"/>
                </w:tcPr>
                <w:p>
                  <w:pPr>
                    <w:jc w:val="both"/>
                  </w:pPr>
                  <w:r>
                    <w:rPr>
                      <w:sz w:val="21"/>
                    </w:rPr>
                    <w:t>Hachette Filipacchi Magazines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31</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480B0101</w:t>
                  </w:r>
                </w:p>
              </w:tc>
              <w:tc>
                <w:tcPr>
                  <w:tcW w:type="dxa" w:w="621"/>
                  <w:tcBorders>
                    <w:top w:val="none" w:color="000000" w:sz="4"/>
                    <w:left w:val="none" w:color="000000" w:sz="4"/>
                    <w:bottom w:val="single" w:color="000000" w:sz="4"/>
                    <w:right w:val="single" w:color="000000" w:sz="4"/>
                  </w:tcBorders>
                  <w:vAlign w:val="top"/>
                </w:tcPr>
                <w:p>
                  <w:pPr>
                    <w:jc w:val="both"/>
                  </w:pPr>
                  <w:r>
                    <w:rPr>
                      <w:sz w:val="21"/>
                    </w:rPr>
                    <w:t>1047-4994</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 of the West.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Duerr and Tierney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32</w:t>
                  </w:r>
                </w:p>
              </w:tc>
              <w:tc>
                <w:tcPr>
                  <w:tcW w:type="dxa" w:w="661"/>
                  <w:tcBorders>
                    <w:top w:val="none" w:color="000000" w:sz="4"/>
                    <w:left w:val="none" w:color="000000" w:sz="4"/>
                    <w:bottom w:val="single" w:color="000000" w:sz="4"/>
                    <w:right w:val="single" w:color="000000" w:sz="4"/>
                  </w:tcBorders>
                  <w:vAlign w:val="top"/>
                </w:tcPr>
                <w:p>
                  <w:pPr>
                    <w:jc w:val="both"/>
                  </w:pPr>
                  <w:r>
                    <w:rPr>
                      <w:sz w:val="21"/>
                    </w:rPr>
                    <w:t>513B0080</w:t>
                  </w:r>
                </w:p>
              </w:tc>
              <w:tc>
                <w:tcPr>
                  <w:tcW w:type="dxa" w:w="621"/>
                  <w:tcBorders>
                    <w:top w:val="none" w:color="000000" w:sz="4"/>
                    <w:left w:val="none" w:color="000000" w:sz="4"/>
                    <w:bottom w:val="single" w:color="000000" w:sz="4"/>
                    <w:right w:val="single" w:color="000000" w:sz="4"/>
                  </w:tcBorders>
                  <w:vAlign w:val="top"/>
                </w:tcPr>
                <w:p>
                  <w:pPr>
                    <w:jc w:val="both"/>
                  </w:pPr>
                  <w:r>
                    <w:rPr>
                      <w:sz w:val="21"/>
                    </w:rPr>
                    <w:t>1050-6926</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Geometric Analysis.</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33</w:t>
                  </w:r>
                </w:p>
              </w:tc>
              <w:tc>
                <w:tcPr>
                  <w:tcW w:type="dxa" w:w="661"/>
                  <w:tcBorders>
                    <w:top w:val="none" w:color="000000" w:sz="4"/>
                    <w:left w:val="none" w:color="000000" w:sz="4"/>
                    <w:bottom w:val="single" w:color="000000" w:sz="4"/>
                    <w:right w:val="single" w:color="000000" w:sz="4"/>
                  </w:tcBorders>
                  <w:vAlign w:val="top"/>
                </w:tcPr>
                <w:p>
                  <w:pPr>
                    <w:jc w:val="both"/>
                  </w:pPr>
                  <w:r>
                    <w:rPr>
                      <w:sz w:val="21"/>
                    </w:rPr>
                    <w:t>300B0005</w:t>
                  </w:r>
                </w:p>
              </w:tc>
              <w:tc>
                <w:tcPr>
                  <w:tcW w:type="dxa" w:w="621"/>
                  <w:tcBorders>
                    <w:top w:val="none" w:color="000000" w:sz="4"/>
                    <w:left w:val="none" w:color="000000" w:sz="4"/>
                    <w:bottom w:val="single" w:color="000000" w:sz="4"/>
                    <w:right w:val="single" w:color="000000" w:sz="4"/>
                  </w:tcBorders>
                  <w:vAlign w:val="top"/>
                </w:tcPr>
                <w:p>
                  <w:pPr>
                    <w:jc w:val="both"/>
                  </w:pPr>
                  <w:r>
                    <w:rPr>
                      <w:sz w:val="21"/>
                    </w:rPr>
                    <w:t>1064-0304</w:t>
                  </w:r>
                </w:p>
              </w:tc>
              <w:tc>
                <w:tcPr>
                  <w:tcW w:type="dxa" w:w="1707"/>
                  <w:tcBorders>
                    <w:top w:val="none" w:color="000000" w:sz="4"/>
                    <w:left w:val="none" w:color="000000" w:sz="4"/>
                    <w:bottom w:val="single" w:color="000000" w:sz="4"/>
                    <w:right w:val="single" w:color="000000" w:sz="4"/>
                  </w:tcBorders>
                  <w:vAlign w:val="top"/>
                </w:tcPr>
                <w:p>
                  <w:pPr>
                    <w:jc w:val="both"/>
                  </w:pPr>
                  <w:r>
                    <w:rPr>
                      <w:sz w:val="21"/>
                    </w:rPr>
                    <w:t>Time. (Asia Ed.)</w:t>
                  </w:r>
                </w:p>
              </w:tc>
              <w:tc>
                <w:tcPr>
                  <w:tcW w:type="dxa" w:w="489"/>
                  <w:tcBorders>
                    <w:top w:val="none" w:color="000000" w:sz="4"/>
                    <w:left w:val="none" w:color="000000" w:sz="4"/>
                    <w:bottom w:val="single" w:color="000000" w:sz="4"/>
                    <w:right w:val="single" w:color="000000" w:sz="4"/>
                  </w:tcBorders>
                  <w:vAlign w:val="top"/>
                </w:tcPr>
                <w:p>
                  <w:pPr>
                    <w:jc w:val="both"/>
                  </w:pPr>
                  <w:r>
                    <w:rPr>
                      <w:sz w:val="21"/>
                    </w:rPr>
                    <w:t>51</w:t>
                  </w:r>
                </w:p>
              </w:tc>
              <w:tc>
                <w:tcPr>
                  <w:tcW w:type="dxa" w:w="1773"/>
                  <w:tcBorders>
                    <w:top w:val="none" w:color="000000" w:sz="4"/>
                    <w:left w:val="none" w:color="000000" w:sz="4"/>
                    <w:bottom w:val="single" w:color="000000" w:sz="4"/>
                    <w:right w:val="single" w:color="000000" w:sz="4"/>
                  </w:tcBorders>
                  <w:vAlign w:val="top"/>
                </w:tcPr>
                <w:p>
                  <w:pPr>
                    <w:jc w:val="both"/>
                  </w:pPr>
                  <w:r>
                    <w:rPr>
                      <w:sz w:val="21"/>
                    </w:rPr>
                    <w:t>Time Asia (Hong Kong)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34</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294B0072</w:t>
                  </w:r>
                </w:p>
              </w:tc>
              <w:tc>
                <w:tcPr>
                  <w:tcW w:type="dxa" w:w="621"/>
                  <w:tcBorders>
                    <w:top w:val="none" w:color="000000" w:sz="4"/>
                    <w:left w:val="none" w:color="000000" w:sz="4"/>
                    <w:bottom w:val="single" w:color="000000" w:sz="4"/>
                    <w:right w:val="single" w:color="000000" w:sz="4"/>
                  </w:tcBorders>
                  <w:vAlign w:val="top"/>
                </w:tcPr>
                <w:p>
                  <w:pPr>
                    <w:jc w:val="both"/>
                  </w:pPr>
                  <w:r>
                    <w:rPr>
                      <w:sz w:val="21"/>
                    </w:rPr>
                    <w:t>0745-4295</w:t>
                  </w:r>
                </w:p>
              </w:tc>
              <w:tc>
                <w:tcPr>
                  <w:tcW w:type="dxa" w:w="1707"/>
                  <w:tcBorders>
                    <w:top w:val="none" w:color="000000" w:sz="4"/>
                    <w:left w:val="none" w:color="000000" w:sz="4"/>
                    <w:bottom w:val="single" w:color="000000" w:sz="4"/>
                    <w:right w:val="single" w:color="000000" w:sz="4"/>
                  </w:tcBorders>
                  <w:vAlign w:val="top"/>
                </w:tcPr>
                <w:p>
                  <w:pPr>
                    <w:jc w:val="both"/>
                  </w:pPr>
                  <w:r>
                    <w:rPr>
                      <w:sz w:val="21"/>
                    </w:rPr>
                    <w:t>Visual Merchandising &amp; Store Design.</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ST Publications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35</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714C0376</w:t>
                  </w:r>
                </w:p>
              </w:tc>
              <w:tc>
                <w:tcPr>
                  <w:tcW w:type="dxa" w:w="621"/>
                  <w:tcBorders>
                    <w:top w:val="none" w:color="000000" w:sz="4"/>
                    <w:left w:val="none" w:color="000000" w:sz="4"/>
                    <w:bottom w:val="single" w:color="000000" w:sz="4"/>
                    <w:right w:val="single" w:color="000000" w:sz="4"/>
                  </w:tcBorders>
                  <w:vAlign w:val="top"/>
                </w:tcPr>
                <w:p>
                  <w:pPr>
                    <w:jc w:val="both"/>
                  </w:pPr>
                  <w:r>
                    <w:rPr>
                      <w:sz w:val="21"/>
                    </w:rPr>
                    <w:t>1087-8572</w:t>
                  </w:r>
                </w:p>
              </w:tc>
              <w:tc>
                <w:tcPr>
                  <w:tcW w:type="dxa" w:w="1707"/>
                  <w:tcBorders>
                    <w:top w:val="none" w:color="000000" w:sz="4"/>
                    <w:left w:val="none" w:color="000000" w:sz="4"/>
                    <w:bottom w:val="single" w:color="000000" w:sz="4"/>
                    <w:right w:val="single" w:color="000000" w:sz="4"/>
                  </w:tcBorders>
                  <w:vAlign w:val="top"/>
                </w:tcPr>
                <w:p>
                  <w:pPr>
                    <w:jc w:val="both"/>
                  </w:pPr>
                  <w:r>
                    <w:rPr>
                      <w:sz w:val="21"/>
                    </w:rPr>
                    <w:t>Strategy &amp; Leadership.</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714C0018</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1352-7592</w:t>
                  </w:r>
                </w:p>
              </w:tc>
              <w:tc>
                <w:tcPr>
                  <w:tcW w:type="dxa" w:w="1707"/>
                  <w:tcBorders>
                    <w:top w:val="none" w:color="000000" w:sz="4"/>
                    <w:left w:val="none" w:color="000000" w:sz="4"/>
                    <w:bottom w:val="single" w:color="000000" w:sz="4"/>
                    <w:right w:val="single" w:color="000000" w:sz="4"/>
                  </w:tcBorders>
                  <w:vAlign w:val="top"/>
                </w:tcPr>
                <w:p>
                  <w:pPr>
                    <w:jc w:val="both"/>
                  </w:pPr>
                  <w:r>
                    <w:rPr>
                      <w:sz w:val="21"/>
                    </w:rPr>
                    <w:t>Team Performance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37</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1355-2554</w:t>
                  </w:r>
                </w:p>
              </w:tc>
              <w:tc>
                <w:tcPr>
                  <w:tcW w:type="dxa" w:w="1707"/>
                  <w:tcBorders>
                    <w:top w:val="none" w:color="000000" w:sz="4"/>
                    <w:left w:val="none" w:color="000000" w:sz="4"/>
                    <w:bottom w:val="single" w:color="000000" w:sz="4"/>
                    <w:right w:val="single" w:color="000000" w:sz="4"/>
                  </w:tcBorders>
                  <w:vAlign w:val="top"/>
                </w:tcPr>
                <w:p>
                  <w:pPr>
                    <w:jc w:val="both"/>
                  </w:pPr>
                  <w:r>
                    <w:rPr>
                      <w:sz w:val="21"/>
                    </w:rPr>
                    <w:t>International Journal of Entrepreneurial Behavior and Research</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38</w:t>
                  </w:r>
                </w:p>
              </w:tc>
              <w:tc>
                <w:tcPr>
                  <w:tcW w:type="dxa" w:w="661"/>
                  <w:tcBorders>
                    <w:top w:val="none" w:color="000000" w:sz="4"/>
                    <w:left w:val="none" w:color="000000" w:sz="4"/>
                    <w:bottom w:val="single" w:color="000000" w:sz="4"/>
                    <w:right w:val="single" w:color="000000" w:sz="4"/>
                  </w:tcBorders>
                  <w:vAlign w:val="top"/>
                </w:tcPr>
                <w:p>
                  <w:pPr>
                    <w:jc w:val="both"/>
                  </w:pPr>
                  <w:r>
                    <w:rPr>
                      <w:sz w:val="21"/>
                    </w:rPr>
                    <w:t>736C0116</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1356-5362</w:t>
                  </w:r>
                </w:p>
              </w:tc>
              <w:tc>
                <w:tcPr>
                  <w:tcW w:type="dxa" w:w="1707"/>
                  <w:tcBorders>
                    <w:top w:val="none" w:color="000000" w:sz="4"/>
                    <w:left w:val="none" w:color="000000" w:sz="4"/>
                    <w:bottom w:val="single" w:color="000000" w:sz="4"/>
                    <w:right w:val="single" w:color="000000" w:sz="4"/>
                  </w:tcBorders>
                  <w:vAlign w:val="top"/>
                </w:tcPr>
                <w:p>
                  <w:pPr>
                    <w:jc w:val="both"/>
                  </w:pPr>
                  <w:r>
                    <w:rPr>
                      <w:sz w:val="21"/>
                    </w:rPr>
                    <w:t>Microelectronics International.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39</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714C0016</w:t>
                  </w:r>
                </w:p>
              </w:tc>
              <w:tc>
                <w:tcPr>
                  <w:tcW w:type="dxa" w:w="621"/>
                  <w:tcBorders>
                    <w:top w:val="none" w:color="000000" w:sz="4"/>
                    <w:left w:val="none" w:color="000000" w:sz="4"/>
                    <w:bottom w:val="single" w:color="000000" w:sz="4"/>
                    <w:right w:val="single" w:color="000000" w:sz="4"/>
                  </w:tcBorders>
                  <w:vAlign w:val="top"/>
                </w:tcPr>
                <w:p>
                  <w:pPr>
                    <w:jc w:val="both"/>
                  </w:pPr>
                  <w:r>
                    <w:rPr>
                      <w:sz w:val="21"/>
                    </w:rPr>
                    <w:t>1367-3270</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Knowledge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10</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40</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294C0037</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1462-6004</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Small Business and Enterprise Development.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7</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41</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297C0161</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1463-578X</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Property Investment and Finance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42</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480B0219</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1465-4253</w:t>
                  </w:r>
                </w:p>
              </w:tc>
              <w:tc>
                <w:tcPr>
                  <w:tcW w:type="dxa" w:w="1707"/>
                  <w:tcBorders>
                    <w:top w:val="none" w:color="000000" w:sz="4"/>
                    <w:left w:val="none" w:color="000000" w:sz="4"/>
                    <w:bottom w:val="single" w:color="000000" w:sz="4"/>
                    <w:right w:val="single" w:color="000000" w:sz="4"/>
                  </w:tcBorders>
                  <w:vAlign w:val="top"/>
                </w:tcPr>
                <w:p>
                  <w:pPr>
                    <w:jc w:val="both"/>
                  </w:pPr>
                  <w:r>
                    <w:rPr>
                      <w:sz w:val="21"/>
                    </w:rPr>
                    <w:t>Afterall.</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University of Chicago Press.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43</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714C0015</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1469-1930</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Intellectual Capital.</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44</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297C0520</w:t>
                  </w:r>
                </w:p>
              </w:tc>
              <w:tc>
                <w:tcPr>
                  <w:tcW w:type="dxa" w:w="621"/>
                  <w:tcBorders>
                    <w:top w:val="none" w:color="000000" w:sz="4"/>
                    <w:left w:val="none" w:color="000000" w:sz="4"/>
                    <w:bottom w:val="single" w:color="000000" w:sz="4"/>
                    <w:right w:val="single" w:color="000000" w:sz="4"/>
                  </w:tcBorders>
                  <w:vAlign w:val="top"/>
                </w:tcPr>
                <w:p>
                  <w:pPr>
                    <w:jc w:val="both"/>
                  </w:pPr>
                  <w:r>
                    <w:rPr>
                      <w:sz w:val="21"/>
                    </w:rPr>
                    <w:t>1526-5943</w:t>
                  </w:r>
                </w:p>
              </w:tc>
              <w:tc>
                <w:tcPr>
                  <w:tcW w:type="dxa" w:w="1707"/>
                  <w:tcBorders>
                    <w:top w:val="none" w:color="000000" w:sz="4"/>
                    <w:left w:val="none" w:color="000000" w:sz="4"/>
                    <w:bottom w:val="single" w:color="000000" w:sz="4"/>
                    <w:right w:val="single" w:color="000000" w:sz="4"/>
                  </w:tcBorders>
                  <w:vAlign w:val="top"/>
                </w:tcPr>
                <w:p>
                  <w:pPr>
                    <w:jc w:val="both"/>
                  </w:pPr>
                  <w:r>
                    <w:rPr>
                      <w:sz w:val="21"/>
                    </w:rPr>
                    <w:t>The Journal of Risk Finance.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5</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45</w:t>
                  </w:r>
                </w:p>
              </w:tc>
              <w:tc>
                <w:tcPr>
                  <w:tcW w:type="dxa" w:w="661"/>
                  <w:tcBorders>
                    <w:top w:val="none" w:color="000000" w:sz="4"/>
                    <w:left w:val="none" w:color="000000" w:sz="4"/>
                    <w:bottom w:val="single" w:color="000000" w:sz="4"/>
                    <w:right w:val="single" w:color="000000" w:sz="4"/>
                  </w:tcBorders>
                  <w:vAlign w:val="top"/>
                </w:tcPr>
                <w:p>
                  <w:pPr>
                    <w:jc w:val="both"/>
                  </w:pPr>
                  <w:r>
                    <w:rPr>
                      <w:sz w:val="21"/>
                    </w:rPr>
                    <w:t>380B0323</w:t>
                  </w:r>
                </w:p>
              </w:tc>
              <w:tc>
                <w:tcPr>
                  <w:tcW w:type="dxa" w:w="621"/>
                  <w:tcBorders>
                    <w:top w:val="none" w:color="000000" w:sz="4"/>
                    <w:left w:val="none" w:color="000000" w:sz="4"/>
                    <w:bottom w:val="single" w:color="000000" w:sz="4"/>
                    <w:right w:val="single" w:color="000000" w:sz="4"/>
                  </w:tcBorders>
                  <w:vAlign w:val="top"/>
                </w:tcPr>
                <w:p>
                  <w:pPr>
                    <w:jc w:val="both"/>
                  </w:pPr>
                  <w:r>
                    <w:rPr>
                      <w:sz w:val="21"/>
                    </w:rPr>
                    <w:t>1534-8458</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Language, Identity, and Education.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Taylor &amp; Francis Group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710B0397/IP</w:t>
                  </w:r>
                </w:p>
              </w:tc>
              <w:tc>
                <w:tcPr>
                  <w:tcW w:type="dxa" w:w="621"/>
                  <w:tcBorders>
                    <w:top w:val="none" w:color="000000" w:sz="4"/>
                    <w:left w:val="none" w:color="000000" w:sz="4"/>
                    <w:bottom w:val="single" w:color="000000" w:sz="4"/>
                    <w:right w:val="single" w:color="000000" w:sz="4"/>
                  </w:tcBorders>
                  <w:vAlign w:val="top"/>
                </w:tcPr>
                <w:p>
                  <w:pPr>
                    <w:jc w:val="both"/>
                  </w:pPr>
                  <w:r>
                    <w:rPr>
                      <w:sz w:val="21"/>
                    </w:rPr>
                    <w:t>2641-0923</w:t>
                  </w:r>
                </w:p>
              </w:tc>
              <w:tc>
                <w:tcPr>
                  <w:tcW w:type="dxa" w:w="1707"/>
                  <w:tcBorders>
                    <w:top w:val="none" w:color="000000" w:sz="4"/>
                    <w:left w:val="none" w:color="000000" w:sz="4"/>
                    <w:bottom w:val="single" w:color="000000" w:sz="4"/>
                    <w:right w:val="single" w:color="000000" w:sz="4"/>
                  </w:tcBorders>
                  <w:vAlign w:val="top"/>
                </w:tcPr>
                <w:p>
                  <w:pPr>
                    <w:jc w:val="both"/>
                  </w:pPr>
                  <w:r>
                    <w:rPr>
                      <w:sz w:val="21"/>
                    </w:rPr>
                    <w:t>International Journal of Quality Control and Standards in Science and Engineering.</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IGI Global</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47</w:t>
                  </w:r>
                </w:p>
              </w:tc>
              <w:tc>
                <w:tcPr>
                  <w:tcW w:type="dxa" w:w="661"/>
                  <w:tcBorders>
                    <w:top w:val="none" w:color="000000" w:sz="4"/>
                    <w:left w:val="none" w:color="000000" w:sz="4"/>
                    <w:bottom w:val="single" w:color="000000" w:sz="4"/>
                    <w:right w:val="single" w:color="000000" w:sz="4"/>
                  </w:tcBorders>
                  <w:vAlign w:val="top"/>
                </w:tcPr>
                <w:p>
                  <w:pPr>
                    <w:jc w:val="both"/>
                  </w:pPr>
                  <w:r>
                    <w:rPr>
                      <w:sz w:val="21"/>
                    </w:rPr>
                    <w:t>510NA056-A</w:t>
                  </w:r>
                </w:p>
              </w:tc>
              <w:tc>
                <w:tcPr>
                  <w:tcW w:type="dxa" w:w="621"/>
                  <w:tcBorders>
                    <w:top w:val="none" w:color="000000" w:sz="4"/>
                    <w:left w:val="none" w:color="000000" w:sz="4"/>
                    <w:bottom w:val="single" w:color="000000" w:sz="4"/>
                    <w:right w:val="single" w:color="000000" w:sz="4"/>
                  </w:tcBorders>
                  <w:vAlign w:val="top"/>
                </w:tcPr>
                <w:p>
                  <w:pPr>
                    <w:jc w:val="both"/>
                  </w:pPr>
                  <w:r>
                    <w:rPr>
                      <w:sz w:val="21"/>
                    </w:rPr>
                    <w:t>1201-3390</w:t>
                  </w:r>
                </w:p>
              </w:tc>
              <w:tc>
                <w:tcPr>
                  <w:tcW w:type="dxa" w:w="1707"/>
                  <w:tcBorders>
                    <w:top w:val="none" w:color="000000" w:sz="4"/>
                    <w:left w:val="none" w:color="000000" w:sz="4"/>
                    <w:bottom w:val="single" w:color="000000" w:sz="4"/>
                    <w:right w:val="single" w:color="000000" w:sz="4"/>
                  </w:tcBorders>
                  <w:vAlign w:val="top"/>
                </w:tcPr>
                <w:p>
                  <w:pPr>
                    <w:jc w:val="both"/>
                  </w:pPr>
                  <w:r>
                    <w:rPr>
                      <w:sz w:val="21"/>
                    </w:rPr>
                    <w:t>Dynamics of Continuous, Discrete and Impulsive Systems: Series A: Mathematical Analysis.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DCDIS Journal.</w:t>
                  </w:r>
                </w:p>
              </w:tc>
            </w:tr>
          </w:tbl>
          <w:p>
            <w:pPr>
              <w:jc w:val="both"/>
            </w:pPr>
          </w:p>
          <w:p>
            <w:pPr>
              <w:ind w:firstLine="420"/>
            </w:pPr>
            <w:r>
              <w:rPr>
                <w:sz w:val="21"/>
              </w:rPr>
              <w:t>4.</w:t>
            </w:r>
            <w:r>
              <w:rPr>
                <w:sz w:val="21"/>
              </w:rPr>
              <w:t>2024</w:t>
            </w:r>
            <w:r>
              <w:rPr>
                <w:sz w:val="21"/>
              </w:rPr>
              <w:t>年原版港台期刊订单</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996"/>
              <w:gridCol w:w="1752"/>
              <w:gridCol w:w="996"/>
              <w:gridCol w:w="1084"/>
              <w:gridCol w:w="453"/>
            </w:tblGrid>
            <w:tr>
              <w:tc>
                <w:tcPr>
                  <w:tcW w:type="dxa" w:w="27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996"/>
                  <w:tcBorders>
                    <w:top w:val="single" w:color="000000" w:sz="4"/>
                    <w:left w:val="none" w:color="000000" w:sz="4"/>
                    <w:bottom w:val="single" w:color="000000" w:sz="4"/>
                    <w:right w:val="single" w:color="000000" w:sz="4"/>
                  </w:tcBorders>
                  <w:vAlign w:val="top"/>
                </w:tcPr>
                <w:p>
                  <w:pPr>
                    <w:jc w:val="both"/>
                  </w:pPr>
                  <w:r>
                    <w:rPr>
                      <w:sz w:val="21"/>
                    </w:rPr>
                    <w:t>中图刊号</w:t>
                  </w:r>
                </w:p>
              </w:tc>
              <w:tc>
                <w:tcPr>
                  <w:tcW w:type="dxa" w:w="1752"/>
                  <w:tcBorders>
                    <w:top w:val="single" w:color="000000" w:sz="4"/>
                    <w:left w:val="none" w:color="000000" w:sz="4"/>
                    <w:bottom w:val="single" w:color="000000" w:sz="4"/>
                    <w:right w:val="single" w:color="000000" w:sz="4"/>
                  </w:tcBorders>
                  <w:vAlign w:val="top"/>
                </w:tcPr>
                <w:p>
                  <w:pPr>
                    <w:jc w:val="both"/>
                  </w:pPr>
                  <w:r>
                    <w:rPr>
                      <w:sz w:val="21"/>
                    </w:rPr>
                    <w:t>刊名</w:t>
                  </w:r>
                </w:p>
              </w:tc>
              <w:tc>
                <w:tcPr>
                  <w:tcW w:type="dxa" w:w="996"/>
                  <w:tcBorders>
                    <w:top w:val="single" w:color="000000" w:sz="4"/>
                    <w:left w:val="none" w:color="000000" w:sz="4"/>
                    <w:bottom w:val="single" w:color="000000" w:sz="4"/>
                    <w:right w:val="single" w:color="000000" w:sz="4"/>
                  </w:tcBorders>
                  <w:vAlign w:val="top"/>
                </w:tcPr>
                <w:p>
                  <w:pPr>
                    <w:jc w:val="both"/>
                  </w:pPr>
                  <w:r>
                    <w:rPr>
                      <w:sz w:val="21"/>
                    </w:rPr>
                    <w:t>简体字刊名</w:t>
                  </w:r>
                </w:p>
              </w:tc>
              <w:tc>
                <w:tcPr>
                  <w:tcW w:type="dxa" w:w="1084"/>
                  <w:tcBorders>
                    <w:top w:val="single" w:color="000000" w:sz="4"/>
                    <w:left w:val="none" w:color="000000" w:sz="4"/>
                    <w:bottom w:val="single" w:color="000000" w:sz="4"/>
                    <w:right w:val="single" w:color="000000" w:sz="4"/>
                  </w:tcBorders>
                  <w:vAlign w:val="top"/>
                </w:tcPr>
                <w:p>
                  <w:pPr>
                    <w:jc w:val="both"/>
                  </w:pPr>
                  <w:r>
                    <w:rPr>
                      <w:sz w:val="21"/>
                    </w:rPr>
                    <w:t>出版社</w:t>
                  </w:r>
                </w:p>
              </w:tc>
              <w:tc>
                <w:tcPr>
                  <w:tcW w:type="dxa" w:w="453"/>
                  <w:tcBorders>
                    <w:top w:val="single" w:color="000000" w:sz="4"/>
                    <w:left w:val="none" w:color="000000" w:sz="4"/>
                    <w:bottom w:val="single" w:color="000000" w:sz="4"/>
                    <w:right w:val="single" w:color="000000" w:sz="4"/>
                  </w:tcBorders>
                  <w:vAlign w:val="top"/>
                </w:tcPr>
                <w:p>
                  <w:pPr>
                    <w:jc w:val="both"/>
                  </w:pPr>
                  <w:r>
                    <w:rPr>
                      <w:sz w:val="21"/>
                    </w:rPr>
                    <w:t>频率</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294X0062</w:t>
                  </w:r>
                </w:p>
              </w:tc>
              <w:tc>
                <w:tcPr>
                  <w:tcW w:type="dxa" w:w="1752"/>
                  <w:tcBorders>
                    <w:top w:val="none" w:color="000000" w:sz="4"/>
                    <w:left w:val="none" w:color="000000" w:sz="4"/>
                    <w:bottom w:val="single" w:color="000000" w:sz="4"/>
                    <w:right w:val="single" w:color="000000" w:sz="4"/>
                  </w:tcBorders>
                  <w:vAlign w:val="top"/>
                </w:tcPr>
                <w:p>
                  <w:pPr>
                    <w:jc w:val="both"/>
                  </w:pPr>
                  <w:r>
                    <w:rPr>
                      <w:sz w:val="21"/>
                    </w:rPr>
                    <w:t>天下雜誌</w:t>
                  </w:r>
                  <w:r>
                    <w:rPr>
                      <w:sz w:val="21"/>
                    </w:rPr>
                    <w:t>/Common Weaslth.</w:t>
                  </w:r>
                </w:p>
              </w:tc>
              <w:tc>
                <w:tcPr>
                  <w:tcW w:type="dxa" w:w="996"/>
                  <w:tcBorders>
                    <w:top w:val="none" w:color="000000" w:sz="4"/>
                    <w:left w:val="none" w:color="000000" w:sz="4"/>
                    <w:bottom w:val="single" w:color="000000" w:sz="4"/>
                    <w:right w:val="single" w:color="000000" w:sz="4"/>
                  </w:tcBorders>
                  <w:vAlign w:val="top"/>
                </w:tcPr>
                <w:p>
                  <w:pPr>
                    <w:jc w:val="both"/>
                  </w:pPr>
                  <w:r>
                    <w:rPr>
                      <w:sz w:val="21"/>
                    </w:rPr>
                    <w:t>《天下杂志》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天下雜誌股份有限公司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25</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200X0037</w:t>
                  </w:r>
                </w:p>
              </w:tc>
              <w:tc>
                <w:tcPr>
                  <w:tcW w:type="dxa" w:w="1752"/>
                  <w:tcBorders>
                    <w:top w:val="none" w:color="000000" w:sz="4"/>
                    <w:left w:val="none" w:color="000000" w:sz="4"/>
                    <w:bottom w:val="single" w:color="000000" w:sz="4"/>
                    <w:right w:val="single" w:color="000000" w:sz="4"/>
                  </w:tcBorders>
                  <w:vAlign w:val="top"/>
                </w:tcPr>
                <w:p>
                  <w:pPr>
                    <w:jc w:val="both"/>
                  </w:pPr>
                  <w:r>
                    <w:rPr>
                      <w:sz w:val="21"/>
                    </w:rPr>
                    <w:t>臺灣風物</w:t>
                  </w:r>
                  <w:r>
                    <w:rPr>
                      <w:sz w:val="21"/>
                    </w:rPr>
                    <w:t>/Taiwan Folkways.</w:t>
                  </w:r>
                </w:p>
              </w:tc>
              <w:tc>
                <w:tcPr>
                  <w:tcW w:type="dxa" w:w="996"/>
                  <w:tcBorders>
                    <w:top w:val="none" w:color="000000" w:sz="4"/>
                    <w:left w:val="none" w:color="000000" w:sz="4"/>
                    <w:bottom w:val="single" w:color="000000" w:sz="4"/>
                    <w:right w:val="single" w:color="000000" w:sz="4"/>
                  </w:tcBorders>
                  <w:vAlign w:val="top"/>
                </w:tcPr>
                <w:p>
                  <w:pPr>
                    <w:jc w:val="both"/>
                  </w:pPr>
                  <w:r>
                    <w:rPr>
                      <w:sz w:val="21"/>
                    </w:rPr>
                    <w:t>《台湾风物》</w:t>
                  </w:r>
                </w:p>
              </w:tc>
              <w:tc>
                <w:tcPr>
                  <w:tcW w:type="dxa" w:w="1084"/>
                  <w:tcBorders>
                    <w:top w:val="none" w:color="000000" w:sz="4"/>
                    <w:left w:val="none" w:color="000000" w:sz="4"/>
                    <w:bottom w:val="single" w:color="000000" w:sz="4"/>
                    <w:right w:val="single" w:color="000000" w:sz="4"/>
                  </w:tcBorders>
                  <w:vAlign w:val="top"/>
                </w:tcPr>
                <w:p>
                  <w:pPr>
                    <w:jc w:val="both"/>
                  </w:pPr>
                  <w:r>
                    <w:rPr>
                      <w:sz w:val="21"/>
                    </w:rPr>
                    <w:t>汉声杂志社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200X0100</w:t>
                  </w:r>
                </w:p>
              </w:tc>
              <w:tc>
                <w:tcPr>
                  <w:tcW w:type="dxa" w:w="1752"/>
                  <w:tcBorders>
                    <w:top w:val="none" w:color="000000" w:sz="4"/>
                    <w:left w:val="none" w:color="000000" w:sz="4"/>
                    <w:bottom w:val="single" w:color="000000" w:sz="4"/>
                    <w:right w:val="single" w:color="000000" w:sz="4"/>
                  </w:tcBorders>
                  <w:vAlign w:val="top"/>
                </w:tcPr>
                <w:p>
                  <w:pPr>
                    <w:jc w:val="both"/>
                  </w:pPr>
                  <w:r>
                    <w:rPr>
                      <w:sz w:val="21"/>
                    </w:rPr>
                    <w:t>汉声</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《汉声》</w:t>
                  </w:r>
                </w:p>
              </w:tc>
              <w:tc>
                <w:tcPr>
                  <w:tcW w:type="dxa" w:w="1084"/>
                  <w:tcBorders>
                    <w:top w:val="none" w:color="000000" w:sz="4"/>
                    <w:left w:val="none" w:color="000000" w:sz="4"/>
                    <w:bottom w:val="single" w:color="000000" w:sz="4"/>
                    <w:right w:val="single" w:color="000000" w:sz="4"/>
                  </w:tcBorders>
                  <w:vAlign w:val="top"/>
                </w:tcPr>
                <w:p>
                  <w:pPr>
                    <w:jc w:val="both"/>
                  </w:pPr>
                </w:p>
              </w:tc>
              <w:tc>
                <w:tcPr>
                  <w:tcW w:type="dxa" w:w="453"/>
                  <w:tcBorders>
                    <w:top w:val="none" w:color="000000" w:sz="4"/>
                    <w:left w:val="none" w:color="000000" w:sz="4"/>
                    <w:bottom w:val="single" w:color="000000" w:sz="4"/>
                    <w:right w:val="single" w:color="000000" w:sz="4"/>
                  </w:tcBorders>
                  <w:vAlign w:val="top"/>
                </w:tcPr>
                <w:p>
                  <w:pPr>
                    <w:jc w:val="both"/>
                  </w:pPr>
                  <w:r>
                    <w:rPr>
                      <w:sz w:val="21"/>
                    </w:rPr>
                    <w:t>1</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4</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200X0127</w:t>
                  </w:r>
                </w:p>
              </w:tc>
              <w:tc>
                <w:tcPr>
                  <w:tcW w:type="dxa" w:w="1752"/>
                  <w:tcBorders>
                    <w:top w:val="none" w:color="000000" w:sz="4"/>
                    <w:left w:val="none" w:color="000000" w:sz="4"/>
                    <w:bottom w:val="single" w:color="000000" w:sz="4"/>
                    <w:right w:val="single" w:color="000000" w:sz="4"/>
                  </w:tcBorders>
                  <w:vAlign w:val="top"/>
                </w:tcPr>
                <w:p>
                  <w:pPr>
                    <w:jc w:val="both"/>
                  </w:pPr>
                  <w:r>
                    <w:rPr>
                      <w:sz w:val="21"/>
                    </w:rPr>
                    <w:t>漢學研究</w:t>
                  </w:r>
                  <w:r>
                    <w:rPr>
                      <w:sz w:val="21"/>
                    </w:rPr>
                    <w:t>/Chinese Studies.</w:t>
                  </w:r>
                </w:p>
              </w:tc>
              <w:tc>
                <w:tcPr>
                  <w:tcW w:type="dxa" w:w="996"/>
                  <w:tcBorders>
                    <w:top w:val="none" w:color="000000" w:sz="4"/>
                    <w:left w:val="none" w:color="000000" w:sz="4"/>
                    <w:bottom w:val="single" w:color="000000" w:sz="4"/>
                    <w:right w:val="single" w:color="000000" w:sz="4"/>
                  </w:tcBorders>
                  <w:vAlign w:val="top"/>
                </w:tcPr>
                <w:p>
                  <w:pPr>
                    <w:jc w:val="both"/>
                  </w:pPr>
                  <w:r>
                    <w:rPr>
                      <w:sz w:val="21"/>
                    </w:rPr>
                    <w:t>《汉学研究》</w:t>
                  </w:r>
                </w:p>
              </w:tc>
              <w:tc>
                <w:tcPr>
                  <w:tcW w:type="dxa" w:w="1084"/>
                  <w:tcBorders>
                    <w:top w:val="none" w:color="000000" w:sz="4"/>
                    <w:left w:val="none" w:color="000000" w:sz="4"/>
                    <w:bottom w:val="single" w:color="000000" w:sz="4"/>
                    <w:right w:val="single" w:color="000000" w:sz="4"/>
                  </w:tcBorders>
                  <w:vAlign w:val="top"/>
                </w:tcPr>
                <w:p>
                  <w:pPr>
                    <w:jc w:val="both"/>
                  </w:pPr>
                  <w:r>
                    <w:rPr>
                      <w:sz w:val="21"/>
                    </w:rPr>
                    <w:t>漢學研究中心</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5</w:t>
                  </w:r>
                </w:p>
              </w:tc>
              <w:tc>
                <w:tcPr>
                  <w:tcW w:type="dxa" w:w="996"/>
                  <w:tcBorders>
                    <w:top w:val="none" w:color="000000" w:sz="4"/>
                    <w:left w:val="none" w:color="000000" w:sz="4"/>
                    <w:bottom w:val="single" w:color="000000" w:sz="4"/>
                    <w:right w:val="single" w:color="000000" w:sz="4"/>
                  </w:tcBorders>
                  <w:vAlign w:val="top"/>
                </w:tcPr>
                <w:p>
                  <w:pPr>
                    <w:jc w:val="both"/>
                  </w:pPr>
                  <w:r>
                    <w:rPr>
                      <w:sz w:val="21"/>
                    </w:rPr>
                    <w:t>210X0003</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中央研究院近代史研究所集刊</w:t>
                  </w:r>
                  <w:r>
                    <w:rPr>
                      <w:sz w:val="21"/>
                    </w:rPr>
                    <w:t>/Bulletin of the Institute of Modern History Academia Sinica.</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《中央研究院近代史研究所集刊》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中央研究院近代史研究所</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6</w:t>
                  </w:r>
                </w:p>
              </w:tc>
              <w:tc>
                <w:tcPr>
                  <w:tcW w:type="dxa" w:w="996"/>
                  <w:tcBorders>
                    <w:top w:val="none" w:color="000000" w:sz="4"/>
                    <w:left w:val="none" w:color="000000" w:sz="4"/>
                    <w:bottom w:val="single" w:color="000000" w:sz="4"/>
                    <w:right w:val="single" w:color="000000" w:sz="4"/>
                  </w:tcBorders>
                  <w:vAlign w:val="top"/>
                </w:tcPr>
                <w:p>
                  <w:pPr>
                    <w:jc w:val="both"/>
                  </w:pPr>
                  <w:r>
                    <w:rPr>
                      <w:sz w:val="21"/>
                    </w:rPr>
                    <w:t>261X0001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傳記文學</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《传记文学》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傳記文學出版社股份有限公司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7</w:t>
                  </w:r>
                </w:p>
              </w:tc>
              <w:tc>
                <w:tcPr>
                  <w:tcW w:type="dxa" w:w="996"/>
                  <w:tcBorders>
                    <w:top w:val="none" w:color="000000" w:sz="4"/>
                    <w:left w:val="none" w:color="000000" w:sz="4"/>
                    <w:bottom w:val="single" w:color="000000" w:sz="4"/>
                    <w:right w:val="single" w:color="000000" w:sz="4"/>
                  </w:tcBorders>
                  <w:vAlign w:val="top"/>
                </w:tcPr>
                <w:p>
                  <w:pPr>
                    <w:jc w:val="both"/>
                  </w:pPr>
                  <w:r>
                    <w:rPr>
                      <w:sz w:val="21"/>
                    </w:rPr>
                    <w:t>270X0043</w:t>
                  </w:r>
                </w:p>
              </w:tc>
              <w:tc>
                <w:tcPr>
                  <w:tcW w:type="dxa" w:w="1752"/>
                  <w:tcBorders>
                    <w:top w:val="none" w:color="000000" w:sz="4"/>
                    <w:left w:val="none" w:color="000000" w:sz="4"/>
                    <w:bottom w:val="single" w:color="000000" w:sz="4"/>
                    <w:right w:val="single" w:color="000000" w:sz="4"/>
                  </w:tcBorders>
                  <w:vAlign w:val="top"/>
                </w:tcPr>
                <w:p>
                  <w:pPr>
                    <w:jc w:val="both"/>
                  </w:pPr>
                  <w:r>
                    <w:rPr>
                      <w:sz w:val="21"/>
                    </w:rPr>
                    <w:t>經濟前瞻</w:t>
                  </w:r>
                  <w:r>
                    <w:rPr>
                      <w:sz w:val="21"/>
                    </w:rPr>
                    <w:t>/Economic Outlook Bimonthly.</w:t>
                  </w:r>
                </w:p>
              </w:tc>
              <w:tc>
                <w:tcPr>
                  <w:tcW w:type="dxa" w:w="996"/>
                  <w:tcBorders>
                    <w:top w:val="none" w:color="000000" w:sz="4"/>
                    <w:left w:val="none" w:color="000000" w:sz="4"/>
                    <w:bottom w:val="single" w:color="000000" w:sz="4"/>
                    <w:right w:val="single" w:color="000000" w:sz="4"/>
                  </w:tcBorders>
                  <w:vAlign w:val="top"/>
                </w:tcPr>
                <w:p>
                  <w:pPr>
                    <w:jc w:val="both"/>
                  </w:pPr>
                  <w:r>
                    <w:rPr>
                      <w:sz w:val="21"/>
                    </w:rPr>
                    <w:t>《经济前瞻》</w:t>
                  </w:r>
                </w:p>
              </w:tc>
              <w:tc>
                <w:tcPr>
                  <w:tcW w:type="dxa" w:w="1084"/>
                  <w:tcBorders>
                    <w:top w:val="none" w:color="000000" w:sz="4"/>
                    <w:left w:val="none" w:color="000000" w:sz="4"/>
                    <w:bottom w:val="single" w:color="000000" w:sz="4"/>
                    <w:right w:val="single" w:color="000000" w:sz="4"/>
                  </w:tcBorders>
                  <w:vAlign w:val="top"/>
                </w:tcPr>
                <w:p>
                  <w:pPr>
                    <w:jc w:val="both"/>
                  </w:pPr>
                  <w:r>
                    <w:rPr>
                      <w:sz w:val="21"/>
                    </w:rPr>
                    <w:t>財團法人中華經濟研究院</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6</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8</w:t>
                  </w:r>
                </w:p>
              </w:tc>
              <w:tc>
                <w:tcPr>
                  <w:tcW w:type="dxa" w:w="996"/>
                  <w:tcBorders>
                    <w:top w:val="none" w:color="000000" w:sz="4"/>
                    <w:left w:val="none" w:color="000000" w:sz="4"/>
                    <w:bottom w:val="single" w:color="000000" w:sz="4"/>
                    <w:right w:val="single" w:color="000000" w:sz="4"/>
                  </w:tcBorders>
                  <w:vAlign w:val="top"/>
                </w:tcPr>
                <w:p>
                  <w:pPr>
                    <w:jc w:val="both"/>
                  </w:pPr>
                  <w:r>
                    <w:rPr>
                      <w:sz w:val="21"/>
                    </w:rPr>
                    <w:t>270Y0001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經濟導報</w:t>
                  </w:r>
                  <w:r>
                    <w:rPr>
                      <w:sz w:val="21"/>
                    </w:rPr>
                    <w:t>/Economic Reporter.</w:t>
                  </w:r>
                </w:p>
              </w:tc>
              <w:tc>
                <w:tcPr>
                  <w:tcW w:type="dxa" w:w="996"/>
                  <w:tcBorders>
                    <w:top w:val="none" w:color="000000" w:sz="4"/>
                    <w:left w:val="none" w:color="000000" w:sz="4"/>
                    <w:bottom w:val="single" w:color="000000" w:sz="4"/>
                    <w:right w:val="single" w:color="000000" w:sz="4"/>
                  </w:tcBorders>
                  <w:vAlign w:val="top"/>
                </w:tcPr>
                <w:p>
                  <w:pPr>
                    <w:jc w:val="both"/>
                  </w:pPr>
                  <w:r>
                    <w:rPr>
                      <w:sz w:val="21"/>
                    </w:rPr>
                    <w:t>《经济导报》</w:t>
                  </w:r>
                </w:p>
              </w:tc>
              <w:tc>
                <w:tcPr>
                  <w:tcW w:type="dxa" w:w="1084"/>
                  <w:tcBorders>
                    <w:top w:val="none" w:color="000000" w:sz="4"/>
                    <w:left w:val="none" w:color="000000" w:sz="4"/>
                    <w:bottom w:val="single" w:color="000000" w:sz="4"/>
                    <w:right w:val="single" w:color="000000" w:sz="4"/>
                  </w:tcBorders>
                  <w:vAlign w:val="top"/>
                </w:tcPr>
                <w:p>
                  <w:pPr>
                    <w:jc w:val="both"/>
                  </w:pPr>
                  <w:r>
                    <w:rPr>
                      <w:sz w:val="21"/>
                    </w:rPr>
                    <w:t>經濟導報社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9</w:t>
                  </w:r>
                </w:p>
              </w:tc>
              <w:tc>
                <w:tcPr>
                  <w:tcW w:type="dxa" w:w="996"/>
                  <w:tcBorders>
                    <w:top w:val="none" w:color="000000" w:sz="4"/>
                    <w:left w:val="none" w:color="000000" w:sz="4"/>
                    <w:bottom w:val="single" w:color="000000" w:sz="4"/>
                    <w:right w:val="single" w:color="000000" w:sz="4"/>
                  </w:tcBorders>
                  <w:vAlign w:val="top"/>
                </w:tcPr>
                <w:p>
                  <w:pPr>
                    <w:jc w:val="both"/>
                  </w:pPr>
                  <w:r>
                    <w:rPr>
                      <w:sz w:val="21"/>
                    </w:rPr>
                    <w:t>291X0004</w:t>
                  </w:r>
                </w:p>
              </w:tc>
              <w:tc>
                <w:tcPr>
                  <w:tcW w:type="dxa" w:w="1752"/>
                  <w:tcBorders>
                    <w:top w:val="none" w:color="000000" w:sz="4"/>
                    <w:left w:val="none" w:color="000000" w:sz="4"/>
                    <w:bottom w:val="single" w:color="000000" w:sz="4"/>
                    <w:right w:val="single" w:color="000000" w:sz="4"/>
                  </w:tcBorders>
                  <w:vAlign w:val="top"/>
                </w:tcPr>
                <w:p>
                  <w:pPr>
                    <w:jc w:val="both"/>
                  </w:pPr>
                  <w:r>
                    <w:rPr>
                      <w:sz w:val="21"/>
                    </w:rPr>
                    <w:t>哈佛商業評論中文版</w:t>
                  </w:r>
                  <w:r>
                    <w:rPr>
                      <w:sz w:val="21"/>
                    </w:rPr>
                    <w:t>/Harvard Business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《哈佛商业评论》</w:t>
                  </w:r>
                </w:p>
              </w:tc>
              <w:tc>
                <w:tcPr>
                  <w:tcW w:type="dxa" w:w="1084"/>
                  <w:tcBorders>
                    <w:top w:val="none" w:color="000000" w:sz="4"/>
                    <w:left w:val="none" w:color="000000" w:sz="4"/>
                    <w:bottom w:val="single" w:color="000000" w:sz="4"/>
                    <w:right w:val="single" w:color="000000" w:sz="4"/>
                  </w:tcBorders>
                  <w:vAlign w:val="top"/>
                </w:tcPr>
                <w:p>
                  <w:pPr>
                    <w:jc w:val="both"/>
                  </w:pPr>
                  <w:r>
                    <w:rPr>
                      <w:sz w:val="21"/>
                    </w:rPr>
                    <w:t>資訊傳真股份有限公司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10</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294X0012</w:t>
                  </w:r>
                </w:p>
              </w:tc>
              <w:tc>
                <w:tcPr>
                  <w:tcW w:type="dxa" w:w="1752"/>
                  <w:tcBorders>
                    <w:top w:val="none" w:color="000000" w:sz="4"/>
                    <w:left w:val="none" w:color="000000" w:sz="4"/>
                    <w:bottom w:val="single" w:color="000000" w:sz="4"/>
                    <w:right w:val="single" w:color="000000" w:sz="4"/>
                  </w:tcBorders>
                  <w:vAlign w:val="top"/>
                </w:tcPr>
                <w:p>
                  <w:pPr>
                    <w:jc w:val="both"/>
                  </w:pPr>
                  <w:r>
                    <w:rPr>
                      <w:sz w:val="21"/>
                    </w:rPr>
                    <w:t>貿易雜誌</w:t>
                  </w:r>
                  <w:r>
                    <w:rPr>
                      <w:sz w:val="21"/>
                    </w:rPr>
                    <w:t>/Trade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《贸易杂志》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臺北市進出口商業同業公會</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11</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294X0069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商業周刊</w:t>
                  </w:r>
                  <w:r>
                    <w:rPr>
                      <w:sz w:val="21"/>
                    </w:rPr>
                    <w:t>/Business Weekly.</w:t>
                  </w:r>
                </w:p>
              </w:tc>
              <w:tc>
                <w:tcPr>
                  <w:tcW w:type="dxa" w:w="996"/>
                  <w:tcBorders>
                    <w:top w:val="none" w:color="000000" w:sz="4"/>
                    <w:left w:val="none" w:color="000000" w:sz="4"/>
                    <w:bottom w:val="single" w:color="000000" w:sz="4"/>
                    <w:right w:val="single" w:color="000000" w:sz="4"/>
                  </w:tcBorders>
                  <w:vAlign w:val="top"/>
                </w:tcPr>
                <w:p>
                  <w:pPr>
                    <w:jc w:val="both"/>
                  </w:pPr>
                  <w:r>
                    <w:rPr>
                      <w:sz w:val="21"/>
                    </w:rPr>
                    <w:t>《商业周刊》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商周文化事業股份有限公司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52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12</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294X0083</w:t>
                  </w:r>
                </w:p>
              </w:tc>
              <w:tc>
                <w:tcPr>
                  <w:tcW w:type="dxa" w:w="1752"/>
                  <w:tcBorders>
                    <w:top w:val="none" w:color="000000" w:sz="4"/>
                    <w:left w:val="none" w:color="000000" w:sz="4"/>
                    <w:bottom w:val="single" w:color="000000" w:sz="4"/>
                    <w:right w:val="single" w:color="000000" w:sz="4"/>
                  </w:tcBorders>
                  <w:vAlign w:val="top"/>
                </w:tcPr>
                <w:p>
                  <w:pPr>
                    <w:jc w:val="both"/>
                  </w:pPr>
                  <w:r>
                    <w:rPr>
                      <w:sz w:val="21"/>
                    </w:rPr>
                    <w:t>動腦</w:t>
                  </w:r>
                  <w:r>
                    <w:rPr>
                      <w:sz w:val="21"/>
                    </w:rPr>
                    <w:t>/Brain.</w:t>
                  </w:r>
                </w:p>
              </w:tc>
              <w:tc>
                <w:tcPr>
                  <w:tcW w:type="dxa" w:w="996"/>
                  <w:tcBorders>
                    <w:top w:val="none" w:color="000000" w:sz="4"/>
                    <w:left w:val="none" w:color="000000" w:sz="4"/>
                    <w:bottom w:val="single" w:color="000000" w:sz="4"/>
                    <w:right w:val="single" w:color="000000" w:sz="4"/>
                  </w:tcBorders>
                  <w:vAlign w:val="top"/>
                </w:tcPr>
                <w:p>
                  <w:pPr>
                    <w:jc w:val="both"/>
                  </w:pPr>
                  <w:r>
                    <w:rPr>
                      <w:sz w:val="21"/>
                    </w:rPr>
                    <w:t>《动脑》</w:t>
                  </w:r>
                </w:p>
              </w:tc>
              <w:tc>
                <w:tcPr>
                  <w:tcW w:type="dxa" w:w="1084"/>
                  <w:tcBorders>
                    <w:top w:val="none" w:color="000000" w:sz="4"/>
                    <w:left w:val="none" w:color="000000" w:sz="4"/>
                    <w:bottom w:val="single" w:color="000000" w:sz="4"/>
                    <w:right w:val="single" w:color="000000" w:sz="4"/>
                  </w:tcBorders>
                  <w:vAlign w:val="top"/>
                </w:tcPr>
                <w:p>
                  <w:pPr>
                    <w:jc w:val="both"/>
                  </w:pPr>
                  <w:r>
                    <w:rPr>
                      <w:sz w:val="21"/>
                    </w:rPr>
                    <w:t>動腦雜誌社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13</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294X0084</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廣告雜誌</w:t>
                  </w:r>
                  <w:r>
                    <w:rPr>
                      <w:sz w:val="21"/>
                    </w:rPr>
                    <w:t>/Advertising Age.</w:t>
                  </w:r>
                </w:p>
              </w:tc>
              <w:tc>
                <w:tcPr>
                  <w:tcW w:type="dxa" w:w="996"/>
                  <w:tcBorders>
                    <w:top w:val="none" w:color="000000" w:sz="4"/>
                    <w:left w:val="none" w:color="000000" w:sz="4"/>
                    <w:bottom w:val="single" w:color="000000" w:sz="4"/>
                    <w:right w:val="single" w:color="000000" w:sz="4"/>
                  </w:tcBorders>
                  <w:vAlign w:val="top"/>
                </w:tcPr>
                <w:p>
                  <w:pPr>
                    <w:jc w:val="both"/>
                  </w:pPr>
                  <w:r>
                    <w:rPr>
                      <w:sz w:val="21"/>
                    </w:rPr>
                    <w:t>《广告杂志》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滚石文化事业股份有限公司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14</w:t>
                  </w:r>
                </w:p>
              </w:tc>
              <w:tc>
                <w:tcPr>
                  <w:tcW w:type="dxa" w:w="996"/>
                  <w:tcBorders>
                    <w:top w:val="none" w:color="000000" w:sz="4"/>
                    <w:left w:val="none" w:color="000000" w:sz="4"/>
                    <w:bottom w:val="single" w:color="000000" w:sz="4"/>
                    <w:right w:val="single" w:color="000000" w:sz="4"/>
                  </w:tcBorders>
                  <w:vAlign w:val="top"/>
                </w:tcPr>
                <w:p>
                  <w:pPr>
                    <w:jc w:val="both"/>
                  </w:pPr>
                  <w:r>
                    <w:rPr>
                      <w:sz w:val="21"/>
                    </w:rPr>
                    <w:t>297X0009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今週刊</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《今周刊》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金源文化事業股份有限公司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52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15</w:t>
                  </w:r>
                </w:p>
              </w:tc>
              <w:tc>
                <w:tcPr>
                  <w:tcW w:type="dxa" w:w="996"/>
                  <w:tcBorders>
                    <w:top w:val="none" w:color="000000" w:sz="4"/>
                    <w:left w:val="none" w:color="000000" w:sz="4"/>
                    <w:bottom w:val="single" w:color="000000" w:sz="4"/>
                    <w:right w:val="single" w:color="000000" w:sz="4"/>
                  </w:tcBorders>
                  <w:vAlign w:val="top"/>
                </w:tcPr>
                <w:p>
                  <w:pPr>
                    <w:jc w:val="both"/>
                  </w:pPr>
                  <w:r>
                    <w:rPr>
                      <w:sz w:val="21"/>
                    </w:rPr>
                    <w:t>297X0056</w:t>
                  </w:r>
                </w:p>
              </w:tc>
              <w:tc>
                <w:tcPr>
                  <w:tcW w:type="dxa" w:w="1752"/>
                  <w:tcBorders>
                    <w:top w:val="none" w:color="000000" w:sz="4"/>
                    <w:left w:val="none" w:color="000000" w:sz="4"/>
                    <w:bottom w:val="single" w:color="000000" w:sz="4"/>
                    <w:right w:val="single" w:color="000000" w:sz="4"/>
                  </w:tcBorders>
                  <w:vAlign w:val="top"/>
                </w:tcPr>
                <w:p>
                  <w:pPr>
                    <w:jc w:val="both"/>
                  </w:pPr>
                  <w:r>
                    <w:rPr>
                      <w:sz w:val="21"/>
                    </w:rPr>
                    <w:t>財訊</w:t>
                  </w:r>
                  <w:r>
                    <w:rPr>
                      <w:sz w:val="21"/>
                    </w:rPr>
                    <w:t>/Wealth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《财讯》</w:t>
                  </w:r>
                </w:p>
              </w:tc>
              <w:tc>
                <w:tcPr>
                  <w:tcW w:type="dxa" w:w="1084"/>
                  <w:tcBorders>
                    <w:top w:val="none" w:color="000000" w:sz="4"/>
                    <w:left w:val="none" w:color="000000" w:sz="4"/>
                    <w:bottom w:val="single" w:color="000000" w:sz="4"/>
                    <w:right w:val="single" w:color="000000" w:sz="4"/>
                  </w:tcBorders>
                  <w:vAlign w:val="top"/>
                </w:tcPr>
                <w:p>
                  <w:pPr>
                    <w:jc w:val="both"/>
                  </w:pPr>
                  <w:r>
                    <w:rPr>
                      <w:sz w:val="21"/>
                    </w:rPr>
                    <w:t>財訊雜誌社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16</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廣角鏡</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《广角镜》</w:t>
                  </w:r>
                </w:p>
              </w:tc>
              <w:tc>
                <w:tcPr>
                  <w:tcW w:type="dxa" w:w="1084"/>
                  <w:tcBorders>
                    <w:top w:val="none" w:color="000000" w:sz="4"/>
                    <w:left w:val="none" w:color="000000" w:sz="4"/>
                    <w:bottom w:val="single" w:color="000000" w:sz="4"/>
                    <w:right w:val="single" w:color="000000" w:sz="4"/>
                  </w:tcBorders>
                  <w:vAlign w:val="top"/>
                </w:tcPr>
                <w:p>
                  <w:pPr>
                    <w:jc w:val="both"/>
                  </w:pPr>
                  <w:r>
                    <w:rPr>
                      <w:sz w:val="21"/>
                    </w:rPr>
                    <w:t>香港廣角鏡出版社有限公司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17</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300Y0045</w:t>
                  </w:r>
                </w:p>
              </w:tc>
              <w:tc>
                <w:tcPr>
                  <w:tcW w:type="dxa" w:w="1752"/>
                  <w:tcBorders>
                    <w:top w:val="none" w:color="000000" w:sz="4"/>
                    <w:left w:val="none" w:color="000000" w:sz="4"/>
                    <w:bottom w:val="single" w:color="000000" w:sz="4"/>
                    <w:right w:val="single" w:color="000000" w:sz="4"/>
                  </w:tcBorders>
                  <w:vAlign w:val="top"/>
                </w:tcPr>
                <w:p>
                  <w:pPr>
                    <w:jc w:val="both"/>
                  </w:pPr>
                  <w:r>
                    <w:rPr>
                      <w:sz w:val="21"/>
                    </w:rPr>
                    <w:t>鏡報</w:t>
                  </w:r>
                  <w:r>
                    <w:rPr>
                      <w:sz w:val="21"/>
                    </w:rPr>
                    <w:t>/The Mirror.</w:t>
                  </w:r>
                </w:p>
              </w:tc>
              <w:tc>
                <w:tcPr>
                  <w:tcW w:type="dxa" w:w="996"/>
                  <w:tcBorders>
                    <w:top w:val="none" w:color="000000" w:sz="4"/>
                    <w:left w:val="none" w:color="000000" w:sz="4"/>
                    <w:bottom w:val="single" w:color="000000" w:sz="4"/>
                    <w:right w:val="single" w:color="000000" w:sz="4"/>
                  </w:tcBorders>
                  <w:vAlign w:val="top"/>
                </w:tcPr>
                <w:p>
                  <w:pPr>
                    <w:jc w:val="both"/>
                  </w:pPr>
                  <w:r>
                    <w:rPr>
                      <w:sz w:val="21"/>
                    </w:rPr>
                    <w:t>《镜报》</w:t>
                  </w:r>
                </w:p>
              </w:tc>
              <w:tc>
                <w:tcPr>
                  <w:tcW w:type="dxa" w:w="1084"/>
                  <w:tcBorders>
                    <w:top w:val="none" w:color="000000" w:sz="4"/>
                    <w:left w:val="none" w:color="000000" w:sz="4"/>
                    <w:bottom w:val="single" w:color="000000" w:sz="4"/>
                    <w:right w:val="single" w:color="000000" w:sz="4"/>
                  </w:tcBorders>
                  <w:vAlign w:val="top"/>
                </w:tcPr>
                <w:p>
                  <w:pPr>
                    <w:jc w:val="both"/>
                  </w:pPr>
                  <w:r>
                    <w:rPr>
                      <w:sz w:val="21"/>
                    </w:rPr>
                    <w:t>鏡報文化企業有限公司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18</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300Y0054</w:t>
                  </w:r>
                </w:p>
              </w:tc>
              <w:tc>
                <w:tcPr>
                  <w:tcW w:type="dxa" w:w="1752"/>
                  <w:tcBorders>
                    <w:top w:val="none" w:color="000000" w:sz="4"/>
                    <w:left w:val="none" w:color="000000" w:sz="4"/>
                    <w:bottom w:val="single" w:color="000000" w:sz="4"/>
                    <w:right w:val="single" w:color="000000" w:sz="4"/>
                  </w:tcBorders>
                  <w:vAlign w:val="top"/>
                </w:tcPr>
                <w:p>
                  <w:pPr>
                    <w:jc w:val="both"/>
                  </w:pPr>
                  <w:r>
                    <w:rPr>
                      <w:sz w:val="21"/>
                    </w:rPr>
                    <w:t>華人．</w:t>
                  </w:r>
                </w:p>
              </w:tc>
              <w:tc>
                <w:tcPr>
                  <w:tcW w:type="dxa" w:w="996"/>
                  <w:tcBorders>
                    <w:top w:val="none" w:color="000000" w:sz="4"/>
                    <w:left w:val="none" w:color="000000" w:sz="4"/>
                    <w:bottom w:val="single" w:color="000000" w:sz="4"/>
                    <w:right w:val="single" w:color="000000" w:sz="4"/>
                  </w:tcBorders>
                  <w:vAlign w:val="top"/>
                </w:tcPr>
                <w:p>
                  <w:pPr>
                    <w:jc w:val="both"/>
                  </w:pPr>
                  <w:r>
                    <w:rPr>
                      <w:sz w:val="21"/>
                    </w:rPr>
                    <w:t>《华人》</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地平線出版社</w:t>
                  </w:r>
                </w:p>
              </w:tc>
              <w:tc>
                <w:tcPr>
                  <w:tcW w:type="dxa" w:w="453"/>
                  <w:tcBorders>
                    <w:top w:val="none" w:color="000000" w:sz="4"/>
                    <w:left w:val="none" w:color="000000" w:sz="4"/>
                    <w:bottom w:val="single" w:color="000000" w:sz="4"/>
                    <w:right w:val="single" w:color="000000" w:sz="4"/>
                  </w:tcBorders>
                  <w:vAlign w:val="top"/>
                </w:tcPr>
                <w:p>
                  <w:pPr>
                    <w:jc w:val="both"/>
                  </w:pPr>
                  <w:r>
                    <w:rPr>
                      <w:sz w:val="21"/>
                    </w:rPr>
                    <w:t>6</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19</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300Y0118</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中國評論</w:t>
                  </w:r>
                  <w:r>
                    <w:rPr>
                      <w:sz w:val="21"/>
                    </w:rPr>
                    <w:t>/China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《中国评论》</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中國評論文化有限公司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20</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340X0010</w:t>
                  </w:r>
                </w:p>
              </w:tc>
              <w:tc>
                <w:tcPr>
                  <w:tcW w:type="dxa" w:w="1752"/>
                  <w:tcBorders>
                    <w:top w:val="none" w:color="000000" w:sz="4"/>
                    <w:left w:val="none" w:color="000000" w:sz="4"/>
                    <w:bottom w:val="single" w:color="000000" w:sz="4"/>
                    <w:right w:val="single" w:color="000000" w:sz="4"/>
                  </w:tcBorders>
                  <w:vAlign w:val="top"/>
                </w:tcPr>
                <w:p>
                  <w:pPr>
                    <w:jc w:val="both"/>
                  </w:pPr>
                  <w:r>
                    <w:rPr>
                      <w:sz w:val="21"/>
                    </w:rPr>
                    <w:t>月旦法學</w:t>
                  </w:r>
                  <w:r>
                    <w:rPr>
                      <w:sz w:val="21"/>
                    </w:rPr>
                    <w:t>/The Taiwan Law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《月旦法学》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元照出版有限公司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21</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340X0011</w:t>
                  </w:r>
                </w:p>
              </w:tc>
              <w:tc>
                <w:tcPr>
                  <w:tcW w:type="dxa" w:w="1752"/>
                  <w:tcBorders>
                    <w:top w:val="none" w:color="000000" w:sz="4"/>
                    <w:left w:val="none" w:color="000000" w:sz="4"/>
                    <w:bottom w:val="single" w:color="000000" w:sz="4"/>
                    <w:right w:val="single" w:color="000000" w:sz="4"/>
                  </w:tcBorders>
                  <w:vAlign w:val="top"/>
                </w:tcPr>
                <w:p>
                  <w:pPr>
                    <w:jc w:val="both"/>
                  </w:pPr>
                  <w:r>
                    <w:rPr>
                      <w:sz w:val="21"/>
                    </w:rPr>
                    <w:t>法學叢刊</w:t>
                  </w:r>
                  <w:r>
                    <w:rPr>
                      <w:sz w:val="21"/>
                    </w:rPr>
                    <w:t>/China Law Journal.</w:t>
                  </w:r>
                </w:p>
              </w:tc>
              <w:tc>
                <w:tcPr>
                  <w:tcW w:type="dxa" w:w="996"/>
                  <w:tcBorders>
                    <w:top w:val="none" w:color="000000" w:sz="4"/>
                    <w:left w:val="none" w:color="000000" w:sz="4"/>
                    <w:bottom w:val="single" w:color="000000" w:sz="4"/>
                    <w:right w:val="single" w:color="000000" w:sz="4"/>
                  </w:tcBorders>
                  <w:vAlign w:val="top"/>
                </w:tcPr>
                <w:p>
                  <w:pPr>
                    <w:jc w:val="both"/>
                  </w:pPr>
                  <w:r>
                    <w:rPr>
                      <w:sz w:val="21"/>
                    </w:rPr>
                    <w:t>《法学丛刊》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法學叢刊雜誌社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22</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340X0049</w:t>
                  </w:r>
                </w:p>
              </w:tc>
              <w:tc>
                <w:tcPr>
                  <w:tcW w:type="dxa" w:w="1752"/>
                  <w:tcBorders>
                    <w:top w:val="none" w:color="000000" w:sz="4"/>
                    <w:left w:val="none" w:color="000000" w:sz="4"/>
                    <w:bottom w:val="single" w:color="000000" w:sz="4"/>
                    <w:right w:val="single" w:color="000000" w:sz="4"/>
                  </w:tcBorders>
                  <w:vAlign w:val="top"/>
                </w:tcPr>
                <w:p>
                  <w:pPr>
                    <w:jc w:val="both"/>
                  </w:pPr>
                  <w:r>
                    <w:rPr>
                      <w:sz w:val="21"/>
                    </w:rPr>
                    <w:t>月旦民商法雜誌</w:t>
                  </w:r>
                  <w:r>
                    <w:rPr>
                      <w:sz w:val="21"/>
                    </w:rPr>
                    <w:t>/Cross-Strait Law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《月旦民商法杂志》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元照出版有限公司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23</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340Y0003</w:t>
                  </w:r>
                </w:p>
              </w:tc>
              <w:tc>
                <w:tcPr>
                  <w:tcW w:type="dxa" w:w="1752"/>
                  <w:tcBorders>
                    <w:top w:val="none" w:color="000000" w:sz="4"/>
                    <w:left w:val="none" w:color="000000" w:sz="4"/>
                    <w:bottom w:val="single" w:color="000000" w:sz="4"/>
                    <w:right w:val="single" w:color="000000" w:sz="4"/>
                  </w:tcBorders>
                  <w:vAlign w:val="top"/>
                </w:tcPr>
                <w:p>
                  <w:pPr>
                    <w:jc w:val="both"/>
                  </w:pPr>
                  <w:r>
                    <w:rPr>
                      <w:sz w:val="21"/>
                    </w:rPr>
                    <w:t>Hong Kong Law Journal/</w:t>
                  </w:r>
                  <w:r>
                    <w:rPr>
                      <w:sz w:val="21"/>
                    </w:rPr>
                    <w:t>香港法律學刊</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《香港法律学刊》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Hong Kong Law Journal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3</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24</w:t>
                  </w:r>
                </w:p>
              </w:tc>
              <w:tc>
                <w:tcPr>
                  <w:tcW w:type="dxa" w:w="996"/>
                  <w:tcBorders>
                    <w:top w:val="none" w:color="000000" w:sz="4"/>
                    <w:left w:val="none" w:color="000000" w:sz="4"/>
                    <w:bottom w:val="single" w:color="000000" w:sz="4"/>
                    <w:right w:val="single" w:color="000000" w:sz="4"/>
                  </w:tcBorders>
                  <w:vAlign w:val="top"/>
                </w:tcPr>
                <w:p>
                  <w:pPr>
                    <w:jc w:val="both"/>
                  </w:pPr>
                  <w:r>
                    <w:rPr>
                      <w:sz w:val="21"/>
                    </w:rPr>
                    <w:t>373X0011</w:t>
                  </w:r>
                </w:p>
              </w:tc>
              <w:tc>
                <w:tcPr>
                  <w:tcW w:type="dxa" w:w="1752"/>
                  <w:tcBorders>
                    <w:top w:val="none" w:color="000000" w:sz="4"/>
                    <w:left w:val="none" w:color="000000" w:sz="4"/>
                    <w:bottom w:val="single" w:color="000000" w:sz="4"/>
                    <w:right w:val="single" w:color="000000" w:sz="4"/>
                  </w:tcBorders>
                  <w:vAlign w:val="top"/>
                </w:tcPr>
                <w:p>
                  <w:pPr>
                    <w:jc w:val="both"/>
                  </w:pPr>
                  <w:r>
                    <w:rPr>
                      <w:sz w:val="21"/>
                    </w:rPr>
                    <w:t>新聞學研究</w:t>
                  </w:r>
                  <w:r>
                    <w:rPr>
                      <w:sz w:val="21"/>
                    </w:rPr>
                    <w:t>/Mass Communications Research.</w:t>
                  </w:r>
                </w:p>
              </w:tc>
              <w:tc>
                <w:tcPr>
                  <w:tcW w:type="dxa" w:w="996"/>
                  <w:tcBorders>
                    <w:top w:val="none" w:color="000000" w:sz="4"/>
                    <w:left w:val="none" w:color="000000" w:sz="4"/>
                    <w:bottom w:val="single" w:color="000000" w:sz="4"/>
                    <w:right w:val="single" w:color="000000" w:sz="4"/>
                  </w:tcBorders>
                  <w:vAlign w:val="top"/>
                </w:tcPr>
                <w:p>
                  <w:pPr>
                    <w:jc w:val="both"/>
                  </w:pPr>
                  <w:r>
                    <w:rPr>
                      <w:sz w:val="21"/>
                    </w:rPr>
                    <w:t>《新闻学研究》</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國立政治大學新聞系</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25</w:t>
                  </w:r>
                </w:p>
              </w:tc>
              <w:tc>
                <w:tcPr>
                  <w:tcW w:type="dxa" w:w="996"/>
                  <w:tcBorders>
                    <w:top w:val="none" w:color="000000" w:sz="4"/>
                    <w:left w:val="none" w:color="000000" w:sz="4"/>
                    <w:bottom w:val="single" w:color="000000" w:sz="4"/>
                    <w:right w:val="single" w:color="000000" w:sz="4"/>
                  </w:tcBorders>
                  <w:vAlign w:val="top"/>
                </w:tcPr>
                <w:p>
                  <w:pPr>
                    <w:jc w:val="both"/>
                  </w:pPr>
                  <w:r>
                    <w:rPr>
                      <w:sz w:val="21"/>
                    </w:rPr>
                    <w:t>377X0009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故宮文物月刊</w:t>
                  </w:r>
                  <w:r>
                    <w:rPr>
                      <w:sz w:val="21"/>
                    </w:rPr>
                    <w:t>/The National Palace Museum Monthly of Chinese Art.</w:t>
                  </w:r>
                </w:p>
              </w:tc>
              <w:tc>
                <w:tcPr>
                  <w:tcW w:type="dxa" w:w="996"/>
                  <w:tcBorders>
                    <w:top w:val="none" w:color="000000" w:sz="4"/>
                    <w:left w:val="none" w:color="000000" w:sz="4"/>
                    <w:bottom w:val="single" w:color="000000" w:sz="4"/>
                    <w:right w:val="single" w:color="000000" w:sz="4"/>
                  </w:tcBorders>
                  <w:vAlign w:val="top"/>
                </w:tcPr>
                <w:p>
                  <w:pPr>
                    <w:jc w:val="both"/>
                  </w:pPr>
                  <w:r>
                    <w:rPr>
                      <w:sz w:val="21"/>
                    </w:rPr>
                    <w:t>《故宫文物》</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國立故宮博物院出版組</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26</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420X0005</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中外文學</w:t>
                  </w:r>
                  <w:r>
                    <w:rPr>
                      <w:sz w:val="21"/>
                    </w:rPr>
                    <w:t>/Chung Wai Literary Quarterly.</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《中外文学》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中外文學月刊社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27</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420X0039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幼狮文艺</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《幼狮文艺》</w:t>
                  </w:r>
                </w:p>
              </w:tc>
              <w:tc>
                <w:tcPr>
                  <w:tcW w:type="dxa" w:w="1084"/>
                  <w:tcBorders>
                    <w:top w:val="none" w:color="000000" w:sz="4"/>
                    <w:left w:val="none" w:color="000000" w:sz="4"/>
                    <w:bottom w:val="single" w:color="000000" w:sz="4"/>
                    <w:right w:val="single" w:color="000000" w:sz="4"/>
                  </w:tcBorders>
                  <w:vAlign w:val="top"/>
                </w:tcPr>
                <w:p>
                  <w:pPr>
                    <w:jc w:val="both"/>
                  </w:pPr>
                  <w:r>
                    <w:rPr>
                      <w:sz w:val="21"/>
                    </w:rPr>
                    <w:t>幼狮文化事业公司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28</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420X0040</w:t>
                  </w:r>
                </w:p>
              </w:tc>
              <w:tc>
                <w:tcPr>
                  <w:tcW w:type="dxa" w:w="1752"/>
                  <w:tcBorders>
                    <w:top w:val="none" w:color="000000" w:sz="4"/>
                    <w:left w:val="none" w:color="000000" w:sz="4"/>
                    <w:bottom w:val="single" w:color="000000" w:sz="4"/>
                    <w:right w:val="single" w:color="000000" w:sz="4"/>
                  </w:tcBorders>
                  <w:vAlign w:val="top"/>
                </w:tcPr>
                <w:p>
                  <w:pPr>
                    <w:jc w:val="both"/>
                  </w:pPr>
                  <w:r>
                    <w:rPr>
                      <w:sz w:val="21"/>
                    </w:rPr>
                    <w:t>皇冠</w:t>
                  </w:r>
                  <w:r>
                    <w:rPr>
                      <w:sz w:val="21"/>
                    </w:rPr>
                    <w:t>(</w:t>
                  </w:r>
                  <w:r>
                    <w:rPr>
                      <w:sz w:val="21"/>
                    </w:rPr>
                    <w:t>東南亞版</w:t>
                  </w:r>
                  <w:r>
                    <w:rPr>
                      <w:sz w:val="21"/>
                    </w:rPr>
                    <w:t>)/Grown.</w:t>
                  </w:r>
                </w:p>
              </w:tc>
              <w:tc>
                <w:tcPr>
                  <w:tcW w:type="dxa" w:w="996"/>
                  <w:tcBorders>
                    <w:top w:val="none" w:color="000000" w:sz="4"/>
                    <w:left w:val="none" w:color="000000" w:sz="4"/>
                    <w:bottom w:val="single" w:color="000000" w:sz="4"/>
                    <w:right w:val="single" w:color="000000" w:sz="4"/>
                  </w:tcBorders>
                  <w:vAlign w:val="top"/>
                </w:tcPr>
                <w:p>
                  <w:pPr>
                    <w:jc w:val="both"/>
                  </w:pPr>
                  <w:r>
                    <w:rPr>
                      <w:sz w:val="21"/>
                    </w:rPr>
                    <w:t>《皇冠》</w:t>
                  </w:r>
                </w:p>
              </w:tc>
              <w:tc>
                <w:tcPr>
                  <w:tcW w:type="dxa" w:w="1084"/>
                  <w:tcBorders>
                    <w:top w:val="none" w:color="000000" w:sz="4"/>
                    <w:left w:val="none" w:color="000000" w:sz="4"/>
                    <w:bottom w:val="single" w:color="000000" w:sz="4"/>
                    <w:right w:val="single" w:color="000000" w:sz="4"/>
                  </w:tcBorders>
                  <w:vAlign w:val="top"/>
                </w:tcPr>
                <w:p>
                  <w:pPr>
                    <w:jc w:val="both"/>
                  </w:pPr>
                  <w:r>
                    <w:rPr>
                      <w:sz w:val="21"/>
                    </w:rPr>
                    <w:t>皇冠雜誌社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29</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420X0055</w:t>
                  </w:r>
                </w:p>
              </w:tc>
              <w:tc>
                <w:tcPr>
                  <w:tcW w:type="dxa" w:w="1752"/>
                  <w:tcBorders>
                    <w:top w:val="none" w:color="000000" w:sz="4"/>
                    <w:left w:val="none" w:color="000000" w:sz="4"/>
                    <w:bottom w:val="single" w:color="000000" w:sz="4"/>
                    <w:right w:val="single" w:color="000000" w:sz="4"/>
                  </w:tcBorders>
                  <w:vAlign w:val="top"/>
                </w:tcPr>
                <w:p>
                  <w:pPr>
                    <w:jc w:val="both"/>
                  </w:pPr>
                  <w:r>
                    <w:rPr>
                      <w:sz w:val="21"/>
                    </w:rPr>
                    <w:t>聯合文學</w:t>
                  </w:r>
                  <w:r>
                    <w:rPr>
                      <w:sz w:val="21"/>
                    </w:rPr>
                    <w:t>/Unitas: Literary Monthly.</w:t>
                  </w:r>
                </w:p>
              </w:tc>
              <w:tc>
                <w:tcPr>
                  <w:tcW w:type="dxa" w:w="996"/>
                  <w:tcBorders>
                    <w:top w:val="none" w:color="000000" w:sz="4"/>
                    <w:left w:val="none" w:color="000000" w:sz="4"/>
                    <w:bottom w:val="single" w:color="000000" w:sz="4"/>
                    <w:right w:val="single" w:color="000000" w:sz="4"/>
                  </w:tcBorders>
                  <w:vAlign w:val="top"/>
                </w:tcPr>
                <w:p>
                  <w:pPr>
                    <w:jc w:val="both"/>
                  </w:pPr>
                  <w:r>
                    <w:rPr>
                      <w:sz w:val="21"/>
                    </w:rPr>
                    <w:t>《联合文学》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聯合文學出版社有限公司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30</w:t>
                  </w:r>
                </w:p>
              </w:tc>
              <w:tc>
                <w:tcPr>
                  <w:tcW w:type="dxa" w:w="996"/>
                  <w:tcBorders>
                    <w:top w:val="none" w:color="000000" w:sz="4"/>
                    <w:left w:val="none" w:color="000000" w:sz="4"/>
                    <w:bottom w:val="single" w:color="000000" w:sz="4"/>
                    <w:right w:val="single" w:color="000000" w:sz="4"/>
                  </w:tcBorders>
                  <w:vAlign w:val="top"/>
                </w:tcPr>
                <w:p>
                  <w:pPr>
                    <w:jc w:val="both"/>
                  </w:pPr>
                  <w:r>
                    <w:rPr>
                      <w:sz w:val="21"/>
                    </w:rPr>
                    <w:t>480X0004</w:t>
                  </w:r>
                </w:p>
              </w:tc>
              <w:tc>
                <w:tcPr>
                  <w:tcW w:type="dxa" w:w="1752"/>
                  <w:tcBorders>
                    <w:top w:val="none" w:color="000000" w:sz="4"/>
                    <w:left w:val="none" w:color="000000" w:sz="4"/>
                    <w:bottom w:val="single" w:color="000000" w:sz="4"/>
                    <w:right w:val="single" w:color="000000" w:sz="4"/>
                  </w:tcBorders>
                  <w:vAlign w:val="top"/>
                </w:tcPr>
                <w:p>
                  <w:pPr>
                    <w:jc w:val="both"/>
                  </w:pPr>
                  <w:r>
                    <w:rPr>
                      <w:sz w:val="21"/>
                    </w:rPr>
                    <w:t>藝術家</w:t>
                  </w:r>
                  <w:r>
                    <w:rPr>
                      <w:sz w:val="21"/>
                    </w:rPr>
                    <w:t>/Artist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《艺术家》</w:t>
                  </w:r>
                </w:p>
              </w:tc>
              <w:tc>
                <w:tcPr>
                  <w:tcW w:type="dxa" w:w="1084"/>
                  <w:tcBorders>
                    <w:top w:val="none" w:color="000000" w:sz="4"/>
                    <w:left w:val="none" w:color="000000" w:sz="4"/>
                    <w:bottom w:val="single" w:color="000000" w:sz="4"/>
                    <w:right w:val="single" w:color="000000" w:sz="4"/>
                  </w:tcBorders>
                  <w:vAlign w:val="top"/>
                </w:tcPr>
                <w:p>
                  <w:pPr>
                    <w:jc w:val="both"/>
                  </w:pPr>
                  <w:r>
                    <w:rPr>
                      <w:sz w:val="21"/>
                    </w:rPr>
                    <w:t>藝術家雜誌社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31</w:t>
                  </w:r>
                </w:p>
              </w:tc>
              <w:tc>
                <w:tcPr>
                  <w:tcW w:type="dxa" w:w="996"/>
                  <w:tcBorders>
                    <w:top w:val="none" w:color="000000" w:sz="4"/>
                    <w:left w:val="none" w:color="000000" w:sz="4"/>
                    <w:bottom w:val="single" w:color="000000" w:sz="4"/>
                    <w:right w:val="single" w:color="000000" w:sz="4"/>
                  </w:tcBorders>
                  <w:vAlign w:val="top"/>
                </w:tcPr>
                <w:p>
                  <w:pPr>
                    <w:jc w:val="both"/>
                  </w:pPr>
                  <w:r>
                    <w:rPr>
                      <w:sz w:val="21"/>
                    </w:rPr>
                    <w:t>480Y0001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號外</w:t>
                  </w:r>
                  <w:r>
                    <w:rPr>
                      <w:sz w:val="21"/>
                    </w:rPr>
                    <w:t>/City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《号外》</w:t>
                  </w:r>
                </w:p>
              </w:tc>
              <w:tc>
                <w:tcPr>
                  <w:tcW w:type="dxa" w:w="1084"/>
                  <w:tcBorders>
                    <w:top w:val="none" w:color="000000" w:sz="4"/>
                    <w:left w:val="none" w:color="000000" w:sz="4"/>
                    <w:bottom w:val="single" w:color="000000" w:sz="4"/>
                    <w:right w:val="single" w:color="000000" w:sz="4"/>
                  </w:tcBorders>
                  <w:vAlign w:val="top"/>
                </w:tcPr>
                <w:p>
                  <w:pPr>
                    <w:jc w:val="both"/>
                  </w:pPr>
                  <w:r>
                    <w:rPr>
                      <w:sz w:val="21"/>
                    </w:rPr>
                    <w:t>City Howwhy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32</w:t>
                  </w:r>
                </w:p>
              </w:tc>
              <w:tc>
                <w:tcPr>
                  <w:tcW w:type="dxa" w:w="996"/>
                  <w:tcBorders>
                    <w:top w:val="none" w:color="000000" w:sz="4"/>
                    <w:left w:val="none" w:color="000000" w:sz="4"/>
                    <w:bottom w:val="single" w:color="000000" w:sz="4"/>
                    <w:right w:val="single" w:color="000000" w:sz="4"/>
                  </w:tcBorders>
                  <w:vAlign w:val="top"/>
                </w:tcPr>
                <w:p>
                  <w:pPr>
                    <w:jc w:val="both"/>
                  </w:pPr>
                  <w:r>
                    <w:rPr>
                      <w:sz w:val="21"/>
                    </w:rPr>
                    <w:t>710X0009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工業設計</w:t>
                  </w:r>
                  <w:r>
                    <w:rPr>
                      <w:sz w:val="21"/>
                    </w:rPr>
                    <w:t>/Industrial Design.</w:t>
                  </w:r>
                </w:p>
              </w:tc>
              <w:tc>
                <w:tcPr>
                  <w:tcW w:type="dxa" w:w="996"/>
                  <w:tcBorders>
                    <w:top w:val="none" w:color="000000" w:sz="4"/>
                    <w:left w:val="none" w:color="000000" w:sz="4"/>
                    <w:bottom w:val="single" w:color="000000" w:sz="4"/>
                    <w:right w:val="single" w:color="000000" w:sz="4"/>
                  </w:tcBorders>
                  <w:vAlign w:val="top"/>
                </w:tcPr>
                <w:p>
                  <w:pPr>
                    <w:jc w:val="both"/>
                  </w:pPr>
                  <w:r>
                    <w:rPr>
                      <w:sz w:val="21"/>
                    </w:rPr>
                    <w:t>《工业设计》</w:t>
                  </w:r>
                </w:p>
              </w:tc>
              <w:tc>
                <w:tcPr>
                  <w:tcW w:type="dxa" w:w="1084"/>
                  <w:tcBorders>
                    <w:top w:val="none" w:color="000000" w:sz="4"/>
                    <w:left w:val="none" w:color="000000" w:sz="4"/>
                    <w:bottom w:val="single" w:color="000000" w:sz="4"/>
                    <w:right w:val="single" w:color="000000" w:sz="4"/>
                  </w:tcBorders>
                  <w:vAlign w:val="top"/>
                </w:tcPr>
                <w:p>
                  <w:pPr>
                    <w:jc w:val="both"/>
                  </w:pPr>
                  <w:r>
                    <w:rPr>
                      <w:sz w:val="21"/>
                    </w:rPr>
                    <w:t>工業設計雜誌社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33</w:t>
                  </w:r>
                </w:p>
              </w:tc>
              <w:tc>
                <w:tcPr>
                  <w:tcW w:type="dxa" w:w="996"/>
                  <w:tcBorders>
                    <w:top w:val="none" w:color="000000" w:sz="4"/>
                    <w:left w:val="none" w:color="000000" w:sz="4"/>
                    <w:bottom w:val="single" w:color="000000" w:sz="4"/>
                    <w:right w:val="single" w:color="000000" w:sz="4"/>
                  </w:tcBorders>
                  <w:vAlign w:val="top"/>
                </w:tcPr>
                <w:p>
                  <w:pPr>
                    <w:jc w:val="both"/>
                  </w:pPr>
                  <w:r>
                    <w:rPr>
                      <w:sz w:val="21"/>
                    </w:rPr>
                    <w:t>858Y0025</w:t>
                  </w:r>
                </w:p>
              </w:tc>
              <w:tc>
                <w:tcPr>
                  <w:tcW w:type="dxa" w:w="1752"/>
                  <w:tcBorders>
                    <w:top w:val="none" w:color="000000" w:sz="4"/>
                    <w:left w:val="none" w:color="000000" w:sz="4"/>
                    <w:bottom w:val="single" w:color="000000" w:sz="4"/>
                    <w:right w:val="single" w:color="000000" w:sz="4"/>
                  </w:tcBorders>
                  <w:vAlign w:val="top"/>
                </w:tcPr>
                <w:p>
                  <w:pPr>
                    <w:jc w:val="both"/>
                  </w:pPr>
                  <w:r>
                    <w:rPr>
                      <w:sz w:val="21"/>
                    </w:rPr>
                    <w:t>她</w:t>
                  </w:r>
                  <w:r>
                    <w:rPr>
                      <w:sz w:val="21"/>
                    </w:rPr>
                    <w:t>/Elle.</w:t>
                  </w:r>
                </w:p>
              </w:tc>
              <w:tc>
                <w:tcPr>
                  <w:tcW w:type="dxa" w:w="996"/>
                  <w:tcBorders>
                    <w:top w:val="none" w:color="000000" w:sz="4"/>
                    <w:left w:val="none" w:color="000000" w:sz="4"/>
                    <w:bottom w:val="single" w:color="000000" w:sz="4"/>
                    <w:right w:val="single" w:color="000000" w:sz="4"/>
                  </w:tcBorders>
                  <w:vAlign w:val="top"/>
                </w:tcPr>
                <w:p>
                  <w:pPr>
                    <w:jc w:val="both"/>
                  </w:pPr>
                  <w:r>
                    <w:rPr>
                      <w:sz w:val="21"/>
                    </w:rPr>
                    <w:t>《她》</w:t>
                  </w:r>
                </w:p>
              </w:tc>
              <w:tc>
                <w:tcPr>
                  <w:tcW w:type="dxa" w:w="1084"/>
                  <w:tcBorders>
                    <w:top w:val="none" w:color="000000" w:sz="4"/>
                    <w:left w:val="none" w:color="000000" w:sz="4"/>
                    <w:bottom w:val="single" w:color="000000" w:sz="4"/>
                    <w:right w:val="single" w:color="000000" w:sz="4"/>
                  </w:tcBorders>
                  <w:vAlign w:val="top"/>
                </w:tcPr>
                <w:p>
                  <w:pPr>
                    <w:jc w:val="both"/>
                  </w:pPr>
                  <w:r>
                    <w:rPr>
                      <w:sz w:val="21"/>
                    </w:rPr>
                    <w:t>Hachette Filipacchi Hong Kong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34</w:t>
                  </w:r>
                </w:p>
              </w:tc>
              <w:tc>
                <w:tcPr>
                  <w:tcW w:type="dxa" w:w="996"/>
                  <w:tcBorders>
                    <w:top w:val="none" w:color="000000" w:sz="4"/>
                    <w:left w:val="none" w:color="000000" w:sz="4"/>
                    <w:bottom w:val="single" w:color="000000" w:sz="4"/>
                    <w:right w:val="single" w:color="000000" w:sz="4"/>
                  </w:tcBorders>
                  <w:vAlign w:val="top"/>
                </w:tcPr>
                <w:p>
                  <w:pPr>
                    <w:jc w:val="both"/>
                  </w:pPr>
                  <w:r>
                    <w:rPr>
                      <w:sz w:val="21"/>
                    </w:rPr>
                    <w:t>862Y0002</w:t>
                  </w:r>
                </w:p>
              </w:tc>
              <w:tc>
                <w:tcPr>
                  <w:tcW w:type="dxa" w:w="1752"/>
                  <w:tcBorders>
                    <w:top w:val="none" w:color="000000" w:sz="4"/>
                    <w:left w:val="none" w:color="000000" w:sz="4"/>
                    <w:bottom w:val="single" w:color="000000" w:sz="4"/>
                    <w:right w:val="single" w:color="000000" w:sz="4"/>
                  </w:tcBorders>
                  <w:vAlign w:val="top"/>
                </w:tcPr>
                <w:p>
                  <w:pPr>
                    <w:jc w:val="both"/>
                  </w:pPr>
                  <w:r>
                    <w:rPr>
                      <w:sz w:val="21"/>
                    </w:rPr>
                    <w:t>摩登家庭</w:t>
                  </w:r>
                  <w:r>
                    <w:rPr>
                      <w:sz w:val="21"/>
                    </w:rPr>
                    <w:t>/Modern Home.</w:t>
                  </w:r>
                </w:p>
              </w:tc>
              <w:tc>
                <w:tcPr>
                  <w:tcW w:type="dxa" w:w="996"/>
                  <w:tcBorders>
                    <w:top w:val="none" w:color="000000" w:sz="4"/>
                    <w:left w:val="none" w:color="000000" w:sz="4"/>
                    <w:bottom w:val="single" w:color="000000" w:sz="4"/>
                    <w:right w:val="single" w:color="000000" w:sz="4"/>
                  </w:tcBorders>
                  <w:vAlign w:val="top"/>
                </w:tcPr>
                <w:p>
                  <w:pPr>
                    <w:jc w:val="both"/>
                  </w:pPr>
                  <w:r>
                    <w:rPr>
                      <w:sz w:val="21"/>
                    </w:rPr>
                    <w:t>《摩登家庭》</w:t>
                  </w:r>
                </w:p>
              </w:tc>
              <w:tc>
                <w:tcPr>
                  <w:tcW w:type="dxa" w:w="1084"/>
                  <w:tcBorders>
                    <w:top w:val="none" w:color="000000" w:sz="4"/>
                    <w:left w:val="none" w:color="000000" w:sz="4"/>
                    <w:bottom w:val="single" w:color="000000" w:sz="4"/>
                    <w:right w:val="single" w:color="000000" w:sz="4"/>
                  </w:tcBorders>
                  <w:vAlign w:val="top"/>
                </w:tcPr>
                <w:p>
                  <w:pPr>
                    <w:jc w:val="both"/>
                  </w:pPr>
                  <w:r>
                    <w:rPr>
                      <w:sz w:val="21"/>
                    </w:rPr>
                    <w:t>姊妹出版有限公司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35</w:t>
                  </w:r>
                </w:p>
              </w:tc>
              <w:tc>
                <w:tcPr>
                  <w:tcW w:type="dxa" w:w="996"/>
                  <w:tcBorders>
                    <w:top w:val="none" w:color="000000" w:sz="4"/>
                    <w:left w:val="none" w:color="000000" w:sz="4"/>
                    <w:bottom w:val="single" w:color="000000" w:sz="4"/>
                    <w:right w:val="single" w:color="000000" w:sz="4"/>
                  </w:tcBorders>
                  <w:vAlign w:val="top"/>
                </w:tcPr>
                <w:p>
                  <w:pPr>
                    <w:jc w:val="both"/>
                  </w:pPr>
                  <w:r>
                    <w:rPr>
                      <w:sz w:val="21"/>
                    </w:rPr>
                    <w:t>863X0001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建築師</w:t>
                  </w:r>
                  <w:r>
                    <w:rPr>
                      <w:sz w:val="21"/>
                    </w:rPr>
                    <w:t>/Taiwan Architect.</w:t>
                  </w:r>
                </w:p>
              </w:tc>
              <w:tc>
                <w:tcPr>
                  <w:tcW w:type="dxa" w:w="996"/>
                  <w:tcBorders>
                    <w:top w:val="none" w:color="000000" w:sz="4"/>
                    <w:left w:val="none" w:color="000000" w:sz="4"/>
                    <w:bottom w:val="single" w:color="000000" w:sz="4"/>
                    <w:right w:val="single" w:color="000000" w:sz="4"/>
                  </w:tcBorders>
                  <w:vAlign w:val="top"/>
                </w:tcPr>
                <w:p>
                  <w:pPr>
                    <w:jc w:val="both"/>
                  </w:pPr>
                  <w:r>
                    <w:rPr>
                      <w:sz w:val="21"/>
                    </w:rPr>
                    <w:t>《建筑师》</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中華民國建築師公會全國聯合會雜誌社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36</w:t>
                  </w:r>
                </w:p>
              </w:tc>
              <w:tc>
                <w:tcPr>
                  <w:tcW w:type="dxa" w:w="996"/>
                  <w:tcBorders>
                    <w:top w:val="none" w:color="000000" w:sz="4"/>
                    <w:left w:val="none" w:color="000000" w:sz="4"/>
                    <w:bottom w:val="single" w:color="000000" w:sz="4"/>
                    <w:right w:val="single" w:color="000000" w:sz="4"/>
                  </w:tcBorders>
                  <w:vAlign w:val="top"/>
                </w:tcPr>
                <w:p>
                  <w:pPr>
                    <w:jc w:val="both"/>
                  </w:pPr>
                  <w:r>
                    <w:rPr>
                      <w:sz w:val="21"/>
                    </w:rPr>
                    <w:t>379X0075</w:t>
                  </w:r>
                </w:p>
              </w:tc>
              <w:tc>
                <w:tcPr>
                  <w:tcW w:type="dxa" w:w="1752"/>
                  <w:tcBorders>
                    <w:top w:val="none" w:color="000000" w:sz="4"/>
                    <w:left w:val="none" w:color="000000" w:sz="4"/>
                    <w:bottom w:val="single" w:color="000000" w:sz="4"/>
                    <w:right w:val="single" w:color="000000" w:sz="4"/>
                  </w:tcBorders>
                  <w:vAlign w:val="top"/>
                </w:tcPr>
                <w:p>
                  <w:pPr>
                    <w:jc w:val="both"/>
                  </w:pPr>
                  <w:r>
                    <w:rPr>
                      <w:sz w:val="21"/>
                    </w:rPr>
                    <w:t>藝術收藏＋設計</w:t>
                  </w:r>
                  <w:r>
                    <w:rPr>
                      <w:sz w:val="21"/>
                    </w:rPr>
                    <w:t>ART COLLECTION</w:t>
                  </w:r>
                  <w:r>
                    <w:rPr>
                      <w:sz w:val="21"/>
                    </w:rPr>
                    <w:t>＋</w:t>
                  </w:r>
                  <w:r>
                    <w:rPr>
                      <w:sz w:val="21"/>
                    </w:rPr>
                    <w:t>DESIGN</w:t>
                  </w:r>
                </w:p>
              </w:tc>
              <w:tc>
                <w:tcPr>
                  <w:tcW w:type="dxa" w:w="996"/>
                  <w:tcBorders>
                    <w:top w:val="none" w:color="000000" w:sz="4"/>
                    <w:left w:val="none" w:color="000000" w:sz="4"/>
                    <w:bottom w:val="single" w:color="000000" w:sz="4"/>
                    <w:right w:val="single" w:color="000000" w:sz="4"/>
                  </w:tcBorders>
                  <w:vAlign w:val="top"/>
                </w:tcPr>
                <w:p>
                  <w:pPr>
                    <w:jc w:val="both"/>
                  </w:pPr>
                  <w:r>
                    <w:rPr>
                      <w:sz w:val="21"/>
                    </w:rPr>
                    <w:t>《艺术收藏</w:t>
                  </w:r>
                  <w:r>
                    <w:rPr>
                      <w:sz w:val="21"/>
                    </w:rPr>
                    <w:t>+</w:t>
                  </w:r>
                  <w:r>
                    <w:rPr>
                      <w:sz w:val="21"/>
                    </w:rPr>
                    <w:t>设计》</w:t>
                  </w:r>
                </w:p>
              </w:tc>
              <w:tc>
                <w:tcPr>
                  <w:tcW w:type="dxa" w:w="1084"/>
                  <w:tcBorders>
                    <w:top w:val="none" w:color="000000" w:sz="4"/>
                    <w:left w:val="none" w:color="000000" w:sz="4"/>
                    <w:bottom w:val="single" w:color="000000" w:sz="4"/>
                    <w:right w:val="single" w:color="000000" w:sz="4"/>
                  </w:tcBorders>
                  <w:vAlign w:val="top"/>
                </w:tcPr>
                <w:p>
                  <w:pPr>
                    <w:jc w:val="both"/>
                  </w:pPr>
                  <w:r>
                    <w:rPr>
                      <w:sz w:val="21"/>
                    </w:rPr>
                    <w:t>藝術家雜誌社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bl>
          <w:p>
            <w:r>
              <w:rPr/>
              <w:t xml:space="preserve"> </w:t>
            </w:r>
          </w:p>
          <w:p>
            <w:r>
              <w:rPr/>
              <w:t xml:space="preserve"> </w:t>
            </w:r>
          </w:p>
          <w:p>
            <w:r>
              <w:rPr/>
              <w:t xml:space="preserve"> </w:t>
            </w:r>
          </w:p>
          <w:p>
            <w:pPr>
              <w:jc w:val="both"/>
            </w:pP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采购包1：投标综合折扣率</w:t>
            </w:r>
          </w:p>
          <w:p/>
          <w:p>
            <w:r>
              <w:rPr/>
              <w:t>采购包2：投标综合折扣率</w:t>
            </w:r>
          </w:p>
          <w:p/>
          <w:p>
            <w:r>
              <w:rPr/>
              <w:t>采购包3：投标综合折扣率</w:t>
            </w:r>
          </w:p>
        </w:tc>
      </w:tr>
      <w:tr>
        <w:tc>
          <w:tcPr>
            <w:tcW w:type="dxa" w:w="1051"/>
          </w:tcPr>
          <w:p>
            <w:r>
              <w:rPr/>
              <w:t>6</w:t>
            </w:r>
          </w:p>
        </w:tc>
        <w:tc>
          <w:tcPr>
            <w:tcW w:type="dxa" w:w="2252"/>
          </w:tcPr>
          <w:p>
            <w:r>
              <w:rPr/>
              <w:t>报价要求</w:t>
            </w:r>
          </w:p>
        </w:tc>
        <w:tc>
          <w:tcPr>
            <w:tcW w:type="dxa" w:w="5004"/>
          </w:tcPr>
          <w:p/>
          <w:p>
            <w:r>
              <w:rPr/>
              <w:t>采购包1：0% - 70%</w:t>
            </w:r>
          </w:p>
          <w:p/>
          <w:p>
            <w:r>
              <w:rPr/>
              <w:t>采购包2：0% - 90%</w:t>
            </w:r>
          </w:p>
          <w:p/>
          <w:p>
            <w:r>
              <w:rPr/>
              <w:t>采购包3：0% - 94%</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无：本项目可兼投兼中。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中标金额为计算基数《广东省物价局粤价函〔2013〕1233号》规定的标准费率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采购包1(国内版图书)：综合评分法,是指投标文件满足招标文件全部实质性要求，且按照评审因素的量化指标评审得分最高的投标人为中标候选人的评标方法。（最低报价不是中标的唯一依据。）</w:t>
      </w:r>
    </w:p>
    <w:p/>
    <w:p>
      <w:r>
        <w:rPr/>
        <w:t>采购包2(原版外文及港台图书)：综合评分法,是指投标文件满足招标文件全部实质性要求，且按照评审因素的量化指标评审得分最高的投标人为中标候选人的评标方法。（最低报价不是中标的唯一依据。）</w:t>
      </w:r>
    </w:p>
    <w:p/>
    <w:p>
      <w:r>
        <w:rPr/>
        <w:t>采购包3(原版外文及港台期刊)：综合评分法,是指投标文件满足招标文件全部实质性要求，且按照评审因素的量化指标评审得分最高的投标人为中标候选人的评标方法。（最低报价不是中标的唯一依据。）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采购包1（国内版图书）：</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采购包2（原版外文及港台图书）：</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采购包3（原版外文及港台期刊）：</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采购包1（国内版图书）：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特定资格要求</w:t>
            </w:r>
          </w:p>
        </w:tc>
        <w:tc>
          <w:tcPr>
            <w:tcW w:type="dxa" w:w="4238"/>
          </w:tcPr>
          <w:p>
            <w:r>
              <w:rPr/>
              <w:t>投标人具有在有效的《中华人民共和国出版物经营许可证》。</w:t>
            </w:r>
          </w:p>
        </w:tc>
      </w:tr>
      <w:tr>
        <w:tc>
          <w:tcPr>
            <w:tcW w:type="dxa" w:w="890"/>
          </w:tcPr>
          <w:p>
            <w:r>
              <w:rPr/>
              <w:t>10</w:t>
            </w:r>
          </w:p>
        </w:tc>
        <w:tc>
          <w:tcPr>
            <w:tcW w:type="dxa" w:w="3178"/>
          </w:tcPr>
          <w:p>
            <w:r>
              <w:rPr/>
              <w:t>落实政府采购政策需满足的资格要求</w:t>
            </w:r>
          </w:p>
        </w:tc>
        <w:tc>
          <w:tcPr>
            <w:tcW w:type="dxa" w:w="4238"/>
          </w:tcPr>
          <w:p>
            <w:r>
              <w:rPr/>
              <w:t>本采购包整体不专门面向中小企业。</w:t>
            </w:r>
          </w:p>
        </w:tc>
      </w:tr>
    </w:tbl>
    <w:p/>
    <w:p>
      <w:r>
        <w:rPr/>
        <w:t>采购包2（原版外文及港台图书）：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特定资格要求</w:t>
            </w:r>
          </w:p>
        </w:tc>
        <w:tc>
          <w:tcPr>
            <w:tcW w:type="dxa" w:w="4238"/>
          </w:tcPr>
          <w:p>
            <w:r>
              <w:rPr/>
              <w:t>投标人具有在有效的《中华人民共和国出版物经营许可证》和《中华人民共和国出版物进口经营许可证》。</w:t>
            </w:r>
          </w:p>
        </w:tc>
      </w:tr>
      <w:tr>
        <w:tc>
          <w:tcPr>
            <w:tcW w:type="dxa" w:w="890"/>
          </w:tcPr>
          <w:p>
            <w:r>
              <w:rPr/>
              <w:t>10</w:t>
            </w:r>
          </w:p>
        </w:tc>
        <w:tc>
          <w:tcPr>
            <w:tcW w:type="dxa" w:w="3178"/>
          </w:tcPr>
          <w:p>
            <w:r>
              <w:rPr/>
              <w:t>落实政府采购政策需满足的资格要求</w:t>
            </w:r>
          </w:p>
        </w:tc>
        <w:tc>
          <w:tcPr>
            <w:tcW w:type="dxa" w:w="4238"/>
          </w:tcPr>
          <w:p>
            <w:r>
              <w:rPr/>
              <w:t>本采购包整体不专门面向中小企业。</w:t>
            </w:r>
          </w:p>
        </w:tc>
      </w:tr>
    </w:tbl>
    <w:p/>
    <w:p>
      <w:r>
        <w:rPr/>
        <w:t>采购包3（原版外文及港台期刊）：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特定资格要求</w:t>
            </w:r>
          </w:p>
        </w:tc>
        <w:tc>
          <w:tcPr>
            <w:tcW w:type="dxa" w:w="4238"/>
          </w:tcPr>
          <w:p>
            <w:r>
              <w:rPr/>
              <w:t>投标人具有在有效的《中华人民共和国出版物经营许可证》和《中华人民共和国出版物进口经营许可证》。</w:t>
            </w:r>
          </w:p>
        </w:tc>
      </w:tr>
      <w:tr>
        <w:tc>
          <w:tcPr>
            <w:tcW w:type="dxa" w:w="890"/>
          </w:tcPr>
          <w:p>
            <w:r>
              <w:rPr/>
              <w:t>10</w:t>
            </w:r>
          </w:p>
        </w:tc>
        <w:tc>
          <w:tcPr>
            <w:tcW w:type="dxa" w:w="3178"/>
          </w:tcPr>
          <w:p>
            <w:r>
              <w:rPr/>
              <w:t>落实政府采购政策需满足的资格要求</w:t>
            </w:r>
          </w:p>
        </w:tc>
        <w:tc>
          <w:tcPr>
            <w:tcW w:type="dxa" w:w="4238"/>
          </w:tcPr>
          <w:p>
            <w:r>
              <w:rPr/>
              <w:t>本采购包整体不专门面向中小企业。</w:t>
            </w:r>
          </w:p>
        </w:tc>
      </w:tr>
    </w:tbl>
    <w:p/>
    <w:p>
      <w:pPr>
        <w:ind w:firstLine="480"/>
      </w:pPr>
      <w:r>
        <w:rPr/>
        <w:t>表二符合性审查表：</w:t>
      </w:r>
    </w:p>
    <w:p>
      <w:pPr>
        <w:ind w:firstLine="480"/>
      </w:pPr>
    </w:p>
    <w:p/>
    <w:p>
      <w:r>
        <w:rPr/>
        <w:t>采购包1（国内版图书）：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投标综合折扣率是固定唯一，且0%＜投标综合折扣率≤70%。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采购包2（原版外文及港台图书）：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投标综合折扣率是固定唯一，且0%＜投标综合折扣率≤90%。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采购包3（原版外文及港台期刊）：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投标综合折扣率是固定唯一，且0%＜投标综合折扣率≤94%。</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采购包1(国内版图书):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图书质量保证措施（一） (3.0分)</w:t>
            </w:r>
          </w:p>
        </w:tc>
        <w:tc>
          <w:tcPr>
            <w:tcW w:type="dxa" w:w="5076"/>
          </w:tcPr>
          <w:p>
            <w:pPr>
              <w:jc w:val="left"/>
            </w:pPr>
            <w:r>
              <w:rPr/>
              <w:t>评标委员会根据投标人提供的图书质量保证措施进行评审，方案应包括（投标文件中方案标题应以下列方案名称命名）： （1）供货承诺情况； （2）退换承诺情况； （3）质量保证措施。 提供全部内容得3分，每缺1项扣1分。</w:t>
            </w:r>
          </w:p>
        </w:tc>
      </w:tr>
      <w:tr>
        <w:tc>
          <w:tcPr>
            <w:tcW w:type="dxa" w:w="922"/>
            <w:gridSpan w:val="2"/>
            <w:vMerge/>
          </w:tcPr>
          <w:p/>
        </w:tc>
        <w:tc>
          <w:tcPr>
            <w:tcW w:type="dxa" w:w="2307"/>
          </w:tcPr>
          <w:p>
            <w:pPr>
              <w:jc w:val="left"/>
            </w:pPr>
            <w:r>
              <w:rPr/>
              <w:t>图书质量保证措施（二） (9.0分)</w:t>
            </w:r>
          </w:p>
        </w:tc>
        <w:tc>
          <w:tcPr>
            <w:tcW w:type="dxa" w:w="5076"/>
          </w:tcPr>
          <w:p>
            <w:pPr>
              <w:jc w:val="left"/>
            </w:pPr>
            <w:r>
              <w:rPr/>
              <w:t>根据各投标人提供的图书质量保证措施（一）进行综合评价： （1）投标人提供保证正版图书的承诺函（并承诺杜绝提供其他非法、盗版图书），有承诺不符合质量及采购人要求提供无条件退换的，得3分，不提供或承诺内容不完整的得0分； （2）投标人承诺图书有防水及防潮包装的：有得3分，不提供或承诺内容不完整的得0分；（承诺函中需提供图书防水及防潮包装的图片） （3）投标人承诺（无条件送货、按时、准确）及提供到货清单和未到货清单服务等，有得3分，不提供或承诺内容不完整的得0分。</w:t>
            </w:r>
          </w:p>
        </w:tc>
      </w:tr>
      <w:tr>
        <w:tc>
          <w:tcPr>
            <w:tcW w:type="dxa" w:w="922"/>
            <w:gridSpan w:val="2"/>
            <w:vMerge/>
          </w:tcPr>
          <w:p/>
        </w:tc>
        <w:tc>
          <w:tcPr>
            <w:tcW w:type="dxa" w:w="2307"/>
          </w:tcPr>
          <w:p>
            <w:pPr>
              <w:jc w:val="left"/>
            </w:pPr>
            <w:r>
              <w:rPr/>
              <w:t>订到率保障措施（一） (3.0分)</w:t>
            </w:r>
          </w:p>
        </w:tc>
        <w:tc>
          <w:tcPr>
            <w:tcW w:type="dxa" w:w="5076"/>
          </w:tcPr>
          <w:p>
            <w:pPr>
              <w:jc w:val="left"/>
            </w:pPr>
            <w:r>
              <w:rPr/>
              <w:t>评标委员会根据投标人提供的图书订到率的保障措施进行评审，方案应包括（投标文件中方案标题应以下列方案名称命名）： （1）重点难点分析； （2）应对措施； （3）投递服务保障； 提供全部内容得3分，每缺1项扣1分。</w:t>
            </w:r>
          </w:p>
        </w:tc>
      </w:tr>
      <w:tr>
        <w:tc>
          <w:tcPr>
            <w:tcW w:type="dxa" w:w="922"/>
            <w:gridSpan w:val="2"/>
            <w:vMerge/>
          </w:tcPr>
          <w:p/>
        </w:tc>
        <w:tc>
          <w:tcPr>
            <w:tcW w:type="dxa" w:w="2307"/>
          </w:tcPr>
          <w:p>
            <w:pPr>
              <w:jc w:val="left"/>
            </w:pPr>
            <w:r>
              <w:rPr/>
              <w:t>订到率保障措施（二） (9.0分)</w:t>
            </w:r>
          </w:p>
        </w:tc>
        <w:tc>
          <w:tcPr>
            <w:tcW w:type="dxa" w:w="5076"/>
          </w:tcPr>
          <w:p>
            <w:pPr>
              <w:jc w:val="left"/>
            </w:pPr>
            <w:r>
              <w:rPr/>
              <w:t>评标委员会根据投标人提供的图书订到率的保障措施（一）进行综合评审： （1）项目实施方案对需求响应全面具体、针对项目全部重点难点全面剖析，能针对全部重点难点提出科学合理、可直接执行的实施方案，有效保障本项目实施，投递服务保障有利于实现服务效果，得9分； （2）项目实施方案对需求响应全面具体，针对部分重点难点全面剖析，只针对部分重点难点提出科学合理，具备一定执行性的实施方案，能基本保障本项目服务实施，投递服务保障基本满足服务效果，得5分； （3）项目实施方案对需求响应不全面，只针对部分重点难点剖析，提出方案合理性不足、针对性不强或难以执行的，无法保障本项目服务实施，投递服务保障达不到服务效果，得1分； （4）没提供得0分。</w:t>
            </w:r>
          </w:p>
        </w:tc>
      </w:tr>
      <w:tr>
        <w:tc>
          <w:tcPr>
            <w:tcW w:type="dxa" w:w="922"/>
            <w:gridSpan w:val="2"/>
            <w:vMerge/>
          </w:tcPr>
          <w:p/>
        </w:tc>
        <w:tc>
          <w:tcPr>
            <w:tcW w:type="dxa" w:w="2307"/>
          </w:tcPr>
          <w:p>
            <w:pPr>
              <w:jc w:val="left"/>
            </w:pPr>
            <w:r>
              <w:rPr/>
              <w:t>项目执行计划（一） (4.0分)</w:t>
            </w:r>
          </w:p>
        </w:tc>
        <w:tc>
          <w:tcPr>
            <w:tcW w:type="dxa" w:w="5076"/>
          </w:tcPr>
          <w:p>
            <w:pPr>
              <w:jc w:val="left"/>
            </w:pPr>
            <w:r>
              <w:rPr/>
              <w:t>评标委员会根据投标人提供的项目执行计划进行评审，方案应包括（投标文件中方案标题应以下列方案名称命名）： （1）供货计划； （2）图书采购计划； （3）图书到货保证措施（一）；（包括但不限于采到率、采准率、退换率） （4）图书到货保证措施（二）；（包括但不限于补订、急订） 提供全部内容得4分，每缺1项扣1分。</w:t>
            </w:r>
          </w:p>
        </w:tc>
      </w:tr>
      <w:tr>
        <w:tc>
          <w:tcPr>
            <w:tcW w:type="dxa" w:w="922"/>
            <w:gridSpan w:val="2"/>
            <w:vMerge/>
          </w:tcPr>
          <w:p/>
        </w:tc>
        <w:tc>
          <w:tcPr>
            <w:tcW w:type="dxa" w:w="2307"/>
          </w:tcPr>
          <w:p>
            <w:pPr>
              <w:jc w:val="left"/>
            </w:pPr>
            <w:r>
              <w:rPr/>
              <w:t>项目执行计划（二） (10.0分)</w:t>
            </w:r>
          </w:p>
        </w:tc>
        <w:tc>
          <w:tcPr>
            <w:tcW w:type="dxa" w:w="5076"/>
          </w:tcPr>
          <w:p>
            <w:pPr>
              <w:jc w:val="left"/>
            </w:pPr>
            <w:r>
              <w:rPr/>
              <w:t>评标委员会根据各投标人提供的项目执行计划（一）进行综合评价： （1）针对项目执行计划上评审，图书采购计划全面完善，图书到货保证措施时间安排合理，满足项目实施要求的，能有效保障本项目实施，有利于实现服务效果的得10分， （2）针对项目执行计划上评审，图书采购计划全面具体，图书到货保证措施时间安排合理，重难点满足项目实施要求的，能基本保障本项目实施，基本实现服务效果的得5分， （3）针对项目执行计划上评审，图书采购计划不够具体完善，图书到货保证措施时间不合理，部分满足项目实施要求的，不能完全保障本项目实施，难以实现服务效果的得1分，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评标委员会根据各投标人提供的售后服务方案进行综合评价： （1）急需用书即时送货； （2）特色书源； （3）文化节活动参与度； （4）专题讲座； （5）专题书展； （6）读书节活动支持。 提供全部内容得3分，每缺1项扣0.5分。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评标委员会根据各投标人提供的售后服务方案（一）进行综合评价：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2020年1月1日以来（以合同签订时间为准）同类项目业绩：投标人每提供一项国内版图书业绩得2分，此项最高得8分。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提供与上述“项目业绩”相对应的用户评价，评价为满意（非常满意）或优秀或良好等正面评价的，每提供一个得0.5分，本项最高2分。 注：提供用户评价材料（须含甲方公章）复印件，否则不得分。</w:t>
            </w:r>
          </w:p>
        </w:tc>
      </w:tr>
      <w:tr>
        <w:tc>
          <w:tcPr>
            <w:tcW w:type="dxa" w:w="922"/>
            <w:gridSpan w:val="2"/>
            <w:vMerge/>
          </w:tcPr>
          <w:p/>
        </w:tc>
        <w:tc>
          <w:tcPr>
            <w:tcW w:type="dxa" w:w="2307"/>
          </w:tcPr>
          <w:p>
            <w:pPr>
              <w:jc w:val="left"/>
            </w:pPr>
            <w:r>
              <w:rPr/>
              <w:t>技术人员 (4.0分)</w:t>
            </w:r>
          </w:p>
        </w:tc>
        <w:tc>
          <w:tcPr>
            <w:tcW w:type="dxa" w:w="5076"/>
          </w:tcPr>
          <w:p>
            <w:pPr>
              <w:jc w:val="left"/>
            </w:pPr>
            <w:r>
              <w:rPr/>
              <w:t>具备三级或以上编目员资格证的人员，每提供一人得1分，最高得4分。 注：提供人员相关证书复印件及在本单位任职的证明材料（如加盖所在地区政府有关部门印章的打印日期在本项目投标截止日之前六个月以内任一月的《投保单》或《社会保险参保人员证明》，或单位代缴个人所得税税单等）。不提供不得分。</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投标人具有有效的质量管理体系认证、环境管理体系认证、职业健康安全管理体系认证证书，每提供一项得1分，最高得3分。  注：同时提供有效期内的证书复印件，不提供或专家无法认定的不得分。</w:t>
            </w:r>
          </w:p>
        </w:tc>
      </w:tr>
      <w:tr>
        <w:tc>
          <w:tcPr>
            <w:tcW w:type="dxa" w:w="922"/>
            <w:gridSpan w:val="2"/>
            <w:vMerge/>
          </w:tcPr>
          <w:p/>
        </w:tc>
        <w:tc>
          <w:tcPr>
            <w:tcW w:type="dxa" w:w="2307"/>
          </w:tcPr>
          <w:p>
            <w:pPr>
              <w:jc w:val="left"/>
            </w:pPr>
            <w:r>
              <w:rPr/>
              <w:t>服务响应能力 (3.0分)</w:t>
            </w:r>
          </w:p>
        </w:tc>
        <w:tc>
          <w:tcPr>
            <w:tcW w:type="dxa" w:w="5076"/>
          </w:tcPr>
          <w:p>
            <w:pPr>
              <w:jc w:val="left"/>
            </w:pPr>
            <w:r>
              <w:rPr/>
              <w:t>接到采购人通知后，投标人承诺的服务响应时间：  在1个工作日（含）内到场的，得3分； 在1个工作日（不含）—2个工作日（含）到场的，得2分； 在2个工作日（不含）以上到场的，得1分。 注：提供承诺函或声明函，不提供不得分。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采购包2(原版外文及港台图书):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图书质量保证措施（一） (3.0分)</w:t>
            </w:r>
          </w:p>
        </w:tc>
        <w:tc>
          <w:tcPr>
            <w:tcW w:type="dxa" w:w="5076"/>
          </w:tcPr>
          <w:p>
            <w:pPr>
              <w:jc w:val="left"/>
            </w:pPr>
            <w:r>
              <w:rPr/>
              <w:t>评标委员会根据投标人提供的图书质量保证措施进行评审，方案应包括（投标文件中方案标题应以下列方案名称命名）： （1）供货承诺情况； （2）退换承诺情况； （3）质量保证措施。 提供全部内容得3分，每缺1项扣1分。</w:t>
            </w:r>
          </w:p>
        </w:tc>
      </w:tr>
      <w:tr>
        <w:tc>
          <w:tcPr>
            <w:tcW w:type="dxa" w:w="922"/>
            <w:gridSpan w:val="2"/>
            <w:vMerge/>
          </w:tcPr>
          <w:p/>
        </w:tc>
        <w:tc>
          <w:tcPr>
            <w:tcW w:type="dxa" w:w="2307"/>
          </w:tcPr>
          <w:p>
            <w:pPr>
              <w:jc w:val="left"/>
            </w:pPr>
            <w:r>
              <w:rPr/>
              <w:t>图书质量保证措施（二） (9.0分)</w:t>
            </w:r>
          </w:p>
        </w:tc>
        <w:tc>
          <w:tcPr>
            <w:tcW w:type="dxa" w:w="5076"/>
          </w:tcPr>
          <w:p>
            <w:pPr>
              <w:jc w:val="left"/>
            </w:pPr>
            <w:r>
              <w:rPr/>
              <w:t>根据各投标人提供的图书质量保证措施（一）进行综合评价： （1）投标人提供保证正版图书的承诺函（并承诺杜绝提供其他非法、盗版图书），有承诺不符合质量及采购人要求提供无条件退换的，得3分，不提供或承诺内容不完整的得0分； （2）投标人承诺图书有防水及防潮包装的：有得3分，不提供或承诺内容不完整的得0分；（承诺函中需提供图书防水及防潮包装的图片） （3）投标人承诺（无条件送货、按时、准确）及提供到货清单和未到货清单服务等，有得3分，不提供或承诺内容不完整的得0分。</w:t>
            </w:r>
          </w:p>
        </w:tc>
      </w:tr>
      <w:tr>
        <w:tc>
          <w:tcPr>
            <w:tcW w:type="dxa" w:w="922"/>
            <w:gridSpan w:val="2"/>
            <w:vMerge/>
          </w:tcPr>
          <w:p/>
        </w:tc>
        <w:tc>
          <w:tcPr>
            <w:tcW w:type="dxa" w:w="2307"/>
          </w:tcPr>
          <w:p>
            <w:pPr>
              <w:jc w:val="left"/>
            </w:pPr>
            <w:r>
              <w:rPr/>
              <w:t>订到率保障措施（一） (3.0分)</w:t>
            </w:r>
          </w:p>
        </w:tc>
        <w:tc>
          <w:tcPr>
            <w:tcW w:type="dxa" w:w="5076"/>
          </w:tcPr>
          <w:p>
            <w:pPr>
              <w:jc w:val="left"/>
            </w:pPr>
            <w:r>
              <w:rPr/>
              <w:t>评标委员会根据投标人提供的图书订到率的保障措施进行评审，方案应包括（投标文件中方案标题应以下列方案名称命名）： （1）重点难点分析； （2）应对措施； （3）投递服务保障； 提供全部内容得3分，每缺1项扣1分。</w:t>
            </w:r>
          </w:p>
        </w:tc>
      </w:tr>
      <w:tr>
        <w:tc>
          <w:tcPr>
            <w:tcW w:type="dxa" w:w="922"/>
            <w:gridSpan w:val="2"/>
            <w:vMerge/>
          </w:tcPr>
          <w:p/>
        </w:tc>
        <w:tc>
          <w:tcPr>
            <w:tcW w:type="dxa" w:w="2307"/>
          </w:tcPr>
          <w:p>
            <w:pPr>
              <w:jc w:val="left"/>
            </w:pPr>
            <w:r>
              <w:rPr/>
              <w:t>订到率保障措施（二） (9.0分)</w:t>
            </w:r>
          </w:p>
        </w:tc>
        <w:tc>
          <w:tcPr>
            <w:tcW w:type="dxa" w:w="5076"/>
          </w:tcPr>
          <w:p>
            <w:pPr>
              <w:jc w:val="left"/>
            </w:pPr>
            <w:r>
              <w:rPr/>
              <w:t>评标委员会根据投标人提供的图书订到率的保障措施（一）进行综合评审： （1）项目实施方案对需求响应全面具体、针对项目全部重点难点全面剖析，能针对全部重点难点提出科学合理、可直接执行的实施方案，有效保障本项目实施，投递服务保障有利于实现服务效果，得9分； （2）项目实施方案对需求响应全面具体，针对部分重点难点全面剖析，只针对部分重点难点提出科学合理，具备一定执行性的实施方案，能基本保障本项目服务实施，投递服务保障基本满足服务效果，得5分； （3）项目实施方案对需求响应不全面，只针对部分重点难点剖析，提出方案合理性不足、针对性不强或难以执行的，无法保障本项目服务实施，投递服务保障达不到服务效果，得1分； （4）没提供得0分。</w:t>
            </w:r>
          </w:p>
        </w:tc>
      </w:tr>
      <w:tr>
        <w:tc>
          <w:tcPr>
            <w:tcW w:type="dxa" w:w="922"/>
            <w:gridSpan w:val="2"/>
            <w:vMerge/>
          </w:tcPr>
          <w:p/>
        </w:tc>
        <w:tc>
          <w:tcPr>
            <w:tcW w:type="dxa" w:w="2307"/>
          </w:tcPr>
          <w:p>
            <w:pPr>
              <w:jc w:val="left"/>
            </w:pPr>
            <w:r>
              <w:rPr/>
              <w:t>项目执行计划（一） (4.0分)</w:t>
            </w:r>
          </w:p>
        </w:tc>
        <w:tc>
          <w:tcPr>
            <w:tcW w:type="dxa" w:w="5076"/>
          </w:tcPr>
          <w:p>
            <w:pPr>
              <w:jc w:val="left"/>
            </w:pPr>
            <w:r>
              <w:rPr/>
              <w:t>评标委员会根据投标人提供的项目执行计划进行评审，方案应包括（投标文件中方案标题应以下列方案名称命名）： （1）供货计划； （2）图书采购计划； （3）图书到货保证措施（一）；（包括但不限于采到率、采准率、退换率） （4）图书到货保证措施（二）；（包括但不限于补订、急订） 提供全部内容得4分，每缺1项扣1分。</w:t>
            </w:r>
          </w:p>
        </w:tc>
      </w:tr>
      <w:tr>
        <w:tc>
          <w:tcPr>
            <w:tcW w:type="dxa" w:w="922"/>
            <w:gridSpan w:val="2"/>
            <w:vMerge/>
          </w:tcPr>
          <w:p/>
        </w:tc>
        <w:tc>
          <w:tcPr>
            <w:tcW w:type="dxa" w:w="2307"/>
          </w:tcPr>
          <w:p>
            <w:pPr>
              <w:jc w:val="left"/>
            </w:pPr>
            <w:r>
              <w:rPr/>
              <w:t>项目执行计划（二） (10.0分)</w:t>
            </w:r>
          </w:p>
        </w:tc>
        <w:tc>
          <w:tcPr>
            <w:tcW w:type="dxa" w:w="5076"/>
          </w:tcPr>
          <w:p>
            <w:pPr>
              <w:jc w:val="left"/>
            </w:pPr>
            <w:r>
              <w:rPr/>
              <w:t>评标委员会根据各投标人提供的项目执行计划（一）进行综合评价： （1）针对项目执行计划上评审，图书采购计划全面完善，图书到货保证措施时间安排合理，满足项目实施要求的，能有效保障本项目实施，有利于实现服务效果的得10分， （2）针对项目执行计划上评审，图书采购计划全面具体，图书到货保证措施时间安排合理，重难点满足项目实施要求的，能基本保障本项目实施，基本实现服务效果的得5分， （3）针对项目执行计划上评审，图书采购计划不够具体完善，图书到货保证措施时间不合理，部分满足项目实施要求的，不能完全保障本项目实施，难以实现服务效果的得1分，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评标委员会根据各投标人提供的售后服务方案进行综合评价： （1）急需用书即时送货； （2）特色书源； （3）文化节活动参与度； （4）专题讲座； （5）专题书展； （6）读书节活动支持。 提供全部内容得3分，每缺1项扣0.5分。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评标委员会根据各投标人提供的售后服务方案（一）进行综合评价：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2020年1月1日以来（以合同签订时间为准）同类项目业绩： （1）投标人每提供一项原版外文图书业绩得1分，此项最高得4分。 （2）投标人每提供一项原版港台图书业绩得1分，此项最高得4分。 注：一项业绩中同时包含原版外文图书及港台图书的可累计得分。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(4.0分)</w:t>
            </w:r>
          </w:p>
        </w:tc>
        <w:tc>
          <w:tcPr>
            <w:tcW w:type="dxa" w:w="5076"/>
          </w:tcPr>
          <w:p>
            <w:pPr>
              <w:jc w:val="left"/>
            </w:pPr>
            <w:r>
              <w:rPr/>
              <w:t>提供与上述“项目业绩”相对应的用户评价，评价为满意（非常满意）或优秀或良好等正面评价的，每提供一个得0.5分，本项最高4分。 注：提供用户评价材料（须含甲方公章）复印件，否则不得分。</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投标人具有有效的质量管理体系认证、环境管理体系认证、职业健康安全管理体系认证证书，每提供一项得1分，最高得3分。  注：同时提供有效期内的证书复印件，不提供或专家无法认定的不得分。</w:t>
            </w:r>
          </w:p>
        </w:tc>
      </w:tr>
      <w:tr>
        <w:tc>
          <w:tcPr>
            <w:tcW w:type="dxa" w:w="922"/>
            <w:gridSpan w:val="2"/>
            <w:vMerge/>
          </w:tcPr>
          <w:p/>
        </w:tc>
        <w:tc>
          <w:tcPr>
            <w:tcW w:type="dxa" w:w="2307"/>
          </w:tcPr>
          <w:p>
            <w:pPr>
              <w:jc w:val="left"/>
            </w:pPr>
            <w:r>
              <w:rPr/>
              <w:t>服务响应能力 (5.0分)</w:t>
            </w:r>
          </w:p>
        </w:tc>
        <w:tc>
          <w:tcPr>
            <w:tcW w:type="dxa" w:w="5076"/>
          </w:tcPr>
          <w:p>
            <w:pPr>
              <w:jc w:val="left"/>
            </w:pPr>
            <w:r>
              <w:rPr/>
              <w:t>接到采购人通知后，投标人承诺的服务响应时间：  在1个工作日（含）内到场的，得5分； 在1个工作日（不含）—2个工作日（含）到场的，得3分； 在2个工作日（不含）以上到场的，得1分。 注：提供承诺函或声明函，不提供不得分。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采购包3(原版外文及港台期刊):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期刊质量保证措施（一） (3.0分)</w:t>
            </w:r>
          </w:p>
        </w:tc>
        <w:tc>
          <w:tcPr>
            <w:tcW w:type="dxa" w:w="5076"/>
          </w:tcPr>
          <w:p>
            <w:pPr>
              <w:jc w:val="left"/>
            </w:pPr>
            <w:r>
              <w:rPr/>
              <w:t>评标委员会根据投标人提供的期刊质量保证措施进行评审，方案应包括（投标文件中方案标题应以下列方案名称命名）： （1）供货承诺情况； （2）退换承诺情况； （3）质量保证措施。 提供全部内容得3分，每缺1项扣1分。</w:t>
            </w:r>
          </w:p>
        </w:tc>
      </w:tr>
      <w:tr>
        <w:tc>
          <w:tcPr>
            <w:tcW w:type="dxa" w:w="922"/>
            <w:gridSpan w:val="2"/>
            <w:vMerge/>
          </w:tcPr>
          <w:p/>
        </w:tc>
        <w:tc>
          <w:tcPr>
            <w:tcW w:type="dxa" w:w="2307"/>
          </w:tcPr>
          <w:p>
            <w:pPr>
              <w:jc w:val="left"/>
            </w:pPr>
            <w:r>
              <w:rPr/>
              <w:t>期刊质量保证措施（二） (9.0分)</w:t>
            </w:r>
          </w:p>
        </w:tc>
        <w:tc>
          <w:tcPr>
            <w:tcW w:type="dxa" w:w="5076"/>
          </w:tcPr>
          <w:p>
            <w:pPr>
              <w:jc w:val="left"/>
            </w:pPr>
            <w:r>
              <w:rPr/>
              <w:t>评标委员会根据各投标人提供的期刊质量保证措施（一）进行综合评价： （1）投标人提供保证正版期刊的承诺函（并承诺杜绝提供其他非法期刊），有承诺不符合质量及采购人要求提供无条件退换的，得3分，不提供或承诺内容不完整的得0分； （2）投标人承诺期刊有防水及防潮包装的：有得3分，不提供或承诺内容不完整的得0分；（承诺函中需提供期刊防水及防潮包装的图片） 有承诺不符合质量及用户要求提供无条件退换，得2分； （3）投标人承诺（无条件送货、按时、准确）及提供到货清单和未到货清单服务等，有得3分，不提供或承诺内容不完整的得0分。</w:t>
            </w:r>
          </w:p>
        </w:tc>
      </w:tr>
      <w:tr>
        <w:tc>
          <w:tcPr>
            <w:tcW w:type="dxa" w:w="922"/>
            <w:gridSpan w:val="2"/>
            <w:vMerge/>
          </w:tcPr>
          <w:p/>
        </w:tc>
        <w:tc>
          <w:tcPr>
            <w:tcW w:type="dxa" w:w="2307"/>
          </w:tcPr>
          <w:p>
            <w:pPr>
              <w:jc w:val="left"/>
            </w:pPr>
            <w:r>
              <w:rPr/>
              <w:t>订到率保障措施（一） (3.0分)</w:t>
            </w:r>
          </w:p>
        </w:tc>
        <w:tc>
          <w:tcPr>
            <w:tcW w:type="dxa" w:w="5076"/>
          </w:tcPr>
          <w:p>
            <w:pPr>
              <w:jc w:val="left"/>
            </w:pPr>
            <w:r>
              <w:rPr/>
              <w:t>评标委员会根据投标人提供的期刊订到率的保障措施进行评审，方案应包括（投标文件中方案标题应以下列方案名称命名）： （1）重点难点分析； （2）应对措施； （3）投递服务保障； 提供全部内容得3分，每缺1项扣1分。</w:t>
            </w:r>
          </w:p>
        </w:tc>
      </w:tr>
      <w:tr>
        <w:tc>
          <w:tcPr>
            <w:tcW w:type="dxa" w:w="922"/>
            <w:gridSpan w:val="2"/>
            <w:vMerge/>
          </w:tcPr>
          <w:p/>
        </w:tc>
        <w:tc>
          <w:tcPr>
            <w:tcW w:type="dxa" w:w="2307"/>
          </w:tcPr>
          <w:p>
            <w:pPr>
              <w:jc w:val="left"/>
            </w:pPr>
            <w:r>
              <w:rPr/>
              <w:t>订到率保障措施（二） (9.0分)</w:t>
            </w:r>
          </w:p>
        </w:tc>
        <w:tc>
          <w:tcPr>
            <w:tcW w:type="dxa" w:w="5076"/>
          </w:tcPr>
          <w:p>
            <w:pPr>
              <w:jc w:val="left"/>
            </w:pPr>
            <w:r>
              <w:rPr/>
              <w:t>根据投标人对期刊订到率的保障措施（包括但不限于重点难点分析、应对措施、投递服务保障等）进行评价。 （1）项目实施方案对需求响应全面具体、针对项目全部重点难点全面剖析，能针对全部重点难点提出科学合理、可直接执行的实施方案，有效保障本项目实施，投递服务保障有利于实现服务效果，得9分； （2）项目实施方案对需求响应全面具体，针对部分重点难点全面剖析，只针对部分重点难点提出科学合理，具备一定执行性的实施方案，能基本保障本项目服务实施，投递服务保障基本满足服务效果，得5分； （3）项目实施方案对需求响应不全面，只针对部分重点难点剖析，提出方案合理性不足、针对性不强或难以执行的，无法保障本项目服务实施，投递服务保障达不到服务效果，得1分； （4）不提供不得分。</w:t>
            </w:r>
          </w:p>
        </w:tc>
      </w:tr>
      <w:tr>
        <w:tc>
          <w:tcPr>
            <w:tcW w:type="dxa" w:w="922"/>
            <w:gridSpan w:val="2"/>
            <w:vMerge/>
          </w:tcPr>
          <w:p/>
        </w:tc>
        <w:tc>
          <w:tcPr>
            <w:tcW w:type="dxa" w:w="2307"/>
          </w:tcPr>
          <w:p>
            <w:pPr>
              <w:jc w:val="left"/>
            </w:pPr>
            <w:r>
              <w:rPr/>
              <w:t>项目执行计划（一） (4.0分)</w:t>
            </w:r>
          </w:p>
        </w:tc>
        <w:tc>
          <w:tcPr>
            <w:tcW w:type="dxa" w:w="5076"/>
          </w:tcPr>
          <w:p>
            <w:pPr>
              <w:jc w:val="left"/>
            </w:pPr>
            <w:r>
              <w:rPr/>
              <w:t>评标委员会根据投标人提供的项目执行计划进行评审，方案应包括（投标文件中方案标题应以下列方案名称命名）： （1）供货计划； （2）期刊采购计划； （3）期刊到货保证措施（一）；（包括但不限于采到率、采准率、退换率） （4）期刊到货保证措施（二）；（包括但不限于补订、急订） 提供全部内容得4分，每缺1项扣1分。</w:t>
            </w:r>
          </w:p>
        </w:tc>
      </w:tr>
      <w:tr>
        <w:tc>
          <w:tcPr>
            <w:tcW w:type="dxa" w:w="922"/>
            <w:gridSpan w:val="2"/>
            <w:vMerge/>
          </w:tcPr>
          <w:p/>
        </w:tc>
        <w:tc>
          <w:tcPr>
            <w:tcW w:type="dxa" w:w="2307"/>
          </w:tcPr>
          <w:p>
            <w:pPr>
              <w:jc w:val="left"/>
            </w:pPr>
            <w:r>
              <w:rPr/>
              <w:t>项目执行计划（二） (10.0分)</w:t>
            </w:r>
          </w:p>
        </w:tc>
        <w:tc>
          <w:tcPr>
            <w:tcW w:type="dxa" w:w="5076"/>
          </w:tcPr>
          <w:p>
            <w:pPr>
              <w:jc w:val="left"/>
            </w:pPr>
            <w:r>
              <w:rPr/>
              <w:t>评标委员会根据各投标人提供的项目执行计划（一）进行综合评价： （1）针对项目执行计划上评审，期刊采购计划全面完善，期刊到货保证措施时间安排合理，满足项目实施要求的，能有效保障本项目实施，有利于实现服务效果的得10分， （2）针对项目执行计划上评审，期刊采购计划全面具体，期刊到货保证措施时间安排合理，重难点满足项目实施要求的，能基本保障本项目实施，基本实现服务效果的得5分， （3）针对项目执行计划上评审，期刊采购计划不够具体完善，期刊到货保证措施时间不合理，部分满足项目实施要求的，不能完全保障本项目实施，难以实现服务效果的得1分，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评标委员会根据各投标人提供的售后服务方案进行综合评价： （1）急需用书即时送货； （2）特色书源； （3）文化节活动参与度； （4）专题讲座； （5）专题书展； （6）读书节活动支持。 提供全部内容得3分，每缺1项扣0.5分。</w:t>
            </w:r>
          </w:p>
        </w:tc>
      </w:tr>
      <w:tr>
        <w:tc>
          <w:tcPr>
            <w:tcW w:type="dxa" w:w="922"/>
            <w:gridSpan w:val="2"/>
            <w:vMerge/>
          </w:tcPr>
          <w:p/>
        </w:tc>
        <w:tc>
          <w:tcPr>
            <w:tcW w:type="dxa" w:w="2307"/>
          </w:tcPr>
          <w:p>
            <w:pPr>
              <w:jc w:val="left"/>
            </w:pPr>
            <w:r>
              <w:rPr/>
              <w:t>售后服务方案（二） (9.0分)</w:t>
            </w:r>
          </w:p>
        </w:tc>
        <w:tc>
          <w:tcPr>
            <w:tcW w:type="dxa" w:w="5076"/>
          </w:tcPr>
          <w:p>
            <w:pPr>
              <w:jc w:val="left"/>
            </w:pPr>
            <w:r>
              <w:rPr/>
              <w:t>（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2020年1月1日以来（以合同签订时间为准）同类项目业绩： （1）投标人每提供一项原版外文期刊业绩得1分，此项最高得4分。 （2）投标人每提供一项原版港台期刊业绩得1分，此项最高得4分。 注：一项业绩中同时包含原版外文期刊及港台期刊的可累计得分。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提供与上述“项目业绩”要求的用户评价，评价为满意（非常满意）或优秀或良好等正面评价的，每提供一个得0.25分，本项最高2分。 注：提供用户评价材料（须含甲方公章）复印件，否则不得分。</w:t>
            </w:r>
          </w:p>
        </w:tc>
      </w:tr>
      <w:tr>
        <w:tc>
          <w:tcPr>
            <w:tcW w:type="dxa" w:w="922"/>
            <w:gridSpan w:val="2"/>
            <w:vMerge/>
          </w:tcPr>
          <w:p/>
        </w:tc>
        <w:tc>
          <w:tcPr>
            <w:tcW w:type="dxa" w:w="2307"/>
          </w:tcPr>
          <w:p>
            <w:pPr>
              <w:jc w:val="left"/>
            </w:pPr>
            <w:r>
              <w:rPr/>
              <w:t>与出版社合作情况 (4.0分)</w:t>
            </w:r>
          </w:p>
        </w:tc>
        <w:tc>
          <w:tcPr>
            <w:tcW w:type="dxa" w:w="5076"/>
          </w:tcPr>
          <w:p>
            <w:pPr>
              <w:jc w:val="left"/>
            </w:pPr>
            <w:r>
              <w:rPr/>
              <w:t>投标人与需求清单中的出版社具有合作关系，提供合同或协议复印件： （1）提供份数≥30的，得4分； （2）20≤提供份数＜30的，得3分； （3）10≤提供份数＜20的，得2分； （4）1≤提供份数＜10的，得1份； 未提供不得分。</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投标人具有有效的质量管理体系认证、环境管理体系认证、职业健康安全管理体系认证证书，每提供一项得1分，最高得3分。  注：同时提供有效期内的证书复印件，不提供或专家无法认定的不得分。</w:t>
            </w:r>
          </w:p>
        </w:tc>
      </w:tr>
      <w:tr>
        <w:tc>
          <w:tcPr>
            <w:tcW w:type="dxa" w:w="922"/>
            <w:gridSpan w:val="2"/>
            <w:vMerge/>
          </w:tcPr>
          <w:p/>
        </w:tc>
        <w:tc>
          <w:tcPr>
            <w:tcW w:type="dxa" w:w="2307"/>
          </w:tcPr>
          <w:p>
            <w:pPr>
              <w:jc w:val="left"/>
            </w:pPr>
            <w:r>
              <w:rPr/>
              <w:t>服务响应能力 (3.0分)</w:t>
            </w:r>
          </w:p>
        </w:tc>
        <w:tc>
          <w:tcPr>
            <w:tcW w:type="dxa" w:w="5076"/>
          </w:tcPr>
          <w:p>
            <w:pPr>
              <w:jc w:val="left"/>
            </w:pPr>
            <w:r>
              <w:rPr/>
              <w:t>接到采购人通知后，投标人承诺的服务响应时间：  在1个工作日（含）内到场的，得3分； 在1个工作日（不含）—2个工作日（含）到场的，得2分； 在2个工作日（不含）以上到场的，得1分。 注：提供承诺函或声明函，不提供不得分。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numPr>
          <w:ilvl w:val="0"/>
          <w:numId w:val="1"/>
        </w:numPr>
      </w:pPr>
    </w:p>
    <w:p>
      <w:pPr>
        <w:numPr>
          <w:ilvl w:val="1"/>
          <w:numId w:val="1"/>
        </w:numPr>
      </w:pPr>
      <w:r>
        <w:rPr>
          <w:sz w:val="21"/>
        </w:rPr>
        <w:t>合同书格式</w:t>
      </w:r>
    </w:p>
    <w:p>
      <w:pPr>
        <w:ind w:firstLine="210"/>
        <w:jc w:val="both"/>
      </w:pPr>
    </w:p>
    <w:p>
      <w:pPr>
        <w:jc w:val="both"/>
      </w:pPr>
    </w:p>
    <w:p>
      <w:pPr>
        <w:jc w:val="center"/>
      </w:pPr>
      <w:r>
        <w:rPr>
          <w:b/>
          <w:sz w:val="24"/>
        </w:rPr>
        <w:t>广东省政府采购</w:t>
      </w:r>
    </w:p>
    <w:p>
      <w:pPr>
        <w:jc w:val="center"/>
      </w:pPr>
      <w:r>
        <w:rPr>
          <w:b/>
          <w:sz w:val="24"/>
        </w:rPr>
        <w:t>合</w:t>
      </w:r>
      <w:r>
        <w:rPr>
          <w:b/>
          <w:sz w:val="24"/>
        </w:rPr>
        <w:t xml:space="preserve"> </w:t>
      </w:r>
      <w:r>
        <w:rPr>
          <w:b/>
          <w:sz w:val="24"/>
        </w:rPr>
        <w:t>同</w:t>
      </w:r>
      <w:r>
        <w:rPr>
          <w:b/>
          <w:sz w:val="24"/>
        </w:rPr>
        <w:t xml:space="preserve"> </w:t>
      </w:r>
      <w:r>
        <w:rPr>
          <w:b/>
          <w:sz w:val="24"/>
        </w:rPr>
        <w:t>书</w:t>
      </w:r>
    </w:p>
    <w:p>
      <w:pPr>
        <w:jc w:val="center"/>
      </w:pPr>
      <w:r>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r>
        <w:rPr>
          <w:b/>
          <w:sz w:val="24"/>
        </w:rPr>
        <w:t>项目编号：</w:t>
      </w:r>
    </w:p>
    <w:p>
      <w:pPr>
        <w:jc w:val="center"/>
      </w:pPr>
      <w:r>
        <w:rPr/>
        <w:t xml:space="preserve"> </w:t>
      </w:r>
    </w:p>
    <w:p>
      <w:pPr>
        <w:jc w:val="center"/>
      </w:pPr>
      <w:r>
        <w:rPr>
          <w:b/>
          <w:sz w:val="24"/>
        </w:rPr>
        <w:t>项目名称：</w:t>
      </w:r>
    </w:p>
    <w:p>
      <w:pPr>
        <w:jc w:val="center"/>
      </w:pPr>
      <w:r>
        <w:rPr/>
        <w:t xml:space="preserve"> </w:t>
      </w:r>
    </w:p>
    <w:p>
      <w:pPr>
        <w:jc w:val="center"/>
      </w:pPr>
      <w:r>
        <w:rPr>
          <w:b/>
          <w:sz w:val="24"/>
        </w:rPr>
        <w:t>合同编号：</w:t>
      </w:r>
    </w:p>
    <w:p>
      <w:pPr>
        <w:jc w:val="center"/>
      </w:pPr>
      <w:r>
        <w:rPr/>
        <w:t xml:space="preserve"> </w:t>
      </w:r>
    </w:p>
    <w:p>
      <w:pPr>
        <w:jc w:val="center"/>
      </w:pPr>
      <w:r>
        <w:rPr/>
        <w:t xml:space="preserve"> </w:t>
      </w:r>
    </w:p>
    <w:p>
      <w:pPr>
        <w:jc w:val="center"/>
      </w:pPr>
    </w:p>
    <w:p>
      <w:pPr>
        <w:jc w:val="center"/>
      </w:pPr>
    </w:p>
    <w:p>
      <w:pPr>
        <w:jc w:val="center"/>
      </w:pPr>
    </w:p>
    <w:p>
      <w:pPr>
        <w:jc w:val="center"/>
      </w:pPr>
      <w:r>
        <w:rPr>
          <w:b/>
          <w:sz w:val="24"/>
        </w:rPr>
        <w:t>采购代理机构：</w:t>
      </w:r>
    </w:p>
    <w:p>
      <w:pPr>
        <w:jc w:val="center"/>
      </w:pPr>
    </w:p>
    <w:p>
      <w:pPr>
        <w:ind w:firstLine="210"/>
        <w:jc w:val="both"/>
      </w:pPr>
    </w:p>
    <w:p>
      <w:pPr>
        <w:jc w:val="both"/>
      </w:pPr>
    </w:p>
    <w:p/>
    <w:p/>
    <w:p>
      <w:r>
        <w:rPr/>
        <w:t xml:space="preserve"> </w:t>
      </w:r>
    </w:p>
    <w:p>
      <w:r>
        <w:rPr/>
        <w:t xml:space="preserve"> </w:t>
      </w:r>
    </w:p>
    <w:p>
      <w:r>
        <w:rPr/>
        <w:t xml:space="preserve"> </w:t>
      </w:r>
    </w:p>
    <w:p>
      <w:pPr>
        <w:ind w:firstLine="480"/>
        <w:jc w:val="center"/>
      </w:pPr>
      <w:r>
        <w:rPr>
          <w:b/>
          <w:sz w:val="21"/>
        </w:rPr>
        <w:t>合同样本一（适用于采购包</w:t>
      </w:r>
      <w:r>
        <w:rPr>
          <w:b/>
          <w:sz w:val="21"/>
        </w:rPr>
        <w:t>1）</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02"/>
        <w:gridCol w:w="4103"/>
      </w:tblGrid>
      <w:tr>
        <w:tc>
          <w:tcPr>
            <w:tcW w:type="dxa" w:w="4202"/>
            <w:tcBorders>
              <w:top w:val="single" w:color="F2F2F2" w:sz="4"/>
              <w:left w:val="single" w:color="F2F2F2" w:sz="4"/>
              <w:bottom w:val="single" w:color="F2F2F2" w:sz="4"/>
              <w:right w:val="single" w:color="F2F2F2" w:sz="4"/>
            </w:tcBorders>
            <w:vAlign w:val="top"/>
          </w:tcPr>
          <w:p>
            <w:pPr>
              <w:jc w:val="both"/>
            </w:pPr>
            <w:r>
              <w:rPr>
                <w:sz w:val="21"/>
              </w:rPr>
              <w:t>甲方：汕头大学</w:t>
            </w:r>
          </w:p>
        </w:tc>
        <w:tc>
          <w:tcPr>
            <w:tcW w:type="dxa" w:w="4103"/>
            <w:tcBorders>
              <w:top w:val="single" w:color="F2F2F2" w:sz="4"/>
              <w:left w:val="single" w:color="F2F2F2" w:sz="4"/>
              <w:bottom w:val="single" w:color="F2F2F2" w:sz="4"/>
              <w:right w:val="single" w:color="F2F2F2" w:sz="4"/>
            </w:tcBorders>
            <w:vAlign w:val="top"/>
          </w:tcPr>
          <w:p>
            <w:pPr>
              <w:jc w:val="both"/>
            </w:pPr>
            <w:r>
              <w:rPr>
                <w:sz w:val="21"/>
              </w:rPr>
              <w:t>乙方：</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法定代表人：</w:t>
            </w:r>
            <w:r>
              <w:rPr>
                <w:sz w:val="21"/>
              </w:rPr>
              <w:t>郝志峰</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法定代表人：</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w:t>
            </w:r>
            <w:r>
              <w:rPr>
                <w:sz w:val="21"/>
              </w:rPr>
              <w:t>号</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地址：</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开户银行：</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帐号：</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统一社会信用代码：</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联系人：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联系人：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电子邮箱：</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电子邮箱：</w:t>
            </w:r>
          </w:p>
        </w:tc>
      </w:tr>
    </w:tbl>
    <w:p>
      <w:pPr>
        <w:jc w:val="both"/>
      </w:pPr>
    </w:p>
    <w:p>
      <w:pPr>
        <w:jc w:val="both"/>
      </w:pPr>
      <w:r>
        <w:rPr>
          <w:sz w:val="21"/>
        </w:rPr>
        <w:t>根据</w:t>
      </w:r>
      <w:r>
        <w:rPr>
          <w:sz w:val="21"/>
          <w:u w:val="single"/>
        </w:rPr>
        <w:t xml:space="preserve">         </w:t>
      </w:r>
      <w:r>
        <w:rPr>
          <w:sz w:val="21"/>
        </w:rPr>
        <w:t>（项目编号：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ind w:firstLine="420"/>
        <w:jc w:val="both"/>
      </w:pPr>
      <w:r>
        <w:rPr>
          <w:b/>
          <w:sz w:val="21"/>
        </w:rPr>
        <w:t>一、合同标的</w:t>
      </w:r>
    </w:p>
    <w:p>
      <w:pPr>
        <w:ind w:firstLine="420"/>
        <w:jc w:val="both"/>
      </w:pPr>
      <w:r>
        <w:rPr>
          <w:sz w:val="21"/>
        </w:rPr>
        <w:t>1.项目内容：</w:t>
      </w:r>
    </w:p>
    <w:p>
      <w:pPr>
        <w:ind w:firstLine="420"/>
        <w:jc w:val="both"/>
      </w:pPr>
      <w:r>
        <w:rPr>
          <w:sz w:val="21"/>
        </w:rPr>
        <w:t>2.采购范围：国内版图书</w:t>
      </w:r>
    </w:p>
    <w:p>
      <w:pPr>
        <w:ind w:firstLine="420"/>
        <w:jc w:val="both"/>
      </w:pPr>
    </w:p>
    <w:p>
      <w:pPr>
        <w:jc w:val="both"/>
      </w:pPr>
      <w:r>
        <w:rPr>
          <w:sz w:val="21"/>
        </w:rPr>
        <w:t>二、合同金额及付款方式：</w:t>
      </w:r>
    </w:p>
    <w:p>
      <w:pPr>
        <w:jc w:val="both"/>
      </w:pPr>
      <w:r>
        <w:rPr>
          <w:sz w:val="21"/>
        </w:rPr>
        <w:t>（</w:t>
      </w:r>
      <w:r>
        <w:rPr>
          <w:sz w:val="21"/>
        </w:rPr>
        <w:t>1</w:t>
      </w:r>
      <w:r>
        <w:rPr>
          <w:sz w:val="21"/>
        </w:rPr>
        <w:t>）合同有效期内，到馆图书经甲方验收合格，分十次完成交付，每批次图书到货后，经甲方完成验收工作，需要退换书的办妥退换书手续，并经双方确认后，按结算价结算。结算价格已包含履行合同及本项目招标文件特别是其中“技术标准与要求”要求所有相关服务所需的服务费用、其他费用及相关税费，甲方不再支付结算价格以外的其他任何费用。乙方提供国家税务部门监制的销售正式发票。图书结算价（实洋）（人民币元）＝图书定价×中标综合折扣率。</w:t>
      </w:r>
    </w:p>
    <w:p>
      <w:pPr>
        <w:jc w:val="both"/>
      </w:pPr>
      <w:r>
        <w:rPr>
          <w:sz w:val="21"/>
        </w:rPr>
        <w:t>（</w:t>
      </w:r>
      <w:r>
        <w:rPr>
          <w:sz w:val="21"/>
        </w:rPr>
        <w:t>2</w:t>
      </w:r>
      <w:r>
        <w:rPr>
          <w:sz w:val="21"/>
        </w:rPr>
        <w:t>）甲方于收到发票</w:t>
      </w:r>
      <w:r>
        <w:rPr>
          <w:sz w:val="21"/>
        </w:rPr>
        <w:t>15</w:t>
      </w:r>
      <w:r>
        <w:rPr>
          <w:sz w:val="21"/>
        </w:rPr>
        <w:t>日内实洋付款。</w:t>
      </w:r>
    </w:p>
    <w:p>
      <w:pPr>
        <w:jc w:val="both"/>
      </w:pPr>
      <w:r>
        <w:rPr>
          <w:sz w:val="21"/>
        </w:rPr>
        <w:t>（</w:t>
      </w:r>
      <w:r>
        <w:rPr>
          <w:sz w:val="21"/>
        </w:rPr>
        <w:t>3</w:t>
      </w:r>
      <w:r>
        <w:rPr>
          <w:sz w:val="21"/>
        </w:rPr>
        <w:t>）支付方式：采用支票、银行汇付（含电汇）等形式。</w:t>
      </w:r>
    </w:p>
    <w:p>
      <w:pPr>
        <w:jc w:val="both"/>
      </w:pPr>
      <w:r>
        <w:rPr>
          <w:sz w:val="21"/>
        </w:rPr>
        <w:t>（</w:t>
      </w:r>
      <w:r>
        <w:rPr>
          <w:sz w:val="21"/>
        </w:rPr>
        <w:t>4</w:t>
      </w:r>
      <w:r>
        <w:rPr>
          <w:sz w:val="21"/>
        </w:rPr>
        <w:t>）本合同有效期自合同签订之日起至</w:t>
      </w:r>
      <w:r>
        <w:rPr>
          <w:sz w:val="21"/>
        </w:rPr>
        <w:t xml:space="preserve">202  </w:t>
      </w:r>
      <w:r>
        <w:rPr>
          <w:sz w:val="21"/>
        </w:rPr>
        <w:t>年  月  日。</w:t>
      </w:r>
    </w:p>
    <w:p>
      <w:pPr>
        <w:ind w:firstLine="420"/>
        <w:jc w:val="both"/>
      </w:pPr>
    </w:p>
    <w:p>
      <w:pPr>
        <w:jc w:val="both"/>
      </w:pPr>
      <w:r>
        <w:rPr>
          <w:sz w:val="21"/>
        </w:rPr>
        <w:t>三、项目要求</w:t>
      </w:r>
    </w:p>
    <w:p>
      <w:pPr>
        <w:jc w:val="both"/>
      </w:pPr>
      <w:r>
        <w:rPr>
          <w:sz w:val="21"/>
        </w:rPr>
        <w:t>1</w:t>
      </w:r>
      <w:r>
        <w:rPr>
          <w:sz w:val="21"/>
        </w:rPr>
        <w:t>、项目需求概况：</w:t>
      </w:r>
    </w:p>
    <w:p>
      <w:pPr>
        <w:jc w:val="both"/>
      </w:pPr>
      <w:r>
        <w:rPr>
          <w:sz w:val="21"/>
        </w:rPr>
        <w:t>(1)</w:t>
      </w:r>
      <w:r>
        <w:rPr>
          <w:sz w:val="21"/>
        </w:rPr>
        <w:t>本项目所采购的图书为</w:t>
      </w:r>
      <w:r>
        <w:rPr>
          <w:sz w:val="21"/>
        </w:rPr>
        <w:t>2022</w:t>
      </w:r>
      <w:r>
        <w:rPr>
          <w:sz w:val="21"/>
        </w:rPr>
        <w:t>年</w:t>
      </w:r>
      <w:r>
        <w:rPr>
          <w:sz w:val="21"/>
        </w:rPr>
        <w:t>1</w:t>
      </w:r>
      <w:r>
        <w:rPr>
          <w:sz w:val="21"/>
        </w:rPr>
        <w:t>月</w:t>
      </w:r>
      <w:r>
        <w:rPr>
          <w:sz w:val="21"/>
        </w:rPr>
        <w:t>1</w:t>
      </w:r>
      <w:r>
        <w:rPr>
          <w:sz w:val="21"/>
        </w:rPr>
        <w:t>日后出版的本科高校适用的全新、正版的国内版纸质图书。</w:t>
      </w:r>
    </w:p>
    <w:p>
      <w:pPr>
        <w:jc w:val="both"/>
      </w:pPr>
      <w:r>
        <w:rPr>
          <w:sz w:val="21"/>
        </w:rPr>
        <w:t>(2)</w:t>
      </w:r>
      <w:r>
        <w:rPr>
          <w:sz w:val="21"/>
        </w:rPr>
        <w:t>采购数量：约</w:t>
      </w:r>
      <w:r>
        <w:rPr>
          <w:sz w:val="21"/>
        </w:rPr>
        <w:t>3.7</w:t>
      </w:r>
      <w:r>
        <w:rPr>
          <w:sz w:val="21"/>
        </w:rPr>
        <w:t>万册，每种图书复本量以实际订单为准，采购图书实洋总额不超人民币</w:t>
      </w:r>
      <w:r>
        <w:rPr>
          <w:sz w:val="21"/>
        </w:rPr>
        <w:t>190</w:t>
      </w:r>
      <w:r>
        <w:rPr>
          <w:sz w:val="21"/>
        </w:rPr>
        <w:t>万元。</w:t>
      </w:r>
    </w:p>
    <w:p>
      <w:pPr>
        <w:jc w:val="both"/>
      </w:pPr>
      <w:r>
        <w:rPr>
          <w:sz w:val="21"/>
        </w:rPr>
        <w:t>(3)</w:t>
      </w:r>
      <w:r>
        <w:rPr>
          <w:sz w:val="21"/>
        </w:rPr>
        <w:t>图书类别：甲方学校内设置的各学科专业图书和教材教辅图书，主要包括但不限于以下专业：经济、贸易、金融、会计、法学、社会学、教育学、文学、哲学、历史、心理学、美术、体育、外语（英语、日语、法语、西班牙语等）、广告学、传播学、艺术设计、工业设计、数学、物理学、化学、食品科学、生物科学、生物技术、电子科学与技术、材料学、机械设计制造及其自动化、测控技术、光电工程、电子信息、通信、计算机、医学、软件工程、建筑学、城市规划、土木工程、管理学（信息管理、工商管理、市场营销、人力资源管理、电子商务、行政管理、城市管理），以及其它社会科学、自然科学类图书，其中以上相关专业的本科及研究生教材是采购重点，应当配齐。</w:t>
      </w:r>
    </w:p>
    <w:p>
      <w:pPr>
        <w:jc w:val="both"/>
      </w:pPr>
      <w:r>
        <w:rPr>
          <w:sz w:val="21"/>
        </w:rPr>
        <w:t>(4)</w:t>
      </w:r>
      <w:r>
        <w:rPr>
          <w:sz w:val="21"/>
        </w:rPr>
        <w:t>乙方应当能够提供包括社科新书目和科技新书目在内的充足的符合</w:t>
      </w:r>
      <w:r>
        <w:rPr>
          <w:sz w:val="21"/>
        </w:rPr>
        <w:t>CNMARC</w:t>
      </w:r>
      <w:r>
        <w:rPr>
          <w:sz w:val="21"/>
        </w:rPr>
        <w:t>标准的电子版的期货书目（即预订新书目）采访数据的下载和网上报订服务，甲方直接从电子版书目中挑选订购图书并向乙方提供购书清单，乙方应当严格按照购书清单的要求按质按量按时提供图书。</w:t>
      </w:r>
    </w:p>
    <w:p>
      <w:pPr>
        <w:jc w:val="both"/>
      </w:pPr>
      <w:r>
        <w:rPr>
          <w:sz w:val="21"/>
        </w:rPr>
        <w:t>A.</w:t>
      </w:r>
      <w:r>
        <w:rPr>
          <w:sz w:val="21"/>
        </w:rPr>
        <w:t>书目订购主要参考能全面客观反映全国已出版或即将出版新书信息的采访书目，尤其是甲方学校图书馆根据本校学科特点认定的重点出版社以及新闻出版署等评定的新书信息，包括但不限于图书供应商书目、馆藏重点出版社书目、《科技新书目》和《社科新书目》以及各类推荐图书和获奖图书等。对甲方自定的主题，应在一周内将该主题的书目信息搜集齐全，并发送到指定邮箱供选择征订。</w:t>
      </w:r>
    </w:p>
    <w:p>
      <w:pPr>
        <w:jc w:val="both"/>
      </w:pPr>
      <w:r>
        <w:rPr>
          <w:sz w:val="21"/>
        </w:rPr>
        <w:t>B.</w:t>
      </w:r>
      <w:r>
        <w:rPr>
          <w:sz w:val="21"/>
        </w:rPr>
        <w:t>采购书源、采购方式、采购图书的品种和出版社等完全根据甲方学校图书馆需要乙方不得对汕头大学图书馆的采购设置任何障碍。</w:t>
      </w:r>
    </w:p>
    <w:p>
      <w:pPr>
        <w:jc w:val="both"/>
      </w:pPr>
      <w:r>
        <w:rPr>
          <w:sz w:val="21"/>
        </w:rPr>
        <w:t>(5)</w:t>
      </w:r>
      <w:r>
        <w:rPr>
          <w:sz w:val="21"/>
        </w:rPr>
        <w:t>书目信息量：乙方应当保证能够每年负责提供符合甲方学校内图书馆馆藏要求的电子版书目≥</w:t>
      </w:r>
      <w:r>
        <w:rPr>
          <w:sz w:val="21"/>
        </w:rPr>
        <w:t>8</w:t>
      </w:r>
      <w:r>
        <w:rPr>
          <w:sz w:val="21"/>
        </w:rPr>
        <w:t>万种，每周至少提供一期电子版新书书目（</w:t>
      </w:r>
      <w:r>
        <w:rPr>
          <w:sz w:val="21"/>
        </w:rPr>
        <w:t>2000</w:t>
      </w:r>
      <w:r>
        <w:rPr>
          <w:sz w:val="21"/>
        </w:rPr>
        <w:t>种左右的书目信息），并按照社科版和科技版分成两批次，电子版书目格式为</w:t>
      </w:r>
      <w:r>
        <w:rPr>
          <w:sz w:val="21"/>
        </w:rPr>
        <w:t>CNMARC</w:t>
      </w:r>
      <w:r>
        <w:rPr>
          <w:sz w:val="21"/>
        </w:rPr>
        <w:t>格式。</w:t>
      </w:r>
    </w:p>
    <w:p>
      <w:pPr>
        <w:jc w:val="both"/>
      </w:pPr>
      <w:r>
        <w:rPr>
          <w:sz w:val="21"/>
        </w:rPr>
        <w:t>(6)</w:t>
      </w:r>
      <w:r>
        <w:rPr>
          <w:sz w:val="21"/>
        </w:rPr>
        <w:t>数据要求：乙方提供的电子版书目采访数据应符合甲方学校图书馆的技术要求：</w:t>
      </w:r>
    </w:p>
    <w:p>
      <w:pPr>
        <w:jc w:val="both"/>
      </w:pPr>
      <w:r>
        <w:rPr>
          <w:sz w:val="21"/>
        </w:rPr>
        <w:t>A.</w:t>
      </w:r>
      <w:r>
        <w:rPr>
          <w:sz w:val="21"/>
        </w:rPr>
        <w:t>提供的采访数据应当具有包括但不限于征订书目名、书目代号、期号、序号、书名、著者、出版社、</w:t>
      </w:r>
      <w:r>
        <w:rPr>
          <w:sz w:val="21"/>
        </w:rPr>
        <w:t>ISBN</w:t>
      </w:r>
      <w:r>
        <w:rPr>
          <w:sz w:val="21"/>
        </w:rPr>
        <w:t>、单价、开本、页码、出版时间、内容简介和读者对象及中图分类号的重要字段</w:t>
      </w:r>
      <w:r>
        <w:rPr>
          <w:sz w:val="21"/>
        </w:rPr>
        <w:t>,</w:t>
      </w:r>
      <w:r>
        <w:rPr>
          <w:sz w:val="21"/>
        </w:rPr>
        <w:t>多卷书和系列套装书的信息应尽量齐全，如多卷书的分卷次号、分册名要标注清楚，套装书如果按单册订购，应该将价格修改成单册价格，并负责为保证顺利导入甲方学校图书馆图书管理系统提供技术支持。</w:t>
      </w:r>
    </w:p>
    <w:p>
      <w:pPr>
        <w:jc w:val="both"/>
      </w:pPr>
      <w:r>
        <w:rPr>
          <w:sz w:val="21"/>
        </w:rPr>
        <w:t>B.</w:t>
      </w:r>
      <w:r>
        <w:rPr>
          <w:sz w:val="21"/>
        </w:rPr>
        <w:t>提供的征订图书内容均须符合高校图书馆收藏的要求，不应提供下列类型图书采访征订目录：</w:t>
      </w:r>
    </w:p>
    <w:p>
      <w:pPr>
        <w:jc w:val="both"/>
      </w:pPr>
      <w:r>
        <w:rPr>
          <w:sz w:val="21"/>
        </w:rPr>
        <w:t>a. 64</w:t>
      </w:r>
      <w:r>
        <w:rPr>
          <w:sz w:val="21"/>
        </w:rPr>
        <w:t>开及其以下开本的图书和少于</w:t>
      </w:r>
      <w:r>
        <w:rPr>
          <w:sz w:val="21"/>
        </w:rPr>
        <w:t>50</w:t>
      </w:r>
      <w:r>
        <w:rPr>
          <w:sz w:val="21"/>
        </w:rPr>
        <w:t>页的小册子；</w:t>
      </w:r>
    </w:p>
    <w:p>
      <w:pPr>
        <w:jc w:val="both"/>
      </w:pPr>
      <w:r>
        <w:rPr>
          <w:sz w:val="21"/>
        </w:rPr>
        <w:t>b.</w:t>
      </w:r>
      <w:r>
        <w:rPr>
          <w:sz w:val="21"/>
        </w:rPr>
        <w:t>挂图、单页图谱、活页（如练习册、试卷等）；</w:t>
      </w:r>
    </w:p>
    <w:p>
      <w:pPr>
        <w:jc w:val="both"/>
      </w:pPr>
      <w:r>
        <w:rPr>
          <w:sz w:val="21"/>
        </w:rPr>
        <w:t>c.</w:t>
      </w:r>
      <w:r>
        <w:rPr>
          <w:sz w:val="21"/>
        </w:rPr>
        <w:t>少儿读物、中级程度（包括中等专业、高职高专、专科学校）适用的各类图书、通俗读物和普及读物，及明显不适合高校图书馆收藏的图书。</w:t>
      </w:r>
    </w:p>
    <w:p>
      <w:pPr>
        <w:jc w:val="both"/>
      </w:pPr>
      <w:r>
        <w:rPr>
          <w:sz w:val="21"/>
        </w:rPr>
        <w:t>C.</w:t>
      </w:r>
      <w:r>
        <w:rPr>
          <w:sz w:val="21"/>
        </w:rPr>
        <w:t>随书配送</w:t>
      </w:r>
      <w:r>
        <w:rPr>
          <w:sz w:val="21"/>
        </w:rPr>
        <w:t>CNMARC</w:t>
      </w:r>
      <w:r>
        <w:rPr>
          <w:sz w:val="21"/>
        </w:rPr>
        <w:t>编目数据，数据配送率应当达</w:t>
      </w:r>
      <w:r>
        <w:rPr>
          <w:sz w:val="21"/>
        </w:rPr>
        <w:t>100%</w:t>
      </w:r>
      <w:r>
        <w:rPr>
          <w:sz w:val="21"/>
        </w:rPr>
        <w:t>。数据应当达到国家图书馆数据标准。不达标和所缺数据，应当在甲方通知后的</w:t>
      </w:r>
      <w:r>
        <w:rPr>
          <w:sz w:val="21"/>
        </w:rPr>
        <w:t>3</w:t>
      </w:r>
      <w:r>
        <w:rPr>
          <w:sz w:val="21"/>
        </w:rPr>
        <w:t>天之内补全。否则，应当支付甲方查询、下载相关数据的全部费用。</w:t>
      </w:r>
    </w:p>
    <w:p>
      <w:pPr>
        <w:jc w:val="both"/>
      </w:pPr>
      <w:r>
        <w:rPr>
          <w:sz w:val="21"/>
        </w:rPr>
        <w:t>D.</w:t>
      </w:r>
      <w:r>
        <w:rPr>
          <w:sz w:val="21"/>
        </w:rPr>
        <w:t>全年所提供的书目采访数据错误率应低于万分之三。</w:t>
      </w:r>
    </w:p>
    <w:p>
      <w:pPr>
        <w:jc w:val="both"/>
      </w:pPr>
      <w:r>
        <w:rPr>
          <w:sz w:val="21"/>
        </w:rPr>
        <w:t>2</w:t>
      </w:r>
      <w:r>
        <w:rPr>
          <w:sz w:val="21"/>
        </w:rPr>
        <w:t>、项目技术要求：</w:t>
      </w:r>
    </w:p>
    <w:p>
      <w:pPr>
        <w:jc w:val="both"/>
      </w:pPr>
      <w:r>
        <w:rPr>
          <w:sz w:val="21"/>
        </w:rPr>
        <w:t>(1)</w:t>
      </w:r>
      <w:r>
        <w:rPr>
          <w:sz w:val="21"/>
        </w:rPr>
        <w:t>到书率：订购图书的半年到书率≥</w:t>
      </w:r>
      <w:r>
        <w:rPr>
          <w:sz w:val="21"/>
        </w:rPr>
        <w:t>90%</w:t>
      </w:r>
      <w:r>
        <w:rPr>
          <w:sz w:val="21"/>
        </w:rPr>
        <w:t>；甲方指定书目</w:t>
      </w:r>
      <w:r>
        <w:rPr>
          <w:sz w:val="21"/>
        </w:rPr>
        <w:t>(</w:t>
      </w:r>
      <w:r>
        <w:rPr>
          <w:sz w:val="21"/>
        </w:rPr>
        <w:t>零订图书，市场上有流通的</w:t>
      </w:r>
      <w:r>
        <w:rPr>
          <w:sz w:val="21"/>
        </w:rPr>
        <w:t>)30</w:t>
      </w:r>
      <w:r>
        <w:rPr>
          <w:sz w:val="21"/>
        </w:rPr>
        <w:t>天到书率总体不得≤</w:t>
      </w:r>
      <w:r>
        <w:rPr>
          <w:sz w:val="21"/>
        </w:rPr>
        <w:t>90%</w:t>
      </w:r>
      <w:r>
        <w:rPr>
          <w:sz w:val="21"/>
        </w:rPr>
        <w:t>。</w:t>
      </w:r>
      <w:r>
        <w:rPr>
          <w:sz w:val="21"/>
        </w:rPr>
        <w:t>订单发出半年后未能交付的图书，需提供理由并反馈信息。</w:t>
      </w:r>
    </w:p>
    <w:p>
      <w:pPr>
        <w:jc w:val="both"/>
      </w:pPr>
      <w:r>
        <w:rPr>
          <w:sz w:val="21"/>
        </w:rPr>
        <w:t>(2)</w:t>
      </w:r>
      <w:r>
        <w:rPr>
          <w:sz w:val="21"/>
        </w:rPr>
        <w:t>送货要求：乙方在每批图书发货一天前用电话或</w:t>
      </w:r>
      <w:r>
        <w:rPr>
          <w:sz w:val="21"/>
        </w:rPr>
        <w:t>Email</w:t>
      </w:r>
      <w:r>
        <w:rPr>
          <w:sz w:val="21"/>
        </w:rPr>
        <w:t>形式通知甲方并负责送书上门，所有图书应当按满足运输距离、防湿和防破损等运输和装卸要求打包送到甲方指定地点（乙方提供无条件送书、卸货、搬运等），并提供纸质图书发货清单，一包一单，一式两份。发货清单应包括但不限于下列项目：购货单位、批次、制单日期、箱号、书名、</w:t>
      </w:r>
      <w:r>
        <w:rPr>
          <w:sz w:val="21"/>
        </w:rPr>
        <w:t>ISBN</w:t>
      </w:r>
      <w:r>
        <w:rPr>
          <w:sz w:val="21"/>
        </w:rPr>
        <w:t>、出版社、单价、册数、码洋、书目号等。每包有小计，包括种数、册数、本包码洋。整批图书有合计，合计内容为此批图书的总种数、总册数和总码洋。一份清单分别附于各包装货件内，另一份是以箱号为序的总清单，货单相符。外文图书及随书附光盘图书分包包装。</w:t>
      </w:r>
    </w:p>
    <w:p>
      <w:pPr>
        <w:jc w:val="both"/>
      </w:pPr>
      <w:r>
        <w:rPr>
          <w:sz w:val="21"/>
        </w:rPr>
        <w:t>(3)</w:t>
      </w:r>
      <w:r>
        <w:rPr>
          <w:sz w:val="21"/>
        </w:rPr>
        <w:t>图书质量：乙方应当保证销售正版图书，对盗版图书甲方拒绝验收，乙方应当接受无条件退货，并承担一切法律责任，由此而造成甲方向行政机关或第三人承担行政、民事责任或有其他损失的，甲方有权向乙方追偿。</w:t>
      </w:r>
    </w:p>
    <w:p>
      <w:pPr>
        <w:jc w:val="both"/>
      </w:pPr>
      <w:r>
        <w:rPr>
          <w:sz w:val="21"/>
        </w:rPr>
        <w:t>(4)</w:t>
      </w:r>
      <w:r>
        <w:rPr>
          <w:sz w:val="21"/>
        </w:rPr>
        <w:t>图书退换：图书出现下列任一情况，乙方应当无条件负责退换。退换产生的费用由乙方承担。</w:t>
      </w:r>
    </w:p>
    <w:p>
      <w:pPr>
        <w:jc w:val="both"/>
      </w:pPr>
      <w:r>
        <w:rPr>
          <w:sz w:val="21"/>
        </w:rPr>
        <w:t>A.</w:t>
      </w:r>
      <w:r>
        <w:rPr>
          <w:sz w:val="21"/>
        </w:rPr>
        <w:t>盗版图书；</w:t>
      </w:r>
    </w:p>
    <w:p>
      <w:pPr>
        <w:jc w:val="both"/>
      </w:pPr>
      <w:r>
        <w:rPr>
          <w:sz w:val="21"/>
        </w:rPr>
        <w:t>B.</w:t>
      </w:r>
      <w:r>
        <w:rPr>
          <w:sz w:val="21"/>
        </w:rPr>
        <w:t>出现装订、印刷质量问题和损坏；</w:t>
      </w:r>
    </w:p>
    <w:p>
      <w:pPr>
        <w:jc w:val="both"/>
      </w:pPr>
      <w:r>
        <w:rPr>
          <w:sz w:val="21"/>
        </w:rPr>
        <w:t>C.</w:t>
      </w:r>
      <w:r>
        <w:rPr>
          <w:sz w:val="21"/>
        </w:rPr>
        <w:t>配套不齐全；</w:t>
      </w:r>
    </w:p>
    <w:p>
      <w:pPr>
        <w:jc w:val="both"/>
      </w:pPr>
      <w:r>
        <w:rPr>
          <w:sz w:val="21"/>
        </w:rPr>
        <w:t>D.</w:t>
      </w:r>
      <w:r>
        <w:rPr>
          <w:sz w:val="21"/>
        </w:rPr>
        <w:t>提供的品种和数量与订货单不符；</w:t>
      </w:r>
    </w:p>
    <w:p>
      <w:pPr>
        <w:jc w:val="both"/>
      </w:pPr>
      <w:r>
        <w:rPr>
          <w:sz w:val="21"/>
        </w:rPr>
        <w:t>E.</w:t>
      </w:r>
      <w:r>
        <w:rPr>
          <w:sz w:val="21"/>
        </w:rPr>
        <w:t>因内容、开本、页数等等原因不符合甲方学校图书馆馆藏；</w:t>
      </w:r>
    </w:p>
    <w:p>
      <w:pPr>
        <w:jc w:val="both"/>
      </w:pPr>
      <w:r>
        <w:rPr>
          <w:sz w:val="21"/>
        </w:rPr>
        <w:t>F.</w:t>
      </w:r>
      <w:r>
        <w:rPr>
          <w:sz w:val="21"/>
        </w:rPr>
        <w:t>因乙方提供的征订书目（采访数据）信息错、漏及模糊而导致甲方误订；</w:t>
      </w:r>
    </w:p>
    <w:p>
      <w:pPr>
        <w:jc w:val="both"/>
      </w:pPr>
      <w:r>
        <w:rPr>
          <w:sz w:val="21"/>
        </w:rPr>
        <w:t>G.</w:t>
      </w:r>
      <w:r>
        <w:rPr>
          <w:sz w:val="21"/>
        </w:rPr>
        <w:t>甲方认为必须退书的其他情况。</w:t>
      </w:r>
    </w:p>
    <w:p>
      <w:pPr>
        <w:jc w:val="both"/>
      </w:pPr>
      <w:r>
        <w:rPr>
          <w:sz w:val="21"/>
        </w:rPr>
        <w:t>(5)</w:t>
      </w:r>
      <w:r>
        <w:rPr>
          <w:sz w:val="21"/>
        </w:rPr>
        <w:t>图书零订：对甲方提出的零订图书清单，应多渠道想方设法采集提供，如确实未能补齐，应在</w:t>
      </w:r>
      <w:r>
        <w:rPr>
          <w:sz w:val="21"/>
        </w:rPr>
        <w:t>30</w:t>
      </w:r>
      <w:r>
        <w:rPr>
          <w:sz w:val="21"/>
        </w:rPr>
        <w:t>天内回复甲方。对教学科研急需添订的个别图书，应当天给予回告，并有义务采用特快专递方式以最快速度予以满足。对甲方自定专题的图书采购，应在一周内将该主题的书目信息搜集齐全，并发送到甲方指定邮箱，供甲方进一步选择征订。</w:t>
      </w:r>
    </w:p>
    <w:p>
      <w:pPr>
        <w:jc w:val="both"/>
      </w:pPr>
      <w:r>
        <w:rPr>
          <w:sz w:val="21"/>
        </w:rPr>
        <w:t>(6)</w:t>
      </w:r>
      <w:r>
        <w:rPr>
          <w:sz w:val="21"/>
        </w:rPr>
        <w:t>甲方所订图书，乙方需负责安装复合型钴基可充消防盗磁条。每册图书至少贴一根磁条，</w:t>
      </w:r>
      <w:r>
        <w:rPr>
          <w:sz w:val="21"/>
        </w:rPr>
        <w:t>300</w:t>
      </w:r>
      <w:r>
        <w:rPr>
          <w:sz w:val="21"/>
        </w:rPr>
        <w:t>页以上图书加贴两根。贴一根磁条时将防盗磁条装在图书前面约</w:t>
      </w:r>
      <w:r>
        <w:rPr>
          <w:sz w:val="21"/>
        </w:rPr>
        <w:t>1/3</w:t>
      </w:r>
      <w:r>
        <w:rPr>
          <w:sz w:val="21"/>
        </w:rPr>
        <w:t>页码处，贴两根磁条时则将防盗磁条分别装在图书前面约</w:t>
      </w:r>
      <w:r>
        <w:rPr>
          <w:sz w:val="21"/>
        </w:rPr>
        <w:t>1/3</w:t>
      </w:r>
      <w:r>
        <w:rPr>
          <w:sz w:val="21"/>
        </w:rPr>
        <w:t>页码处和图书后面约</w:t>
      </w:r>
      <w:r>
        <w:rPr>
          <w:sz w:val="21"/>
        </w:rPr>
        <w:t>1/3</w:t>
      </w:r>
      <w:r>
        <w:rPr>
          <w:sz w:val="21"/>
        </w:rPr>
        <w:t>页码处。</w:t>
      </w:r>
    </w:p>
    <w:p>
      <w:pPr>
        <w:jc w:val="both"/>
      </w:pPr>
      <w:r>
        <w:rPr>
          <w:sz w:val="21"/>
        </w:rPr>
        <w:t>(7)</w:t>
      </w:r>
      <w:r>
        <w:rPr>
          <w:sz w:val="21"/>
        </w:rPr>
        <w:t>订购信息反馈及自评：乙方每半年统计到书率情况、未到书清单，并以书面形式分析、说明未到书原因，并尽快补充未到的图书；在合同期执行完毕后中标书商按中图法大类（</w:t>
      </w:r>
      <w:r>
        <w:rPr>
          <w:sz w:val="21"/>
        </w:rPr>
        <w:t>22</w:t>
      </w:r>
      <w:r>
        <w:rPr>
          <w:sz w:val="21"/>
        </w:rPr>
        <w:t>大类，</w:t>
      </w:r>
      <w:r>
        <w:rPr>
          <w:sz w:val="21"/>
        </w:rPr>
        <w:t>T</w:t>
      </w:r>
      <w:r>
        <w:rPr>
          <w:sz w:val="21"/>
        </w:rPr>
        <w:t>大类按二级类目）和按出版社分别提供书目分类统计表，并针对合同要求的各项指标提供年度自评报告。</w:t>
      </w:r>
    </w:p>
    <w:p>
      <w:pPr>
        <w:jc w:val="both"/>
      </w:pPr>
      <w:r>
        <w:rPr>
          <w:sz w:val="21"/>
        </w:rPr>
        <w:t>(8)</w:t>
      </w:r>
      <w:r>
        <w:rPr>
          <w:sz w:val="21"/>
        </w:rPr>
        <w:t>承诺能够应甲方要求在甲方处举办书展，书展图书品种数量、出版区间符合甲方要求。乙方应具有自己的网站，能在网上无条件提供最新图书出版信息，能向我校师生开放书目查询及提供无条件订购功能。</w:t>
      </w:r>
    </w:p>
    <w:p>
      <w:pPr>
        <w:jc w:val="both"/>
      </w:pPr>
      <w:r>
        <w:rPr>
          <w:sz w:val="21"/>
        </w:rPr>
        <w:t>(9)</w:t>
      </w:r>
      <w:r>
        <w:rPr>
          <w:sz w:val="21"/>
        </w:rPr>
        <w:t>有下列情况之一，要征询甲方意见后再确认订购。</w:t>
      </w:r>
    </w:p>
    <w:p>
      <w:pPr>
        <w:jc w:val="both"/>
      </w:pPr>
      <w:r>
        <w:rPr>
          <w:sz w:val="21"/>
        </w:rPr>
        <w:t>A.</w:t>
      </w:r>
      <w:r>
        <w:rPr>
          <w:sz w:val="21"/>
        </w:rPr>
        <w:t>单本图书价格</w:t>
      </w:r>
      <w:r>
        <w:rPr>
          <w:sz w:val="21"/>
        </w:rPr>
        <w:t>300</w:t>
      </w:r>
      <w:r>
        <w:rPr>
          <w:sz w:val="21"/>
        </w:rPr>
        <w:t>元以上。</w:t>
      </w:r>
    </w:p>
    <w:p>
      <w:pPr>
        <w:jc w:val="both"/>
      </w:pPr>
      <w:r>
        <w:rPr>
          <w:sz w:val="21"/>
        </w:rPr>
        <w:t>B.</w:t>
      </w:r>
      <w:r>
        <w:rPr>
          <w:sz w:val="21"/>
        </w:rPr>
        <w:t>价格另算的随书配套磁带、光盘，或以光盘、磁带为主要载体的多媒体资料。</w:t>
      </w:r>
    </w:p>
    <w:p>
      <w:pPr>
        <w:jc w:val="both"/>
      </w:pPr>
      <w:r>
        <w:rPr>
          <w:sz w:val="21"/>
        </w:rPr>
        <w:t>C.</w:t>
      </w:r>
      <w:r>
        <w:rPr>
          <w:sz w:val="21"/>
        </w:rPr>
        <w:t>图书的</w:t>
      </w:r>
      <w:r>
        <w:rPr>
          <w:sz w:val="21"/>
        </w:rPr>
        <w:t>ISBN</w:t>
      </w:r>
      <w:r>
        <w:rPr>
          <w:sz w:val="21"/>
        </w:rPr>
        <w:t>或书名变更，或单本图书价格变动太大。</w:t>
      </w:r>
    </w:p>
    <w:p>
      <w:pPr>
        <w:jc w:val="both"/>
      </w:pPr>
      <w:r>
        <w:rPr>
          <w:sz w:val="21"/>
        </w:rPr>
        <w:t>(10)</w:t>
      </w:r>
      <w:r>
        <w:rPr>
          <w:sz w:val="21"/>
        </w:rPr>
        <w:t>违约处理：</w:t>
      </w:r>
    </w:p>
    <w:p>
      <w:pPr>
        <w:jc w:val="both"/>
      </w:pPr>
      <w:r>
        <w:rPr>
          <w:sz w:val="21"/>
        </w:rPr>
        <w:t>A.</w:t>
      </w:r>
      <w:r>
        <w:rPr>
          <w:sz w:val="21"/>
        </w:rPr>
        <w:t>乙方应当按甲方订购的图书品种、数量及时供货，除推迟出版或发生影响合同履行的不可抗力情况以外，若不能按时供货的图书种数或册数超过订单订购数的</w:t>
      </w:r>
      <w:r>
        <w:rPr>
          <w:sz w:val="21"/>
        </w:rPr>
        <w:t>15%</w:t>
      </w:r>
      <w:r>
        <w:rPr>
          <w:sz w:val="21"/>
        </w:rPr>
        <w:t>，即可以认定该乙方不具备供货条件，甲方有权要求终止供货，因终止供货而造成的损失由乙方承担。甲方有权采取相应的补救措施（如直接向出版商邮购图书或向其他供货商补订图书），由此给甲方造成的各项损失或增加的各项费用（如折扣损失、邮费、数据费、加工费）等均由违约的供货商承担并给予相应赔偿（损失难以计算的，则按未到图书码洋的</w:t>
      </w:r>
      <w:r>
        <w:rPr>
          <w:sz w:val="21"/>
        </w:rPr>
        <w:t>20%</w:t>
      </w:r>
      <w:r>
        <w:rPr>
          <w:sz w:val="21"/>
        </w:rPr>
        <w:t>支付违约金，违约金可从图书结算款中扣除）。</w:t>
      </w:r>
    </w:p>
    <w:p>
      <w:pPr>
        <w:jc w:val="both"/>
      </w:pPr>
      <w:r>
        <w:rPr>
          <w:sz w:val="21"/>
        </w:rPr>
        <w:t>B.</w:t>
      </w:r>
      <w:r>
        <w:rPr>
          <w:sz w:val="21"/>
        </w:rPr>
        <w:t>乙方不得更换甲方的图书订单，不得搭配非甲方订购的图书。如有违反，乙方应当无条件退货，并以非订购图书码洋的</w:t>
      </w:r>
      <w:r>
        <w:rPr>
          <w:sz w:val="21"/>
        </w:rPr>
        <w:t>20</w:t>
      </w:r>
      <w:r>
        <w:rPr>
          <w:sz w:val="21"/>
        </w:rPr>
        <w:t>倍金额支付违约金，违约金从图书结算款中扣除。</w:t>
      </w:r>
    </w:p>
    <w:p>
      <w:pPr>
        <w:jc w:val="both"/>
      </w:pPr>
      <w:r>
        <w:rPr>
          <w:sz w:val="21"/>
        </w:rPr>
        <w:t>C.</w:t>
      </w:r>
      <w:r>
        <w:rPr>
          <w:sz w:val="21"/>
        </w:rPr>
        <w:t>乙方对所提供图书的版权与进货来源的合法性承担相应的法律责任。如发现盗版、翻版图书，假一罚二十，金额在发生违约行为的供货批次书款中扣除。甲方可以单方面终止乙方供货资格，并且乙方应承担由此引起的一切法律责任。</w:t>
      </w:r>
    </w:p>
    <w:p>
      <w:pPr>
        <w:jc w:val="both"/>
      </w:pPr>
      <w:r>
        <w:rPr>
          <w:sz w:val="21"/>
        </w:rPr>
        <w:t>D.</w:t>
      </w:r>
      <w:r>
        <w:rPr>
          <w:sz w:val="21"/>
        </w:rPr>
        <w:t>乙方供书时同步提供的</w:t>
      </w:r>
      <w:r>
        <w:rPr>
          <w:sz w:val="21"/>
        </w:rPr>
        <w:t>CNMARC</w:t>
      </w:r>
      <w:r>
        <w:rPr>
          <w:sz w:val="21"/>
        </w:rPr>
        <w:t>数据（国家图书馆标准），若甲方校对人员发现错误率超过</w:t>
      </w:r>
      <w:r>
        <w:rPr>
          <w:sz w:val="21"/>
        </w:rPr>
        <w:t>5%</w:t>
      </w:r>
      <w:r>
        <w:rPr>
          <w:sz w:val="21"/>
        </w:rPr>
        <w:t>（由系统进行统计），则按每条数据壹元支付违约金，违约金从图书结算款中扣除。</w:t>
      </w:r>
    </w:p>
    <w:p>
      <w:pPr>
        <w:jc w:val="both"/>
      </w:pPr>
      <w:r>
        <w:rPr>
          <w:sz w:val="21"/>
        </w:rPr>
        <w:t>E.</w:t>
      </w:r>
      <w:r>
        <w:rPr>
          <w:sz w:val="21"/>
        </w:rPr>
        <w:t>每批图书总册数、总价必须与汇总单相符。如果在验收过程中，同一批次图书出现</w:t>
      </w:r>
      <w:r>
        <w:rPr>
          <w:sz w:val="21"/>
        </w:rPr>
        <w:t>5%</w:t>
      </w:r>
      <w:r>
        <w:rPr>
          <w:sz w:val="21"/>
        </w:rPr>
        <w:t>与相应清单不符，甲方有权退回该批次全部图书，要求乙方重新整理包装，直至该批图书与相应清单相符，所有费用由乙方负责，并以该批图书码洋的</w:t>
      </w:r>
      <w:r>
        <w:rPr>
          <w:sz w:val="21"/>
        </w:rPr>
        <w:t>2</w:t>
      </w:r>
      <w:r>
        <w:rPr>
          <w:sz w:val="21"/>
        </w:rPr>
        <w:t>倍金额赔偿。如果累计出现</w:t>
      </w:r>
      <w:r>
        <w:rPr>
          <w:sz w:val="21"/>
        </w:rPr>
        <w:t>2</w:t>
      </w:r>
      <w:r>
        <w:rPr>
          <w:sz w:val="21"/>
        </w:rPr>
        <w:t>批全部被退现象，视为甲方不能实现合同目的的，甲方有权解除合同。</w:t>
      </w:r>
    </w:p>
    <w:p>
      <w:pPr>
        <w:jc w:val="both"/>
      </w:pPr>
      <w:r>
        <w:rPr>
          <w:sz w:val="21"/>
        </w:rPr>
        <w:t>（</w:t>
      </w:r>
      <w:r>
        <w:rPr>
          <w:sz w:val="21"/>
        </w:rPr>
        <w:t>11</w:t>
      </w:r>
      <w:r>
        <w:rPr>
          <w:sz w:val="21"/>
        </w:rPr>
        <w:t>）乙方具有专门的图书零售场地、良好的图书样书室等现采场地。</w:t>
      </w:r>
    </w:p>
    <w:p>
      <w:pPr>
        <w:ind w:firstLine="422"/>
        <w:jc w:val="left"/>
      </w:pPr>
      <w:r>
        <w:rPr>
          <w:b/>
          <w:sz w:val="21"/>
        </w:rPr>
        <w:t>四、其他违约责任</w:t>
      </w:r>
    </w:p>
    <w:p>
      <w:pPr>
        <w:ind w:firstLine="480"/>
        <w:jc w:val="left"/>
      </w:pPr>
      <w:r>
        <w:rPr>
          <w:sz w:val="21"/>
        </w:rPr>
        <w:t>1. 乙方交付的货物及提供的服务不符合招标文件、报价文件或本合同规定的，甲方有权拒收，并且乙方须向甲方支付本合同总价5%的违约金并赔偿因此给甲方造成的损失。情节严重者甲方有权单方面解除合同，取消乙方供货资格，并要求乙方承担中标总价</w:t>
      </w:r>
      <w:r>
        <w:rPr>
          <w:sz w:val="21"/>
        </w:rPr>
        <w:t>30%</w:t>
      </w:r>
      <w:r>
        <w:rPr>
          <w:sz w:val="21"/>
        </w:rPr>
        <w:t>违约金。如甲方要求乙方重新或补充提供合格产品，乙方应当在甲方指定限期内提供。</w:t>
      </w:r>
    </w:p>
    <w:p>
      <w:pPr>
        <w:ind w:firstLine="480"/>
        <w:jc w:val="left"/>
      </w:pPr>
      <w:r>
        <w:rPr>
          <w:sz w:val="21"/>
        </w:rPr>
        <w:t>2</w:t>
      </w:r>
      <w:r>
        <w:rPr>
          <w:sz w:val="21"/>
        </w:rPr>
        <w:t>. 甲方无正当理由拒收货物/接受服务，甲方向乙方偿付本合同总额的5%的违约金。</w:t>
      </w:r>
    </w:p>
    <w:p>
      <w:pPr>
        <w:ind w:firstLine="480"/>
        <w:jc w:val="left"/>
      </w:pPr>
      <w:r>
        <w:rPr>
          <w:sz w:val="21"/>
        </w:rPr>
        <w:t>3</w:t>
      </w:r>
      <w:r>
        <w:rPr>
          <w:sz w:val="21"/>
        </w:rPr>
        <w:t>. 甲方若无正当理由逾期付款，则每日按本合同总额的万分之五向乙方偿付违约金，但该违约金不超过合同总额的5%。</w:t>
      </w:r>
    </w:p>
    <w:p>
      <w:pPr>
        <w:ind w:firstLine="480"/>
        <w:jc w:val="left"/>
      </w:pPr>
      <w:r>
        <w:rPr>
          <w:sz w:val="21"/>
        </w:rPr>
        <w:t>4</w:t>
      </w:r>
      <w:r>
        <w:rPr>
          <w:sz w:val="21"/>
        </w:rPr>
        <w:t>. 其他违约责任按《中华人民共和国民法典》处理。</w:t>
      </w:r>
    </w:p>
    <w:p>
      <w:pPr>
        <w:ind w:firstLine="480"/>
        <w:jc w:val="left"/>
      </w:pPr>
      <w:r>
        <w:rPr>
          <w:sz w:val="21"/>
        </w:rPr>
        <w:t>5.</w:t>
      </w:r>
      <w:r>
        <w:rPr>
          <w:sz w:val="21"/>
        </w:rPr>
        <w:t xml:space="preserve"> </w:t>
      </w:r>
      <w:r>
        <w:rPr>
          <w:sz w:val="21"/>
        </w:rPr>
        <w:t>在履行合同过程中，本合同一方当事人因第三人的原因造成违约的，应当向本合同对方当事人承担违约责任</w:t>
      </w:r>
      <w:r>
        <w:rPr>
          <w:sz w:val="21"/>
        </w:rPr>
        <w:t>:本合同违约方当事人和第三人之间的纠纷，依照法律规定自行解决和承担法律责任，如导致本合同对方受牵涉而发生损失(包括但不限于本合同违约方行为所致本合同对方的经济损失、派员参与纠纷解决的人工、交通、食宿费用、仲裁费、诉讼费、委托律师费用等)的，由本合同违约方承担赔偿责任。</w:t>
      </w:r>
    </w:p>
    <w:p>
      <w:pPr>
        <w:ind w:firstLine="422"/>
        <w:jc w:val="left"/>
      </w:pPr>
      <w:r>
        <w:rPr>
          <w:b/>
          <w:sz w:val="21"/>
        </w:rPr>
        <w:t>五、争议解决</w:t>
      </w:r>
    </w:p>
    <w:p>
      <w:pPr>
        <w:ind w:firstLine="422"/>
        <w:jc w:val="left"/>
      </w:pPr>
      <w:r>
        <w:rPr>
          <w:sz w:val="21"/>
        </w:rPr>
        <w:t xml:space="preserve">      </w:t>
      </w:r>
      <w:r>
        <w:rPr>
          <w:sz w:val="21"/>
        </w:rPr>
        <w:t>因履行合同产生的争议双方协商解决，协商不成提交汕头仲裁委员会仲裁，仲裁结果对双方具有法律约束力。</w:t>
      </w:r>
    </w:p>
    <w:p>
      <w:pPr>
        <w:ind w:firstLine="422"/>
        <w:jc w:val="left"/>
      </w:pPr>
      <w:r>
        <w:rPr>
          <w:b/>
          <w:sz w:val="21"/>
        </w:rPr>
        <w:t>六、不可抗力</w:t>
      </w:r>
    </w:p>
    <w:p>
      <w:pPr>
        <w:ind w:firstLine="422"/>
        <w:jc w:val="left"/>
      </w:pPr>
      <w:r>
        <w:rPr>
          <w:sz w:val="21"/>
        </w:rPr>
        <w:t xml:space="preserve">      </w:t>
      </w:r>
      <w:r>
        <w:rPr>
          <w:sz w:val="21"/>
        </w:rPr>
        <w:t>任何一方由于重大自然灾害、政府管制、严重社会公共卫生事件等不可抗力原因不能履行合同时，应在不可抗力事件结束后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left"/>
      </w:pPr>
      <w:r>
        <w:rPr>
          <w:b/>
          <w:sz w:val="21"/>
        </w:rPr>
        <w:t>七、税费</w:t>
      </w:r>
    </w:p>
    <w:p>
      <w:pPr>
        <w:ind w:firstLine="422"/>
        <w:jc w:val="left"/>
      </w:pPr>
      <w:r>
        <w:rPr>
          <w:sz w:val="21"/>
        </w:rPr>
        <w:t xml:space="preserve">      </w:t>
      </w:r>
      <w:r>
        <w:rPr>
          <w:sz w:val="21"/>
        </w:rPr>
        <w:t>在中国境内、外发生的与本合同执行有关的一切税费均由乙方负担。</w:t>
      </w:r>
    </w:p>
    <w:p>
      <w:pPr>
        <w:ind w:firstLine="422"/>
        <w:jc w:val="left"/>
      </w:pPr>
      <w:r>
        <w:rPr>
          <w:b/>
          <w:sz w:val="21"/>
        </w:rPr>
        <w:t>八、其他</w:t>
      </w:r>
    </w:p>
    <w:p>
      <w:pPr>
        <w:ind w:firstLine="480"/>
        <w:jc w:val="left"/>
      </w:pPr>
      <w:r>
        <w:rPr>
          <w:sz w:val="21"/>
        </w:rPr>
        <w:t xml:space="preserve">   </w:t>
      </w:r>
      <w:r>
        <w:rPr>
          <w:sz w:val="21"/>
        </w:rPr>
        <w:t>1. 本合同所有附件、采购文件、投标文件、中标通知书均为合同的有效组成部分，与本合同具有同等法律效力。</w:t>
      </w:r>
    </w:p>
    <w:p>
      <w:pPr>
        <w:ind w:firstLine="480"/>
        <w:jc w:val="left"/>
      </w:pPr>
      <w:r>
        <w:rPr>
          <w:sz w:val="21"/>
        </w:rPr>
        <w:t>2. 在执行本合同的过程中，所有经双方签署确认的文件（包括会议纪要、补充协议、往来信函）即成为本合同的有效组成部分。</w:t>
      </w:r>
    </w:p>
    <w:p>
      <w:pPr>
        <w:ind w:firstLine="480"/>
        <w:jc w:val="left"/>
      </w:pPr>
      <w:r>
        <w:rPr>
          <w:sz w:val="21"/>
        </w:rPr>
        <w:t>3. 合同各方一致确认以下通讯地址和联系方式为各方履行合同、解决合同争议时向接收方（其他方）送达商业文件信函或司法机关(法院、仲裁机构)诉讼、仲裁文书的送达地址和联系方式。</w:t>
      </w:r>
    </w:p>
    <w:p>
      <w:pPr>
        <w:ind w:firstLine="480"/>
        <w:jc w:val="left"/>
      </w:pPr>
      <w:r>
        <w:rPr>
          <w:sz w:val="21"/>
        </w:rPr>
        <w:t xml:space="preserve">    </w:t>
      </w:r>
      <w:r>
        <w:rPr>
          <w:sz w:val="21"/>
        </w:rPr>
        <w:t>甲方送达地址和联系方式为：汕头市金平区大学路</w:t>
      </w:r>
      <w:r>
        <w:rPr>
          <w:sz w:val="21"/>
        </w:rPr>
        <w:t>243 号，0754-86502954</w:t>
      </w:r>
    </w:p>
    <w:p>
      <w:pPr>
        <w:ind w:firstLine="480"/>
        <w:jc w:val="left"/>
      </w:pPr>
      <w:r>
        <w:rPr>
          <w:sz w:val="21"/>
        </w:rPr>
        <w:t xml:space="preserve">    </w:t>
      </w:r>
      <w:r>
        <w:rPr>
          <w:sz w:val="21"/>
        </w:rPr>
        <w:t>乙方送达地址和联系方式为：</w:t>
      </w:r>
      <w:r>
        <w:rPr>
          <w:sz w:val="21"/>
        </w:rPr>
        <w:t>xxxxxx，xxxxxxxx</w:t>
      </w:r>
    </w:p>
    <w:p>
      <w:pPr>
        <w:ind w:firstLine="480"/>
        <w:jc w:val="left"/>
      </w:pPr>
      <w:r>
        <w:rPr>
          <w:sz w:val="21"/>
        </w:rPr>
        <w:t xml:space="preserve">    </w:t>
      </w:r>
      <w:r>
        <w:rPr>
          <w:sz w:val="21"/>
        </w:rPr>
        <w:t>若任何一方通讯地址和联系方式需要变更的，应提前五个工作日向合同其他方送交书面变更告知书，否则上述通讯地址和联系方式适用至本合同履行完毕或争议经过一审、二审至案件执行终结时止。</w:t>
      </w:r>
    </w:p>
    <w:p>
      <w:pPr>
        <w:ind w:firstLine="480"/>
        <w:jc w:val="left"/>
      </w:pPr>
      <w:r>
        <w:rPr>
          <w:sz w:val="21"/>
        </w:rPr>
        <w:t>4.除甲方事先书面同意外，乙方不得部分或全部转让其应履行的合同项下的义务。</w:t>
      </w:r>
    </w:p>
    <w:p>
      <w:pPr>
        <w:ind w:firstLine="422"/>
        <w:jc w:val="left"/>
      </w:pPr>
      <w:r>
        <w:rPr>
          <w:b/>
          <w:sz w:val="21"/>
        </w:rPr>
        <w:t>九、合同生效</w:t>
      </w:r>
    </w:p>
    <w:p>
      <w:pPr>
        <w:ind w:firstLine="480"/>
        <w:jc w:val="left"/>
      </w:pPr>
      <w:r>
        <w:rPr>
          <w:sz w:val="21"/>
        </w:rPr>
        <w:t>1. 本合同在甲乙双方法人代表或其授权代表签字盖章后生效。</w:t>
      </w:r>
    </w:p>
    <w:p>
      <w:pPr>
        <w:ind w:firstLine="480"/>
        <w:jc w:val="left"/>
      </w:pPr>
      <w:r>
        <w:rPr>
          <w:sz w:val="21"/>
        </w:rPr>
        <w:t>2. 本协议正本一式四份，具有同等法律效力，甲乙双方各执贰份。</w:t>
      </w:r>
    </w:p>
    <w:p>
      <w:pPr>
        <w:ind w:firstLine="480"/>
        <w:jc w:val="left"/>
      </w:pPr>
      <w:r>
        <w:rPr>
          <w:sz w:val="21"/>
        </w:rPr>
        <w:t>以下无正文。</w:t>
      </w:r>
    </w:p>
    <w:p>
      <w:pPr>
        <w:ind w:firstLine="480"/>
        <w:jc w:val="left"/>
      </w:pPr>
    </w:p>
    <w:tbl>
      <w:tblPr>
        <w:tblW w:w="0" w:type="auto"/>
        <w:tblBorders>
          <w:top w:val="none" w:color="000000" w:sz="4"/>
          <w:left w:val="none" w:color="000000" w:sz="4"/>
          <w:bottom w:val="none" w:color="000000" w:sz="4"/>
          <w:right w:val="none" w:color="000000" w:sz="4"/>
          <w:insideH w:val="none"/>
          <w:insideV w:val="none"/>
        </w:tblBorders>
      </w:tblPr>
      <w:tblGrid>
        <w:gridCol w:w="4288"/>
        <w:gridCol w:w="4004"/>
      </w:tblGrid>
      <w:tr>
        <w:tc>
          <w:tcPr>
            <w:tcW w:type="dxa" w:w="4288"/>
            <w:tcBorders>
              <w:top w:val="single" w:color="F2F2F2" w:sz="4"/>
              <w:left w:val="single" w:color="F2F2F2" w:sz="4"/>
              <w:bottom w:val="single" w:color="F2F2F2" w:sz="4"/>
              <w:right w:val="single" w:color="F2F2F2" w:sz="4"/>
            </w:tcBorders>
            <w:vAlign w:val="top"/>
          </w:tcPr>
          <w:p>
            <w:pPr>
              <w:jc w:val="both"/>
            </w:pPr>
            <w:r>
              <w:rPr>
                <w:sz w:val="21"/>
              </w:rPr>
              <w:t>甲方（盖章）：汕头大学</w:t>
            </w:r>
          </w:p>
        </w:tc>
        <w:tc>
          <w:tcPr>
            <w:tcW w:type="dxa" w:w="4004"/>
            <w:tcBorders>
              <w:top w:val="single" w:color="F2F2F2" w:sz="4"/>
              <w:left w:val="single" w:color="F2F2F2" w:sz="4"/>
              <w:bottom w:val="single" w:color="F2F2F2" w:sz="4"/>
              <w:right w:val="single" w:color="F2F2F2" w:sz="4"/>
            </w:tcBorders>
            <w:vAlign w:val="top"/>
          </w:tcPr>
          <w:p>
            <w:pPr>
              <w:jc w:val="both"/>
            </w:pPr>
            <w:r>
              <w:rPr>
                <w:sz w:val="21"/>
              </w:rPr>
              <w:t>乙方（盖章）：</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授权代表（签字）：</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授权代表（签字）：</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日期：</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日期：</w:t>
            </w:r>
          </w:p>
        </w:tc>
      </w:tr>
    </w:tbl>
    <w:p>
      <w:pPr>
        <w:ind w:firstLine="480"/>
        <w:jc w:val="left"/>
      </w:pPr>
    </w:p>
    <w:p>
      <w:pPr>
        <w:ind w:firstLine="480"/>
        <w:jc w:val="left"/>
      </w:pPr>
    </w:p>
    <w:p>
      <w:pPr>
        <w:ind w:firstLine="480"/>
        <w:jc w:val="left"/>
      </w:pPr>
      <w:r>
        <w:rPr>
          <w:sz w:val="21"/>
        </w:rPr>
        <w:t>签约地点：汕头市</w:t>
      </w:r>
    </w:p>
    <w:p>
      <w:pPr>
        <w:ind w:firstLine="480"/>
        <w:jc w:val="center"/>
      </w:pPr>
    </w:p>
    <w:p/>
    <w:p>
      <w:pPr>
        <w:jc w:val="center"/>
      </w:pPr>
      <w:r>
        <w:rPr/>
        <w:t xml:space="preserve"> </w:t>
      </w:r>
    </w:p>
    <w:p>
      <w:pPr>
        <w:jc w:val="center"/>
      </w:pPr>
      <w:r>
        <w:rPr>
          <w:b/>
          <w:sz w:val="21"/>
        </w:rPr>
        <w:t>合同样本二（适用于采购包</w:t>
      </w:r>
      <w:r>
        <w:rPr>
          <w:b/>
          <w:sz w:val="21"/>
        </w:rPr>
        <w:t>2）</w:t>
      </w:r>
    </w:p>
    <w:p>
      <w:r>
        <w:rPr/>
        <w:t xml:space="preserve"> </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02"/>
        <w:gridCol w:w="4103"/>
      </w:tblGrid>
      <w:tr>
        <w:tc>
          <w:tcPr>
            <w:tcW w:type="dxa" w:w="4202"/>
            <w:tcBorders>
              <w:top w:val="single" w:color="F2F2F2" w:sz="4"/>
              <w:left w:val="single" w:color="F2F2F2" w:sz="4"/>
              <w:bottom w:val="single" w:color="F2F2F2" w:sz="4"/>
              <w:right w:val="single" w:color="F2F2F2" w:sz="4"/>
            </w:tcBorders>
            <w:vAlign w:val="top"/>
          </w:tcPr>
          <w:p>
            <w:pPr>
              <w:jc w:val="both"/>
            </w:pPr>
            <w:r>
              <w:rPr>
                <w:sz w:val="21"/>
              </w:rPr>
              <w:t>甲方：汕头大学</w:t>
            </w:r>
          </w:p>
        </w:tc>
        <w:tc>
          <w:tcPr>
            <w:tcW w:type="dxa" w:w="4103"/>
            <w:tcBorders>
              <w:top w:val="single" w:color="F2F2F2" w:sz="4"/>
              <w:left w:val="single" w:color="F2F2F2" w:sz="4"/>
              <w:bottom w:val="single" w:color="F2F2F2" w:sz="4"/>
              <w:right w:val="single" w:color="F2F2F2" w:sz="4"/>
            </w:tcBorders>
            <w:vAlign w:val="top"/>
          </w:tcPr>
          <w:p>
            <w:pPr>
              <w:jc w:val="both"/>
            </w:pPr>
            <w:r>
              <w:rPr>
                <w:sz w:val="21"/>
              </w:rPr>
              <w:t>乙方：</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法定代表人：</w:t>
            </w:r>
            <w:r>
              <w:rPr>
                <w:sz w:val="21"/>
              </w:rPr>
              <w:t>郝志峰</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法定代表人：</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w:t>
            </w:r>
            <w:r>
              <w:rPr>
                <w:sz w:val="21"/>
              </w:rPr>
              <w:t>号</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地址：</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开户银行：</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帐号：</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统一社会信用代码：</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联系人：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联系人：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电子邮箱：</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电子邮箱：</w:t>
            </w:r>
          </w:p>
        </w:tc>
      </w:tr>
    </w:tbl>
    <w:p>
      <w:pPr>
        <w:ind w:firstLine="420"/>
        <w:jc w:val="left"/>
      </w:pPr>
    </w:p>
    <w:p>
      <w:pPr>
        <w:jc w:val="both"/>
      </w:pPr>
      <w:r>
        <w:rPr>
          <w:sz w:val="21"/>
        </w:rPr>
        <w:t>根据</w:t>
      </w:r>
      <w:r>
        <w:rPr>
          <w:sz w:val="21"/>
          <w:u w:val="single"/>
        </w:rPr>
        <w:t xml:space="preserve">         </w:t>
      </w:r>
      <w:r>
        <w:rPr>
          <w:sz w:val="21"/>
        </w:rPr>
        <w:t>（项目编号：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jc w:val="both"/>
      </w:pPr>
      <w:r>
        <w:rPr>
          <w:b/>
          <w:sz w:val="21"/>
        </w:rPr>
        <w:t>一、合同标的</w:t>
      </w:r>
    </w:p>
    <w:p>
      <w:pPr>
        <w:jc w:val="both"/>
      </w:pPr>
      <w:r>
        <w:rPr>
          <w:sz w:val="21"/>
        </w:rPr>
        <w:t>1.</w:t>
      </w:r>
      <w:r>
        <w:rPr>
          <w:sz w:val="21"/>
        </w:rPr>
        <w:t>项目内容：</w:t>
      </w:r>
    </w:p>
    <w:p>
      <w:pPr>
        <w:jc w:val="both"/>
      </w:pPr>
      <w:r>
        <w:rPr>
          <w:sz w:val="21"/>
        </w:rPr>
        <w:t>2.</w:t>
      </w:r>
      <w:r>
        <w:rPr>
          <w:sz w:val="21"/>
        </w:rPr>
        <w:t>采购范围：原版外文与港台图书</w:t>
      </w:r>
    </w:p>
    <w:p>
      <w:pPr>
        <w:ind w:firstLine="420"/>
        <w:jc w:val="left"/>
      </w:pPr>
    </w:p>
    <w:p>
      <w:pPr>
        <w:ind w:firstLine="420"/>
        <w:jc w:val="left"/>
      </w:pPr>
      <w:r>
        <w:rPr>
          <w:b/>
          <w:sz w:val="21"/>
        </w:rPr>
        <w:t>二、合同费用及付款方式</w:t>
      </w:r>
    </w:p>
    <w:p>
      <w:pPr>
        <w:jc w:val="both"/>
      </w:pPr>
      <w:r>
        <w:rPr>
          <w:sz w:val="21"/>
        </w:rPr>
        <w:t>（</w:t>
      </w:r>
      <w:r>
        <w:rPr>
          <w:sz w:val="21"/>
        </w:rPr>
        <w:t>1</w:t>
      </w:r>
      <w:r>
        <w:rPr>
          <w:sz w:val="21"/>
        </w:rPr>
        <w:t>）合同有效期内，到馆图书经甲方验收合格，完成交付，乙方按图书码洋中标折扣率结算并提供专用发票，本项目共分为六次付款。每批次图书到货后，经甲方完成验收工作，需要退换书的办妥退换书手续，并经双方确认后，按结算价结算。结算价格已包含履行合同及本项目招标文件特别是其中“技术标准与要求”要求所有相关服务所需的服务费用及进口关税、进口环节增值税、消费税、其他费用等相关税费，甲方不再支付结算价格以外的其他任何费用。乙方提供国家税务部门监制的销售正式发票。</w:t>
      </w:r>
    </w:p>
    <w:p>
      <w:pPr>
        <w:jc w:val="both"/>
      </w:pPr>
      <w:r>
        <w:rPr>
          <w:sz w:val="21"/>
        </w:rPr>
        <w:t>图书结算价（实洋）（人民币元）</w:t>
      </w:r>
      <w:r>
        <w:rPr>
          <w:sz w:val="21"/>
        </w:rPr>
        <w:t>=</w:t>
      </w:r>
      <w:r>
        <w:rPr>
          <w:sz w:val="21"/>
        </w:rPr>
        <w:t>图书原币价格×到馆日原币汇率×中标综合折扣率。</w:t>
      </w:r>
    </w:p>
    <w:p>
      <w:pPr>
        <w:jc w:val="both"/>
      </w:pPr>
      <w:r>
        <w:rPr>
          <w:sz w:val="21"/>
        </w:rPr>
        <w:t>图书原币价格：以出版社标价或供应商进货单据为准。</w:t>
      </w:r>
    </w:p>
    <w:p>
      <w:pPr>
        <w:jc w:val="both"/>
      </w:pPr>
      <w:r>
        <w:rPr>
          <w:sz w:val="21"/>
        </w:rPr>
        <w:t>到馆日原币汇率：指图书到馆当日的中国银行外汇卖出日均价，即当天（北京时间为准）中国银行网站上公布的相应外币的所有现汇卖出价记录之均值。甲方于收到发票</w:t>
      </w:r>
      <w:r>
        <w:rPr>
          <w:sz w:val="21"/>
        </w:rPr>
        <w:t>15</w:t>
      </w:r>
      <w:r>
        <w:rPr>
          <w:sz w:val="21"/>
        </w:rPr>
        <w:t>日内实洋付款。</w:t>
      </w:r>
    </w:p>
    <w:p>
      <w:pPr>
        <w:numPr>
          <w:ilvl w:val="0"/>
          <w:numId w:val="2"/>
        </w:numPr>
      </w:pPr>
    </w:p>
    <w:p>
      <w:pPr>
        <w:numPr>
          <w:ilvl w:val="1"/>
          <w:numId w:val="2"/>
        </w:numPr>
      </w:pPr>
      <w:r>
        <w:rPr>
          <w:sz w:val="21"/>
        </w:rPr>
        <w:t>支付方式：采用支票、银行汇付（含电汇）等形式。</w:t>
      </w:r>
    </w:p>
    <w:p>
      <w:pPr>
        <w:numPr>
          <w:ilvl w:val="1"/>
          <w:numId w:val="2"/>
        </w:numPr>
        <w:jc w:val="both"/>
      </w:pPr>
      <w:r>
        <w:rPr>
          <w:sz w:val="21"/>
        </w:rPr>
        <w:t>本合同有效期自合同签订之日起至</w:t>
      </w:r>
      <w:r>
        <w:rPr>
          <w:sz w:val="21"/>
        </w:rPr>
        <w:t xml:space="preserve">202  </w:t>
      </w:r>
      <w:r>
        <w:rPr>
          <w:sz w:val="21"/>
        </w:rPr>
        <w:t>年  月  日。</w:t>
      </w:r>
    </w:p>
    <w:p>
      <w:pPr>
        <w:ind w:firstLine="420"/>
        <w:jc w:val="left"/>
      </w:pPr>
    </w:p>
    <w:p>
      <w:pPr>
        <w:ind w:firstLine="420"/>
        <w:jc w:val="left"/>
      </w:pPr>
      <w:r>
        <w:rPr>
          <w:b/>
          <w:sz w:val="21"/>
        </w:rPr>
        <w:t>三、</w:t>
      </w:r>
      <w:r>
        <w:rPr>
          <w:sz w:val="21"/>
        </w:rPr>
        <w:t>项目技术要求</w:t>
      </w:r>
    </w:p>
    <w:p>
      <w:pPr>
        <w:jc w:val="both"/>
      </w:pPr>
      <w:r>
        <w:rPr>
          <w:sz w:val="21"/>
        </w:rPr>
        <w:t>（一）图书要求</w:t>
      </w:r>
    </w:p>
    <w:p>
      <w:pPr>
        <w:jc w:val="both"/>
      </w:pPr>
      <w:r>
        <w:rPr>
          <w:sz w:val="21"/>
        </w:rPr>
        <w:t>1</w:t>
      </w:r>
      <w:r>
        <w:rPr>
          <w:sz w:val="21"/>
        </w:rPr>
        <w:t>、书目形态：乙方应提供完全符合</w:t>
      </w:r>
      <w:r>
        <w:rPr>
          <w:sz w:val="21"/>
        </w:rPr>
        <w:t>ISO-2709</w:t>
      </w:r>
      <w:r>
        <w:rPr>
          <w:sz w:val="21"/>
        </w:rPr>
        <w:t>标准、</w:t>
      </w:r>
      <w:r>
        <w:rPr>
          <w:sz w:val="21"/>
        </w:rPr>
        <w:t>CNMARC</w:t>
      </w:r>
      <w:r>
        <w:rPr>
          <w:sz w:val="21"/>
        </w:rPr>
        <w:t>标准和西文图书著录条例的电子版书目数据；</w:t>
      </w:r>
    </w:p>
    <w:p>
      <w:pPr>
        <w:jc w:val="both"/>
      </w:pPr>
      <w:r>
        <w:rPr>
          <w:sz w:val="21"/>
        </w:rPr>
        <w:t>2</w:t>
      </w:r>
      <w:r>
        <w:rPr>
          <w:sz w:val="21"/>
        </w:rPr>
        <w:t>、出版地范围：国外（欧美国家为主）出版的外文（英文为主）原版纸质图书及港台出版的纸质图书；</w:t>
      </w:r>
    </w:p>
    <w:p>
      <w:pPr>
        <w:jc w:val="both"/>
      </w:pPr>
      <w:r>
        <w:rPr>
          <w:sz w:val="21"/>
        </w:rPr>
        <w:t>3</w:t>
      </w:r>
      <w:r>
        <w:rPr>
          <w:sz w:val="21"/>
        </w:rPr>
        <w:t>、出版时间：</w:t>
      </w:r>
      <w:r>
        <w:rPr>
          <w:sz w:val="21"/>
        </w:rPr>
        <w:t>2022</w:t>
      </w:r>
      <w:r>
        <w:rPr>
          <w:sz w:val="21"/>
        </w:rPr>
        <w:t>年</w:t>
      </w:r>
      <w:r>
        <w:rPr>
          <w:sz w:val="21"/>
        </w:rPr>
        <w:t>1</w:t>
      </w:r>
      <w:r>
        <w:rPr>
          <w:sz w:val="21"/>
        </w:rPr>
        <w:t>月至今；</w:t>
      </w:r>
    </w:p>
    <w:p>
      <w:pPr>
        <w:jc w:val="both"/>
      </w:pPr>
      <w:r>
        <w:rPr>
          <w:sz w:val="21"/>
        </w:rPr>
        <w:t>4</w:t>
      </w:r>
      <w:r>
        <w:rPr>
          <w:sz w:val="21"/>
        </w:rPr>
        <w:t>、图书外观：开本大于</w:t>
      </w:r>
      <w:r>
        <w:rPr>
          <w:sz w:val="21"/>
        </w:rPr>
        <w:t>64</w:t>
      </w:r>
      <w:r>
        <w:rPr>
          <w:sz w:val="21"/>
        </w:rPr>
        <w:t>开、页数多于</w:t>
      </w:r>
      <w:r>
        <w:rPr>
          <w:sz w:val="21"/>
        </w:rPr>
        <w:t>50</w:t>
      </w:r>
      <w:r>
        <w:rPr>
          <w:sz w:val="21"/>
        </w:rPr>
        <w:t>页、非散页装图书。</w:t>
      </w:r>
    </w:p>
    <w:p>
      <w:pPr>
        <w:jc w:val="both"/>
      </w:pPr>
      <w:r>
        <w:rPr>
          <w:sz w:val="21"/>
        </w:rPr>
        <w:t>（二）采访书目数据要求</w:t>
      </w:r>
    </w:p>
    <w:p>
      <w:pPr>
        <w:jc w:val="both"/>
      </w:pPr>
      <w:r>
        <w:rPr>
          <w:sz w:val="21"/>
        </w:rPr>
        <w:t>1</w:t>
      </w:r>
      <w:r>
        <w:rPr>
          <w:sz w:val="21"/>
        </w:rPr>
        <w:t>、乙方应提供符合甲方学校图书馆采访要求的</w:t>
      </w:r>
      <w:r>
        <w:rPr>
          <w:sz w:val="21"/>
        </w:rPr>
        <w:t>CNMARC</w:t>
      </w:r>
      <w:r>
        <w:rPr>
          <w:sz w:val="21"/>
        </w:rPr>
        <w:t>格式的采访数据，采访书目中不得含有</w:t>
      </w:r>
      <w:r>
        <w:rPr>
          <w:sz w:val="21"/>
        </w:rPr>
        <w:t>856</w:t>
      </w:r>
      <w:r>
        <w:rPr>
          <w:sz w:val="21"/>
        </w:rPr>
        <w:t>、</w:t>
      </w:r>
      <w:r>
        <w:rPr>
          <w:sz w:val="21"/>
        </w:rPr>
        <w:t>905</w:t>
      </w:r>
      <w:r>
        <w:rPr>
          <w:sz w:val="21"/>
        </w:rPr>
        <w:t>字段；</w:t>
      </w:r>
    </w:p>
    <w:p>
      <w:pPr>
        <w:jc w:val="both"/>
      </w:pPr>
      <w:r>
        <w:rPr>
          <w:sz w:val="21"/>
        </w:rPr>
        <w:t>2</w:t>
      </w:r>
      <w:r>
        <w:rPr>
          <w:sz w:val="21"/>
        </w:rPr>
        <w:t>、一个采访书目文件，仅能含同一征订书目、同一期号的文件；</w:t>
      </w:r>
    </w:p>
    <w:p>
      <w:pPr>
        <w:jc w:val="both"/>
      </w:pPr>
      <w:r>
        <w:rPr>
          <w:sz w:val="21"/>
        </w:rPr>
        <w:t>3</w:t>
      </w:r>
      <w:r>
        <w:rPr>
          <w:sz w:val="21"/>
        </w:rPr>
        <w:t>、采访书目信息应著录在</w:t>
      </w:r>
      <w:r>
        <w:rPr>
          <w:sz w:val="21"/>
        </w:rPr>
        <w:t>092</w:t>
      </w:r>
      <w:r>
        <w:rPr>
          <w:sz w:val="21"/>
        </w:rPr>
        <w:t>字段，不得在其他字段反映。</w:t>
      </w:r>
    </w:p>
    <w:p>
      <w:pPr>
        <w:jc w:val="both"/>
      </w:pPr>
      <w:r>
        <w:rPr>
          <w:sz w:val="21"/>
        </w:rPr>
        <w:t>（三）编目书目数据要求</w:t>
      </w:r>
    </w:p>
    <w:p>
      <w:pPr>
        <w:jc w:val="both"/>
      </w:pPr>
      <w:r>
        <w:rPr>
          <w:sz w:val="21"/>
        </w:rPr>
        <w:t>1</w:t>
      </w:r>
      <w:r>
        <w:rPr>
          <w:sz w:val="21"/>
        </w:rPr>
        <w:t>、随书配送</w:t>
      </w:r>
      <w:r>
        <w:rPr>
          <w:sz w:val="21"/>
        </w:rPr>
        <w:t>CNMARC</w:t>
      </w:r>
      <w:r>
        <w:rPr>
          <w:sz w:val="21"/>
        </w:rPr>
        <w:t>编目数据，数据配送率须达</w:t>
      </w:r>
      <w:r>
        <w:rPr>
          <w:sz w:val="21"/>
        </w:rPr>
        <w:t>100%</w:t>
      </w:r>
      <w:r>
        <w:rPr>
          <w:sz w:val="21"/>
        </w:rPr>
        <w:t>。数据应达到国家图书馆数据标准。</w:t>
      </w:r>
    </w:p>
    <w:p>
      <w:pPr>
        <w:jc w:val="both"/>
      </w:pPr>
      <w:r>
        <w:rPr>
          <w:sz w:val="21"/>
        </w:rPr>
        <w:t>（四）书目数量和频率</w:t>
      </w:r>
    </w:p>
    <w:p>
      <w:pPr>
        <w:jc w:val="both"/>
      </w:pPr>
      <w:r>
        <w:rPr>
          <w:sz w:val="21"/>
        </w:rPr>
        <w:t>1</w:t>
      </w:r>
      <w:r>
        <w:rPr>
          <w:sz w:val="21"/>
        </w:rPr>
        <w:t>、乙方应积极收集书目，保证在合同期内每月至少提供一期现货新书书目，每期不少于</w:t>
      </w:r>
      <w:r>
        <w:rPr>
          <w:sz w:val="21"/>
        </w:rPr>
        <w:t>400</w:t>
      </w:r>
      <w:r>
        <w:rPr>
          <w:sz w:val="21"/>
        </w:rPr>
        <w:t>种。</w:t>
      </w:r>
    </w:p>
    <w:p>
      <w:pPr>
        <w:jc w:val="both"/>
      </w:pPr>
      <w:r>
        <w:rPr>
          <w:sz w:val="21"/>
        </w:rPr>
        <w:t>2</w:t>
      </w:r>
      <w:r>
        <w:rPr>
          <w:sz w:val="21"/>
        </w:rPr>
        <w:t>、乙方应接受甲方提供的零散订单并积极配书。</w:t>
      </w:r>
    </w:p>
    <w:p>
      <w:pPr>
        <w:jc w:val="both"/>
      </w:pPr>
      <w:r>
        <w:rPr>
          <w:sz w:val="21"/>
        </w:rPr>
        <w:t>（五）到书率</w:t>
      </w:r>
    </w:p>
    <w:p>
      <w:pPr>
        <w:jc w:val="both"/>
      </w:pPr>
      <w:r>
        <w:rPr>
          <w:sz w:val="21"/>
        </w:rPr>
        <w:t>1</w:t>
      </w:r>
      <w:r>
        <w:rPr>
          <w:sz w:val="21"/>
        </w:rPr>
        <w:t>、乙方应保证图书的到书率从质和量上准确无误，高效快捷，无误投。到书率须达到</w:t>
      </w:r>
      <w:r>
        <w:rPr>
          <w:sz w:val="21"/>
        </w:rPr>
        <w:t>90%</w:t>
      </w:r>
      <w:r>
        <w:rPr>
          <w:sz w:val="21"/>
        </w:rPr>
        <w:t>（取消出版计划等情况除外）。</w:t>
      </w:r>
    </w:p>
    <w:p>
      <w:pPr>
        <w:jc w:val="both"/>
      </w:pPr>
      <w:r>
        <w:rPr>
          <w:sz w:val="21"/>
        </w:rPr>
        <w:t>（六）订准率</w:t>
      </w:r>
    </w:p>
    <w:p>
      <w:pPr>
        <w:jc w:val="both"/>
      </w:pPr>
      <w:r>
        <w:rPr>
          <w:sz w:val="21"/>
        </w:rPr>
        <w:t>1</w:t>
      </w:r>
      <w:r>
        <w:rPr>
          <w:sz w:val="21"/>
        </w:rPr>
        <w:t>、要求乙方严格按照订单发书，不允许任意搭配图书，非甲方订购的图书一律退回。</w:t>
      </w:r>
    </w:p>
    <w:p>
      <w:pPr>
        <w:jc w:val="both"/>
      </w:pPr>
      <w:r>
        <w:rPr>
          <w:sz w:val="21"/>
        </w:rPr>
        <w:t>（七）涨价率</w:t>
      </w:r>
    </w:p>
    <w:p>
      <w:pPr>
        <w:jc w:val="both"/>
      </w:pPr>
      <w:r>
        <w:rPr>
          <w:sz w:val="21"/>
        </w:rPr>
        <w:t>1</w:t>
      </w:r>
      <w:r>
        <w:rPr>
          <w:sz w:val="21"/>
        </w:rPr>
        <w:t>、图书实际出版价格上涨超过征订目录价格</w:t>
      </w:r>
      <w:r>
        <w:rPr>
          <w:sz w:val="21"/>
        </w:rPr>
        <w:t>40</w:t>
      </w:r>
      <w:r>
        <w:rPr>
          <w:sz w:val="21"/>
        </w:rPr>
        <w:t>％应通知甲方，询问是否继续订购。</w:t>
      </w:r>
    </w:p>
    <w:p>
      <w:pPr>
        <w:jc w:val="both"/>
      </w:pPr>
      <w:r>
        <w:rPr>
          <w:sz w:val="21"/>
        </w:rPr>
        <w:t>（八）到书周期</w:t>
      </w:r>
    </w:p>
    <w:p>
      <w:pPr>
        <w:jc w:val="both"/>
      </w:pPr>
      <w:r>
        <w:rPr>
          <w:sz w:val="21"/>
        </w:rPr>
        <w:t>1</w:t>
      </w:r>
      <w:r>
        <w:rPr>
          <w:sz w:val="21"/>
        </w:rPr>
        <w:t>、现货：收到订单后</w:t>
      </w:r>
      <w:r>
        <w:rPr>
          <w:sz w:val="21"/>
        </w:rPr>
        <w:t>30</w:t>
      </w:r>
      <w:r>
        <w:rPr>
          <w:sz w:val="21"/>
        </w:rPr>
        <w:t>天内交货</w:t>
      </w:r>
      <w:r>
        <w:rPr>
          <w:sz w:val="21"/>
        </w:rPr>
        <w:t>100%</w:t>
      </w:r>
      <w:r>
        <w:rPr>
          <w:sz w:val="21"/>
        </w:rPr>
        <w:t>。</w:t>
      </w:r>
    </w:p>
    <w:p>
      <w:pPr>
        <w:jc w:val="both"/>
      </w:pPr>
      <w:r>
        <w:rPr>
          <w:sz w:val="21"/>
        </w:rPr>
        <w:t>2</w:t>
      </w:r>
      <w:r>
        <w:rPr>
          <w:sz w:val="21"/>
        </w:rPr>
        <w:t>、期货：收到订单</w:t>
      </w:r>
      <w:r>
        <w:rPr>
          <w:sz w:val="21"/>
        </w:rPr>
        <w:t>6</w:t>
      </w:r>
      <w:r>
        <w:rPr>
          <w:sz w:val="21"/>
        </w:rPr>
        <w:t>个月内到书</w:t>
      </w:r>
      <w:r>
        <w:rPr>
          <w:sz w:val="21"/>
        </w:rPr>
        <w:t>85%</w:t>
      </w:r>
      <w:r>
        <w:rPr>
          <w:sz w:val="21"/>
        </w:rPr>
        <w:t>以上。</w:t>
      </w:r>
    </w:p>
    <w:p>
      <w:pPr>
        <w:jc w:val="both"/>
      </w:pPr>
      <w:r>
        <w:rPr>
          <w:sz w:val="21"/>
        </w:rPr>
        <w:t>四、服务要求</w:t>
      </w:r>
    </w:p>
    <w:p>
      <w:pPr>
        <w:jc w:val="both"/>
      </w:pPr>
      <w:r>
        <w:rPr>
          <w:sz w:val="21"/>
        </w:rPr>
        <w:t>(</w:t>
      </w:r>
      <w:r>
        <w:rPr>
          <w:sz w:val="21"/>
        </w:rPr>
        <w:t>一</w:t>
      </w:r>
      <w:r>
        <w:rPr>
          <w:sz w:val="21"/>
        </w:rPr>
        <w:t>)</w:t>
      </w:r>
      <w:r>
        <w:rPr>
          <w:sz w:val="21"/>
        </w:rPr>
        <w:t>供货要求</w:t>
      </w:r>
    </w:p>
    <w:p>
      <w:pPr>
        <w:jc w:val="both"/>
      </w:pPr>
      <w:r>
        <w:rPr>
          <w:sz w:val="21"/>
        </w:rPr>
        <w:t>1</w:t>
      </w:r>
      <w:r>
        <w:rPr>
          <w:sz w:val="21"/>
        </w:rPr>
        <w:t>、</w:t>
      </w:r>
      <w:r>
        <w:rPr>
          <w:sz w:val="21"/>
        </w:rPr>
        <w:t>乙方</w:t>
      </w:r>
      <w:r>
        <w:rPr>
          <w:sz w:val="21"/>
        </w:rPr>
        <w:t>在每批图书发货一天前用电话或</w:t>
      </w:r>
      <w:r>
        <w:rPr>
          <w:sz w:val="21"/>
        </w:rPr>
        <w:t>Email</w:t>
      </w:r>
      <w:r>
        <w:rPr>
          <w:sz w:val="21"/>
        </w:rPr>
        <w:t>形式通知</w:t>
      </w:r>
      <w:r>
        <w:rPr>
          <w:sz w:val="21"/>
        </w:rPr>
        <w:t>甲方</w:t>
      </w:r>
      <w:r>
        <w:rPr>
          <w:sz w:val="21"/>
        </w:rPr>
        <w:t>并负责送书上门，所有图书必须按满足运输距离、防湿和防破损等运输和装卸要求打包送到</w:t>
      </w:r>
      <w:r>
        <w:rPr>
          <w:sz w:val="21"/>
        </w:rPr>
        <w:t>甲方</w:t>
      </w:r>
      <w:r>
        <w:rPr>
          <w:sz w:val="21"/>
        </w:rPr>
        <w:t>指定地点（</w:t>
      </w:r>
      <w:r>
        <w:rPr>
          <w:sz w:val="21"/>
        </w:rPr>
        <w:t>乙方</w:t>
      </w:r>
      <w:r>
        <w:rPr>
          <w:sz w:val="21"/>
        </w:rPr>
        <w:t>提供</w:t>
      </w:r>
      <w:r>
        <w:rPr>
          <w:sz w:val="21"/>
        </w:rPr>
        <w:t>无条件</w:t>
      </w:r>
      <w:r>
        <w:rPr>
          <w:sz w:val="21"/>
        </w:rPr>
        <w:t>送书、卸货、搬运等），并提供纸质图书发货清单，一包一单，一式两份。</w:t>
      </w:r>
    </w:p>
    <w:p>
      <w:pPr>
        <w:jc w:val="both"/>
      </w:pPr>
      <w:r>
        <w:rPr>
          <w:sz w:val="21"/>
        </w:rPr>
        <w:t>2</w:t>
      </w:r>
      <w:r>
        <w:rPr>
          <w:sz w:val="21"/>
        </w:rPr>
        <w:t>、发货清单应包括下列项目：购货单位、批次、制单日期、箱号、书名、</w:t>
      </w:r>
      <w:r>
        <w:rPr>
          <w:sz w:val="21"/>
        </w:rPr>
        <w:t>ISBN</w:t>
      </w:r>
      <w:r>
        <w:rPr>
          <w:sz w:val="21"/>
        </w:rPr>
        <w:t>、出版社、单价、册数、码洋、书目号等。每包有小计，包括种数、册数、本包码洋。</w:t>
      </w:r>
    </w:p>
    <w:p>
      <w:pPr>
        <w:jc w:val="both"/>
      </w:pPr>
      <w:r>
        <w:rPr>
          <w:sz w:val="21"/>
        </w:rPr>
        <w:t>3</w:t>
      </w:r>
      <w:r>
        <w:rPr>
          <w:sz w:val="21"/>
        </w:rPr>
        <w:t>、整批图书有合计，合计内容为此批图书的总种数、总册数和总码洋。</w:t>
      </w:r>
    </w:p>
    <w:p>
      <w:pPr>
        <w:jc w:val="both"/>
      </w:pPr>
      <w:r>
        <w:rPr>
          <w:sz w:val="21"/>
        </w:rPr>
        <w:t>4</w:t>
      </w:r>
      <w:r>
        <w:rPr>
          <w:sz w:val="21"/>
        </w:rPr>
        <w:t>、一份清单分别附于各包装货件内，另一份是以箱号为序的总清单，货单相符。</w:t>
      </w:r>
    </w:p>
    <w:p>
      <w:pPr>
        <w:jc w:val="both"/>
      </w:pPr>
      <w:r>
        <w:rPr>
          <w:sz w:val="21"/>
        </w:rPr>
        <w:t>（二）图书质量</w:t>
      </w:r>
    </w:p>
    <w:p>
      <w:pPr>
        <w:jc w:val="both"/>
      </w:pPr>
      <w:r>
        <w:rPr>
          <w:sz w:val="21"/>
        </w:rPr>
        <w:t>1</w:t>
      </w:r>
      <w:r>
        <w:rPr>
          <w:sz w:val="21"/>
        </w:rPr>
        <w:t>、</w:t>
      </w:r>
      <w:r>
        <w:rPr>
          <w:sz w:val="21"/>
        </w:rPr>
        <w:t>乙方</w:t>
      </w:r>
      <w:r>
        <w:rPr>
          <w:sz w:val="21"/>
        </w:rPr>
        <w:t>须保证销售正版图书，对盗版图书</w:t>
      </w:r>
      <w:r>
        <w:rPr>
          <w:sz w:val="21"/>
        </w:rPr>
        <w:t>甲方</w:t>
      </w:r>
      <w:r>
        <w:rPr>
          <w:sz w:val="21"/>
        </w:rPr>
        <w:t>拒绝验收，</w:t>
      </w:r>
      <w:r>
        <w:rPr>
          <w:sz w:val="21"/>
        </w:rPr>
        <w:t>乙方</w:t>
      </w:r>
      <w:r>
        <w:rPr>
          <w:sz w:val="21"/>
        </w:rPr>
        <w:t>应当接受无条件退货，并承担一切法律责任，由此而造成</w:t>
      </w:r>
      <w:r>
        <w:rPr>
          <w:sz w:val="21"/>
        </w:rPr>
        <w:t>甲方向行政机关或第三人承担行政、民事责任或有其他</w:t>
      </w:r>
      <w:r>
        <w:rPr>
          <w:sz w:val="21"/>
        </w:rPr>
        <w:t>损失的，</w:t>
      </w:r>
      <w:r>
        <w:rPr>
          <w:sz w:val="21"/>
        </w:rPr>
        <w:t>甲方有权向乙方追偿</w:t>
      </w:r>
      <w:r>
        <w:rPr>
          <w:sz w:val="21"/>
        </w:rPr>
        <w:t>。</w:t>
      </w:r>
    </w:p>
    <w:p>
      <w:pPr>
        <w:jc w:val="both"/>
      </w:pPr>
      <w:r>
        <w:rPr>
          <w:sz w:val="21"/>
        </w:rPr>
        <w:t>2</w:t>
      </w:r>
      <w:r>
        <w:rPr>
          <w:sz w:val="21"/>
        </w:rPr>
        <w:t>、图书到货后发现任何质量问题，如破损、重订或者投递与所订品种、复本数量、随刊光盘</w:t>
      </w:r>
      <w:r>
        <w:rPr>
          <w:sz w:val="21"/>
        </w:rPr>
        <w:t>/</w:t>
      </w:r>
      <w:r>
        <w:rPr>
          <w:sz w:val="21"/>
        </w:rPr>
        <w:t>磁盘</w:t>
      </w:r>
      <w:r>
        <w:rPr>
          <w:sz w:val="21"/>
        </w:rPr>
        <w:t>/</w:t>
      </w:r>
      <w:r>
        <w:rPr>
          <w:sz w:val="21"/>
        </w:rPr>
        <w:t>磁带等不符的情况时，无论是否已作前期加工，</w:t>
      </w:r>
      <w:r>
        <w:rPr>
          <w:sz w:val="21"/>
        </w:rPr>
        <w:t>乙方</w:t>
      </w:r>
      <w:r>
        <w:rPr>
          <w:sz w:val="21"/>
        </w:rPr>
        <w:t>应全部无条件退换。</w:t>
      </w:r>
    </w:p>
    <w:p>
      <w:pPr>
        <w:jc w:val="both"/>
      </w:pPr>
      <w:r>
        <w:rPr>
          <w:sz w:val="21"/>
        </w:rPr>
        <w:t>（三）图书退换</w:t>
      </w:r>
    </w:p>
    <w:p>
      <w:pPr>
        <w:jc w:val="both"/>
      </w:pPr>
      <w:r>
        <w:rPr>
          <w:sz w:val="21"/>
        </w:rPr>
        <w:t>1</w:t>
      </w:r>
      <w:r>
        <w:rPr>
          <w:sz w:val="21"/>
        </w:rPr>
        <w:t>、</w:t>
      </w:r>
      <w:r>
        <w:rPr>
          <w:sz w:val="21"/>
        </w:rPr>
        <w:t>图书出现下列任一情况，</w:t>
      </w:r>
      <w:r>
        <w:rPr>
          <w:sz w:val="21"/>
        </w:rPr>
        <w:t>乙方</w:t>
      </w:r>
      <w:r>
        <w:rPr>
          <w:sz w:val="21"/>
        </w:rPr>
        <w:t>须无条件负责退换。</w:t>
      </w:r>
      <w:r>
        <w:rPr>
          <w:sz w:val="21"/>
        </w:rPr>
        <w:t>退换产生的费用由乙方承担。</w:t>
      </w:r>
    </w:p>
    <w:p>
      <w:pPr>
        <w:jc w:val="both"/>
      </w:pPr>
      <w:r>
        <w:rPr>
          <w:sz w:val="21"/>
        </w:rPr>
        <w:t>（</w:t>
      </w:r>
      <w:r>
        <w:rPr>
          <w:sz w:val="21"/>
        </w:rPr>
        <w:t>1</w:t>
      </w:r>
      <w:r>
        <w:rPr>
          <w:sz w:val="21"/>
        </w:rPr>
        <w:t>）盗版图书；</w:t>
      </w:r>
    </w:p>
    <w:p>
      <w:pPr>
        <w:jc w:val="both"/>
      </w:pPr>
      <w:r>
        <w:rPr>
          <w:sz w:val="21"/>
        </w:rPr>
        <w:t>（</w:t>
      </w:r>
      <w:r>
        <w:rPr>
          <w:sz w:val="21"/>
        </w:rPr>
        <w:t>2</w:t>
      </w:r>
      <w:r>
        <w:rPr>
          <w:sz w:val="21"/>
        </w:rPr>
        <w:t>）出现装订、印刷质量问题和损坏；</w:t>
      </w:r>
    </w:p>
    <w:p>
      <w:pPr>
        <w:jc w:val="both"/>
      </w:pPr>
      <w:r>
        <w:rPr>
          <w:sz w:val="21"/>
        </w:rPr>
        <w:t>（</w:t>
      </w:r>
      <w:r>
        <w:rPr>
          <w:sz w:val="21"/>
        </w:rPr>
        <w:t>3</w:t>
      </w:r>
      <w:r>
        <w:rPr>
          <w:sz w:val="21"/>
        </w:rPr>
        <w:t>）配套不齐全；</w:t>
      </w:r>
    </w:p>
    <w:p>
      <w:pPr>
        <w:jc w:val="both"/>
      </w:pPr>
      <w:r>
        <w:rPr>
          <w:sz w:val="21"/>
        </w:rPr>
        <w:t>（</w:t>
      </w:r>
      <w:r>
        <w:rPr>
          <w:sz w:val="21"/>
        </w:rPr>
        <w:t>4</w:t>
      </w:r>
      <w:r>
        <w:rPr>
          <w:sz w:val="21"/>
        </w:rPr>
        <w:t>）提供的品种和数量与订货单不符；</w:t>
      </w:r>
    </w:p>
    <w:p>
      <w:pPr>
        <w:jc w:val="both"/>
      </w:pPr>
      <w:r>
        <w:rPr>
          <w:sz w:val="21"/>
        </w:rPr>
        <w:t>（</w:t>
      </w:r>
      <w:r>
        <w:rPr>
          <w:sz w:val="21"/>
        </w:rPr>
        <w:t>5</w:t>
      </w:r>
      <w:r>
        <w:rPr>
          <w:sz w:val="21"/>
        </w:rPr>
        <w:t>）因内容、开本、页数等等原因不符合</w:t>
      </w:r>
      <w:r>
        <w:rPr>
          <w:sz w:val="21"/>
        </w:rPr>
        <w:t>甲方学校</w:t>
      </w:r>
      <w:r>
        <w:rPr>
          <w:sz w:val="21"/>
        </w:rPr>
        <w:t>图书馆馆藏要求；</w:t>
      </w:r>
    </w:p>
    <w:p>
      <w:pPr>
        <w:jc w:val="both"/>
      </w:pPr>
      <w:r>
        <w:rPr>
          <w:sz w:val="21"/>
        </w:rPr>
        <w:t>（</w:t>
      </w:r>
      <w:r>
        <w:rPr>
          <w:sz w:val="21"/>
        </w:rPr>
        <w:t>6</w:t>
      </w:r>
      <w:r>
        <w:rPr>
          <w:sz w:val="21"/>
        </w:rPr>
        <w:t>）因</w:t>
      </w:r>
      <w:r>
        <w:rPr>
          <w:sz w:val="21"/>
        </w:rPr>
        <w:t>乙方</w:t>
      </w:r>
      <w:r>
        <w:rPr>
          <w:sz w:val="21"/>
        </w:rPr>
        <w:t>提供的书目信息错漏而导致</w:t>
      </w:r>
      <w:r>
        <w:rPr>
          <w:sz w:val="21"/>
        </w:rPr>
        <w:t>甲方</w:t>
      </w:r>
      <w:r>
        <w:rPr>
          <w:sz w:val="21"/>
        </w:rPr>
        <w:t>误订；</w:t>
      </w:r>
    </w:p>
    <w:p>
      <w:pPr>
        <w:jc w:val="both"/>
      </w:pPr>
      <w:r>
        <w:rPr>
          <w:sz w:val="21"/>
        </w:rPr>
        <w:t>（</w:t>
      </w:r>
      <w:r>
        <w:rPr>
          <w:sz w:val="21"/>
        </w:rPr>
        <w:t>7</w:t>
      </w:r>
      <w:r>
        <w:rPr>
          <w:sz w:val="21"/>
        </w:rPr>
        <w:t>）</w:t>
      </w:r>
      <w:r>
        <w:rPr>
          <w:sz w:val="21"/>
        </w:rPr>
        <w:t>甲方</w:t>
      </w:r>
      <w:r>
        <w:rPr>
          <w:sz w:val="21"/>
        </w:rPr>
        <w:t>认为必须退书的其它情况。</w:t>
      </w:r>
    </w:p>
    <w:p>
      <w:pPr>
        <w:jc w:val="both"/>
      </w:pPr>
      <w:r>
        <w:rPr>
          <w:sz w:val="21"/>
        </w:rPr>
        <w:t>（四）图书验收</w:t>
      </w:r>
    </w:p>
    <w:p>
      <w:pPr>
        <w:jc w:val="both"/>
      </w:pPr>
      <w:r>
        <w:rPr>
          <w:sz w:val="21"/>
        </w:rPr>
        <w:t>图书验收以</w:t>
      </w:r>
      <w:r>
        <w:rPr>
          <w:sz w:val="21"/>
        </w:rPr>
        <w:t>甲方</w:t>
      </w:r>
      <w:r>
        <w:rPr>
          <w:sz w:val="21"/>
        </w:rPr>
        <w:t>最终的验收结果为准。</w:t>
      </w:r>
    </w:p>
    <w:p>
      <w:pPr>
        <w:jc w:val="both"/>
      </w:pPr>
      <w:r>
        <w:rPr>
          <w:sz w:val="21"/>
        </w:rPr>
        <w:t>1</w:t>
      </w:r>
      <w:r>
        <w:rPr>
          <w:sz w:val="21"/>
        </w:rPr>
        <w:t>、所有送达图书馆的图书的品种及复本数量均由</w:t>
      </w:r>
      <w:r>
        <w:rPr>
          <w:sz w:val="21"/>
        </w:rPr>
        <w:t>甲方</w:t>
      </w:r>
      <w:r>
        <w:rPr>
          <w:sz w:val="21"/>
        </w:rPr>
        <w:t>决定，</w:t>
      </w:r>
      <w:r>
        <w:rPr>
          <w:sz w:val="21"/>
        </w:rPr>
        <w:t>乙方</w:t>
      </w:r>
      <w:r>
        <w:rPr>
          <w:sz w:val="21"/>
        </w:rPr>
        <w:t>不得自行搭配和追加非</w:t>
      </w:r>
      <w:r>
        <w:rPr>
          <w:sz w:val="21"/>
        </w:rPr>
        <w:t>甲方</w:t>
      </w:r>
      <w:r>
        <w:rPr>
          <w:sz w:val="21"/>
        </w:rPr>
        <w:t>确认订购的品种和复本数量的图书。</w:t>
      </w:r>
      <w:r>
        <w:rPr>
          <w:sz w:val="21"/>
        </w:rPr>
        <w:t>乙方</w:t>
      </w:r>
      <w:r>
        <w:rPr>
          <w:sz w:val="21"/>
        </w:rPr>
        <w:t>强硬搭配的图书，</w:t>
      </w:r>
      <w:r>
        <w:rPr>
          <w:sz w:val="21"/>
        </w:rPr>
        <w:t>甲方</w:t>
      </w:r>
      <w:r>
        <w:rPr>
          <w:sz w:val="21"/>
        </w:rPr>
        <w:t>有权按学校规定的图书捐赠制度处理。</w:t>
      </w:r>
    </w:p>
    <w:p>
      <w:pPr>
        <w:jc w:val="both"/>
      </w:pPr>
      <w:r>
        <w:rPr>
          <w:sz w:val="21"/>
        </w:rPr>
        <w:t>2</w:t>
      </w:r>
      <w:r>
        <w:rPr>
          <w:sz w:val="21"/>
        </w:rPr>
        <w:t>、</w:t>
      </w:r>
      <w:r>
        <w:rPr>
          <w:sz w:val="21"/>
        </w:rPr>
        <w:t>乙方</w:t>
      </w:r>
      <w:r>
        <w:rPr>
          <w:sz w:val="21"/>
        </w:rPr>
        <w:t>须保证销售正版图书，保证所供应图书的版本与进书来源合法，并对所供应的图书版本、知识产权、进货来源承担相应的法律责任。如发现盗版现象，按盗版书涉及金额的</w:t>
      </w:r>
      <w:r>
        <w:rPr>
          <w:sz w:val="21"/>
        </w:rPr>
        <w:t>100</w:t>
      </w:r>
      <w:r>
        <w:rPr>
          <w:sz w:val="21"/>
        </w:rPr>
        <w:t>倍进行赔偿，并由</w:t>
      </w:r>
      <w:r>
        <w:rPr>
          <w:sz w:val="21"/>
        </w:rPr>
        <w:t>乙方</w:t>
      </w:r>
      <w:r>
        <w:rPr>
          <w:sz w:val="21"/>
        </w:rPr>
        <w:t>负全部法律责任。</w:t>
      </w:r>
    </w:p>
    <w:p>
      <w:pPr>
        <w:jc w:val="both"/>
      </w:pPr>
      <w:r>
        <w:rPr>
          <w:sz w:val="21"/>
        </w:rPr>
        <w:t>3</w:t>
      </w:r>
      <w:r>
        <w:rPr>
          <w:sz w:val="21"/>
        </w:rPr>
        <w:t>、如出现图书装订、印刷、缺页、少页和污损等不符合图书馆藏书要求的图书，</w:t>
      </w:r>
      <w:r>
        <w:rPr>
          <w:sz w:val="21"/>
        </w:rPr>
        <w:t>乙方</w:t>
      </w:r>
      <w:r>
        <w:rPr>
          <w:sz w:val="21"/>
        </w:rPr>
        <w:t>须在</w:t>
      </w:r>
      <w:r>
        <w:rPr>
          <w:sz w:val="21"/>
        </w:rPr>
        <w:t>20</w:t>
      </w:r>
      <w:r>
        <w:rPr>
          <w:sz w:val="21"/>
        </w:rPr>
        <w:t>天内无条件给予退货。</w:t>
      </w:r>
    </w:p>
    <w:p>
      <w:pPr>
        <w:jc w:val="both"/>
      </w:pPr>
      <w:r>
        <w:rPr>
          <w:sz w:val="21"/>
        </w:rPr>
        <w:t>4</w:t>
      </w:r>
      <w:r>
        <w:rPr>
          <w:sz w:val="21"/>
        </w:rPr>
        <w:t>、图书要求无偿提供随书</w:t>
      </w:r>
      <w:r>
        <w:rPr>
          <w:sz w:val="21"/>
        </w:rPr>
        <w:t>100%</w:t>
      </w:r>
      <w:r>
        <w:rPr>
          <w:sz w:val="21"/>
        </w:rPr>
        <w:t>配套、且符合要求的标准</w:t>
      </w:r>
      <w:r>
        <w:rPr>
          <w:sz w:val="21"/>
        </w:rPr>
        <w:t>CNMARC</w:t>
      </w:r>
      <w:r>
        <w:rPr>
          <w:sz w:val="21"/>
        </w:rPr>
        <w:t>编目数据，编目数据以光盘或电子邮件方式提供，由</w:t>
      </w:r>
      <w:r>
        <w:rPr>
          <w:sz w:val="21"/>
        </w:rPr>
        <w:t>甲方</w:t>
      </w:r>
      <w:r>
        <w:rPr>
          <w:sz w:val="21"/>
        </w:rPr>
        <w:t>负责转入本馆系统。</w:t>
      </w:r>
    </w:p>
    <w:p>
      <w:pPr>
        <w:jc w:val="both"/>
      </w:pPr>
      <w:r>
        <w:rPr>
          <w:sz w:val="21"/>
        </w:rPr>
        <w:t>（五）</w:t>
      </w:r>
      <w:r>
        <w:rPr>
          <w:sz w:val="21"/>
        </w:rPr>
        <w:t>乙方</w:t>
      </w:r>
      <w:r>
        <w:rPr>
          <w:sz w:val="21"/>
        </w:rPr>
        <w:t>要求</w:t>
      </w:r>
    </w:p>
    <w:p>
      <w:pPr>
        <w:jc w:val="both"/>
      </w:pPr>
      <w:r>
        <w:rPr>
          <w:sz w:val="21"/>
        </w:rPr>
        <w:t>1</w:t>
      </w:r>
      <w:r>
        <w:rPr>
          <w:sz w:val="21"/>
        </w:rPr>
        <w:t>、</w:t>
      </w:r>
      <w:r>
        <w:rPr>
          <w:sz w:val="21"/>
        </w:rPr>
        <w:t>乙方</w:t>
      </w:r>
      <w:r>
        <w:rPr>
          <w:sz w:val="21"/>
        </w:rPr>
        <w:t>具有履行合同的能力，包括</w:t>
      </w:r>
      <w:r>
        <w:rPr>
          <w:sz w:val="21"/>
        </w:rPr>
        <w:t>但不限于</w:t>
      </w:r>
      <w:r>
        <w:rPr>
          <w:sz w:val="21"/>
        </w:rPr>
        <w:t>原版外文期刊的订购、配送能力、专业技术人员、质量保证能力和资信。</w:t>
      </w:r>
    </w:p>
    <w:p>
      <w:pPr>
        <w:jc w:val="both"/>
      </w:pPr>
      <w:r>
        <w:rPr>
          <w:sz w:val="21"/>
        </w:rPr>
        <w:t>2</w:t>
      </w:r>
      <w:r>
        <w:rPr>
          <w:sz w:val="21"/>
        </w:rPr>
        <w:t>、</w:t>
      </w:r>
      <w:r>
        <w:rPr>
          <w:sz w:val="21"/>
        </w:rPr>
        <w:t>乙方</w:t>
      </w:r>
      <w:r>
        <w:rPr>
          <w:sz w:val="21"/>
        </w:rPr>
        <w:t>须按</w:t>
      </w:r>
      <w:r>
        <w:rPr>
          <w:sz w:val="21"/>
        </w:rPr>
        <w:t>甲方</w:t>
      </w:r>
      <w:r>
        <w:rPr>
          <w:sz w:val="21"/>
        </w:rPr>
        <w:t>订购的图书品种、数量及时供货，除出版推迟或发生影响协议履行的不可抗力事情外，若不能按时供货的图书种数或册数超过订单订购数的</w:t>
      </w:r>
      <w:r>
        <w:rPr>
          <w:sz w:val="21"/>
        </w:rPr>
        <w:t>20%</w:t>
      </w:r>
      <w:r>
        <w:rPr>
          <w:sz w:val="21"/>
        </w:rPr>
        <w:t>即可认定</w:t>
      </w:r>
      <w:r>
        <w:rPr>
          <w:sz w:val="21"/>
        </w:rPr>
        <w:t>乙方</w:t>
      </w:r>
      <w:r>
        <w:rPr>
          <w:sz w:val="21"/>
        </w:rPr>
        <w:t>不具备供货条件。一旦</w:t>
      </w:r>
      <w:r>
        <w:rPr>
          <w:sz w:val="21"/>
        </w:rPr>
        <w:t>甲方</w:t>
      </w:r>
      <w:r>
        <w:rPr>
          <w:sz w:val="21"/>
        </w:rPr>
        <w:t>提出终止供货的要求，</w:t>
      </w:r>
      <w:r>
        <w:rPr>
          <w:sz w:val="21"/>
        </w:rPr>
        <w:t>乙方</w:t>
      </w:r>
      <w:r>
        <w:rPr>
          <w:sz w:val="21"/>
        </w:rPr>
        <w:t>须无条件接受，终止供货造成的损失由</w:t>
      </w:r>
      <w:r>
        <w:rPr>
          <w:sz w:val="21"/>
        </w:rPr>
        <w:t>乙方</w:t>
      </w:r>
      <w:r>
        <w:rPr>
          <w:sz w:val="21"/>
        </w:rPr>
        <w:t>承担。为尽可能消除因</w:t>
      </w:r>
      <w:r>
        <w:rPr>
          <w:sz w:val="21"/>
        </w:rPr>
        <w:t>乙方</w:t>
      </w:r>
      <w:r>
        <w:rPr>
          <w:sz w:val="21"/>
        </w:rPr>
        <w:t>不能按协议规定要求对</w:t>
      </w:r>
      <w:r>
        <w:rPr>
          <w:sz w:val="21"/>
        </w:rPr>
        <w:t>甲方</w:t>
      </w:r>
      <w:r>
        <w:rPr>
          <w:sz w:val="21"/>
        </w:rPr>
        <w:t>所造成的影响，</w:t>
      </w:r>
      <w:r>
        <w:rPr>
          <w:sz w:val="21"/>
        </w:rPr>
        <w:t>乙方</w:t>
      </w:r>
      <w:r>
        <w:rPr>
          <w:sz w:val="21"/>
        </w:rPr>
        <w:t>有义务采取相应的补救措施（如直接向出版商邮购图书或向其他</w:t>
      </w:r>
      <w:r>
        <w:rPr>
          <w:sz w:val="21"/>
        </w:rPr>
        <w:t>方</w:t>
      </w:r>
      <w:r>
        <w:rPr>
          <w:sz w:val="21"/>
        </w:rPr>
        <w:t>补订图书），由此给</w:t>
      </w:r>
      <w:r>
        <w:rPr>
          <w:sz w:val="21"/>
        </w:rPr>
        <w:t>甲方</w:t>
      </w:r>
      <w:r>
        <w:rPr>
          <w:sz w:val="21"/>
        </w:rPr>
        <w:t>造成的各项损失或增加的各项费用（</w:t>
      </w:r>
      <w:r>
        <w:rPr>
          <w:sz w:val="21"/>
        </w:rPr>
        <w:t>包括但不限于</w:t>
      </w:r>
      <w:r>
        <w:rPr>
          <w:sz w:val="21"/>
        </w:rPr>
        <w:t>邮费、数据费、加工费</w:t>
      </w:r>
      <w:r>
        <w:rPr>
          <w:sz w:val="21"/>
        </w:rPr>
        <w:t>、图书差价</w:t>
      </w:r>
      <w:r>
        <w:rPr>
          <w:sz w:val="21"/>
        </w:rPr>
        <w:t>）等均由违约的</w:t>
      </w:r>
      <w:r>
        <w:rPr>
          <w:sz w:val="21"/>
        </w:rPr>
        <w:t>乙方</w:t>
      </w:r>
      <w:r>
        <w:rPr>
          <w:sz w:val="21"/>
        </w:rPr>
        <w:t>承担。</w:t>
      </w:r>
    </w:p>
    <w:p>
      <w:pPr>
        <w:jc w:val="both"/>
      </w:pPr>
      <w:r>
        <w:rPr>
          <w:sz w:val="21"/>
        </w:rPr>
        <w:t>3</w:t>
      </w:r>
      <w:r>
        <w:rPr>
          <w:sz w:val="21"/>
        </w:rPr>
        <w:t>、</w:t>
      </w:r>
      <w:r>
        <w:rPr>
          <w:sz w:val="21"/>
        </w:rPr>
        <w:t>甲方</w:t>
      </w:r>
      <w:r>
        <w:rPr>
          <w:sz w:val="21"/>
        </w:rPr>
        <w:t>所订图书，</w:t>
      </w:r>
      <w:r>
        <w:rPr>
          <w:sz w:val="21"/>
        </w:rPr>
        <w:t>乙方</w:t>
      </w:r>
      <w:r>
        <w:rPr>
          <w:sz w:val="21"/>
        </w:rPr>
        <w:t>需负责安装复合型钴基可充消防盗磁条。每册图书至少贴一根磁条，</w:t>
      </w:r>
      <w:r>
        <w:rPr>
          <w:sz w:val="21"/>
        </w:rPr>
        <w:t>300</w:t>
      </w:r>
      <w:r>
        <w:rPr>
          <w:sz w:val="21"/>
        </w:rPr>
        <w:t>页以上图书需贴两根。若贴一根磁条，需将防盗磁条装在图书前面约</w:t>
      </w:r>
      <w:r>
        <w:rPr>
          <w:sz w:val="21"/>
        </w:rPr>
        <w:t>1/3</w:t>
      </w:r>
      <w:r>
        <w:rPr>
          <w:sz w:val="21"/>
        </w:rPr>
        <w:t>页码处，若贴两根磁条，则将需防盗磁条分别装在图书前面约</w:t>
      </w:r>
      <w:r>
        <w:rPr>
          <w:sz w:val="21"/>
        </w:rPr>
        <w:t>1/3</w:t>
      </w:r>
      <w:r>
        <w:rPr>
          <w:sz w:val="21"/>
        </w:rPr>
        <w:t>页码处和图书后面约</w:t>
      </w:r>
      <w:r>
        <w:rPr>
          <w:sz w:val="21"/>
        </w:rPr>
        <w:t>1/3</w:t>
      </w:r>
      <w:r>
        <w:rPr>
          <w:sz w:val="21"/>
        </w:rPr>
        <w:t>页码处。</w:t>
      </w:r>
    </w:p>
    <w:p>
      <w:pPr>
        <w:jc w:val="both"/>
      </w:pPr>
      <w:r>
        <w:rPr>
          <w:sz w:val="21"/>
        </w:rPr>
        <w:t>4</w:t>
      </w:r>
      <w:r>
        <w:rPr>
          <w:sz w:val="21"/>
        </w:rPr>
        <w:t>、实际操作过程中出现以上未列明的其他问题，由双方协商解决。</w:t>
      </w:r>
    </w:p>
    <w:p>
      <w:pPr>
        <w:jc w:val="both"/>
      </w:pPr>
      <w:r>
        <w:rPr>
          <w:sz w:val="21"/>
        </w:rPr>
        <w:t>5</w:t>
      </w:r>
      <w:r>
        <w:rPr>
          <w:sz w:val="21"/>
        </w:rPr>
        <w:t>、乙方具有专门的图书零售场地、良好的图书样书室等现采场地。</w:t>
      </w:r>
    </w:p>
    <w:p>
      <w:pPr>
        <w:jc w:val="both"/>
      </w:pPr>
    </w:p>
    <w:p>
      <w:pPr>
        <w:jc w:val="both"/>
      </w:pPr>
      <w:r>
        <w:rPr>
          <w:sz w:val="21"/>
        </w:rPr>
        <w:t>五、售后服务</w:t>
      </w:r>
    </w:p>
    <w:p>
      <w:pPr>
        <w:jc w:val="both"/>
      </w:pPr>
      <w:r>
        <w:rPr>
          <w:sz w:val="21"/>
        </w:rPr>
        <w:t>1.</w:t>
      </w:r>
      <w:r>
        <w:rPr>
          <w:sz w:val="21"/>
        </w:rPr>
        <w:t>乙方须专门指派一名业务人员，负责与甲方保持业务联系。</w:t>
      </w:r>
    </w:p>
    <w:p>
      <w:pPr>
        <w:jc w:val="both"/>
      </w:pPr>
      <w:r>
        <w:rPr>
          <w:sz w:val="21"/>
        </w:rPr>
        <w:t>2.</w:t>
      </w:r>
      <w:r>
        <w:rPr>
          <w:sz w:val="21"/>
        </w:rPr>
        <w:t>乙方在投递的每批图书、期刊中应随货附送与货物数量、品种、价格相符的详细电脑清单及汇总单，以便于双方协调验收和避免出现漏发、错投的现象。</w:t>
      </w:r>
    </w:p>
    <w:p>
      <w:pPr>
        <w:jc w:val="both"/>
      </w:pPr>
      <w:r>
        <w:rPr>
          <w:sz w:val="21"/>
        </w:rPr>
        <w:t>3.</w:t>
      </w:r>
      <w:r>
        <w:rPr>
          <w:sz w:val="21"/>
        </w:rPr>
        <w:t>对汇总单中漏发的图书、期刊，乙方必须立刻快递补齐。</w:t>
      </w:r>
    </w:p>
    <w:p>
      <w:pPr>
        <w:jc w:val="both"/>
      </w:pPr>
      <w:r>
        <w:rPr>
          <w:sz w:val="21"/>
        </w:rPr>
        <w:t>4.</w:t>
      </w:r>
      <w:r>
        <w:rPr>
          <w:sz w:val="21"/>
        </w:rPr>
        <w:t>对延迟出版及取消出版图书、期刊，乙方应及时向出版机构查询交涉，并同步通报甲方。</w:t>
      </w:r>
    </w:p>
    <w:p>
      <w:pPr>
        <w:jc w:val="both"/>
      </w:pPr>
      <w:r>
        <w:rPr>
          <w:sz w:val="21"/>
        </w:rPr>
        <w:t>5.</w:t>
      </w:r>
      <w:r>
        <w:rPr>
          <w:sz w:val="21"/>
        </w:rPr>
        <w:t>接甲方通知（含电话）后，乙方必须在一个工作日内作出反馈并提出处理问题的方案。</w:t>
      </w:r>
    </w:p>
    <w:p>
      <w:pPr>
        <w:jc w:val="both"/>
      </w:pPr>
    </w:p>
    <w:p>
      <w:pPr>
        <w:jc w:val="both"/>
      </w:pPr>
      <w:r>
        <w:rPr>
          <w:sz w:val="21"/>
        </w:rPr>
        <w:t>六、违约责任</w:t>
      </w:r>
    </w:p>
    <w:p>
      <w:pPr>
        <w:ind w:firstLine="420"/>
        <w:jc w:val="left"/>
      </w:pPr>
      <w:r>
        <w:rPr>
          <w:sz w:val="21"/>
        </w:rPr>
        <w:t>1. 乙方交付的货物及提供的服务不符合招标文件、报价文件或本合同规定的，甲方有权拒收，并且乙方须向甲方支付本合同总价5%的违约金并赔偿因此给甲方造成的损失。情节严重者甲方有权单方面解除合同，取消乙方供货资格，并要求乙方承担中标总价</w:t>
      </w:r>
      <w:r>
        <w:rPr>
          <w:sz w:val="21"/>
        </w:rPr>
        <w:t>30%</w:t>
      </w:r>
      <w:r>
        <w:rPr>
          <w:sz w:val="21"/>
        </w:rPr>
        <w:t>违约金。如甲方要求乙方重新或补充提供合格产品，乙方应当在甲方指定限期内提供。</w:t>
      </w:r>
    </w:p>
    <w:p>
      <w:pPr>
        <w:ind w:firstLine="420"/>
        <w:jc w:val="left"/>
      </w:pPr>
      <w:r>
        <w:rPr>
          <w:sz w:val="21"/>
        </w:rPr>
        <w:t>2</w:t>
      </w:r>
      <w:r>
        <w:rPr>
          <w:sz w:val="21"/>
        </w:rPr>
        <w:t>. 甲方无正当理由拒收货物/接受服务，甲方向乙方偿付本合同总额的5%的违约金。</w:t>
      </w:r>
    </w:p>
    <w:p>
      <w:pPr>
        <w:ind w:firstLine="420"/>
        <w:jc w:val="left"/>
      </w:pPr>
      <w:r>
        <w:rPr>
          <w:sz w:val="21"/>
        </w:rPr>
        <w:t>3</w:t>
      </w:r>
      <w:r>
        <w:rPr>
          <w:sz w:val="21"/>
        </w:rPr>
        <w:t>. 甲方若无正当理由逾期付款，则每日按本合同总额的万分之五向乙方偿付违约金，但该违约金不超过合同总额的5%。</w:t>
      </w:r>
    </w:p>
    <w:p>
      <w:pPr>
        <w:ind w:firstLine="420"/>
        <w:jc w:val="left"/>
      </w:pPr>
      <w:r>
        <w:rPr>
          <w:sz w:val="21"/>
        </w:rPr>
        <w:t>4</w:t>
      </w:r>
      <w:r>
        <w:rPr>
          <w:sz w:val="21"/>
        </w:rPr>
        <w:t>. 其他违约责任按《中华人民共和国民法典》处理。</w:t>
      </w:r>
    </w:p>
    <w:p>
      <w:pPr>
        <w:ind w:firstLine="420"/>
        <w:jc w:val="left"/>
      </w:pPr>
      <w:r>
        <w:rPr>
          <w:sz w:val="21"/>
        </w:rPr>
        <w:t>5.</w:t>
      </w:r>
      <w:r>
        <w:rPr>
          <w:sz w:val="21"/>
        </w:rPr>
        <w:t xml:space="preserve"> </w:t>
      </w:r>
      <w:r>
        <w:rPr>
          <w:sz w:val="21"/>
        </w:rPr>
        <w:t>在履行合同过程中，本合同一方当事人因第三人的原因造成违约的，应当向本合同对方当事人承担违约责任</w:t>
      </w:r>
      <w:r>
        <w:rPr>
          <w:sz w:val="21"/>
        </w:rPr>
        <w:t>:本合同违约方当事人和第三人之间的纠纷，依照法律规定自行解决和承担法律责任，如导致本合同对方受牵涉而发生损失(包括但不限于本合同违约方行为所致本合同对方的经济损失、派员参与纠纷解决的人工、交通、食宿费用、仲裁费、诉讼费、委托律师费用等)的，由本合同违约方承担赔偿责任。</w:t>
      </w:r>
    </w:p>
    <w:p>
      <w:pPr>
        <w:ind w:firstLine="422"/>
        <w:jc w:val="left"/>
      </w:pPr>
    </w:p>
    <w:p>
      <w:pPr>
        <w:ind w:firstLine="422"/>
        <w:jc w:val="left"/>
      </w:pPr>
      <w:r>
        <w:rPr>
          <w:b/>
          <w:sz w:val="21"/>
        </w:rPr>
        <w:t>七、争议解决</w:t>
      </w:r>
    </w:p>
    <w:p>
      <w:pPr>
        <w:ind w:firstLine="422"/>
        <w:jc w:val="left"/>
      </w:pPr>
      <w:r>
        <w:rPr>
          <w:sz w:val="21"/>
        </w:rPr>
        <w:t xml:space="preserve">      </w:t>
      </w:r>
      <w:r>
        <w:rPr>
          <w:sz w:val="21"/>
        </w:rPr>
        <w:t>因履行合同产生的争议双方协商解决，协商不成提交汕头仲裁委员会仲裁，仲裁结果对双方具有法律约束力。</w:t>
      </w:r>
    </w:p>
    <w:p>
      <w:pPr>
        <w:ind w:firstLine="420"/>
        <w:jc w:val="left"/>
      </w:pPr>
    </w:p>
    <w:p>
      <w:pPr>
        <w:ind w:firstLine="420"/>
        <w:jc w:val="left"/>
      </w:pPr>
      <w:r>
        <w:rPr>
          <w:b/>
          <w:sz w:val="21"/>
        </w:rPr>
        <w:t>八、不可抗力</w:t>
      </w:r>
    </w:p>
    <w:p>
      <w:pPr>
        <w:ind w:firstLine="420"/>
        <w:jc w:val="left"/>
      </w:pPr>
      <w:r>
        <w:rPr>
          <w:sz w:val="21"/>
        </w:rPr>
        <w:t xml:space="preserve">      </w:t>
      </w:r>
      <w:r>
        <w:rPr>
          <w:sz w:val="21"/>
        </w:rPr>
        <w:t>任何一方由于重大自然灾害、政府管制、严重社会公共卫生事件等不可抗力原因不能履行合同时，应在不可抗力事件结束后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0"/>
        <w:jc w:val="left"/>
      </w:pPr>
    </w:p>
    <w:p>
      <w:pPr>
        <w:ind w:firstLine="420"/>
        <w:jc w:val="left"/>
      </w:pPr>
      <w:r>
        <w:rPr>
          <w:b/>
          <w:sz w:val="21"/>
        </w:rPr>
        <w:t>九、税费</w:t>
      </w:r>
    </w:p>
    <w:p>
      <w:pPr>
        <w:ind w:firstLine="420"/>
        <w:jc w:val="left"/>
      </w:pPr>
      <w:r>
        <w:rPr>
          <w:sz w:val="21"/>
        </w:rPr>
        <w:t xml:space="preserve">      </w:t>
      </w:r>
      <w:r>
        <w:rPr>
          <w:sz w:val="21"/>
        </w:rPr>
        <w:t>在中国境内、外发生的与本合同执行有关的一切税费均由乙方负担。</w:t>
      </w:r>
    </w:p>
    <w:p>
      <w:pPr>
        <w:ind w:firstLine="420"/>
        <w:jc w:val="left"/>
      </w:pPr>
    </w:p>
    <w:p>
      <w:pPr>
        <w:ind w:firstLine="420"/>
        <w:jc w:val="left"/>
      </w:pPr>
      <w:r>
        <w:rPr>
          <w:b/>
          <w:sz w:val="21"/>
        </w:rPr>
        <w:t>十、其他</w:t>
      </w:r>
    </w:p>
    <w:p>
      <w:pPr>
        <w:ind w:firstLine="420"/>
        <w:jc w:val="left"/>
      </w:pPr>
      <w:r>
        <w:rPr>
          <w:sz w:val="21"/>
        </w:rPr>
        <w:t xml:space="preserve">   </w:t>
      </w:r>
      <w:r>
        <w:rPr>
          <w:sz w:val="21"/>
        </w:rPr>
        <w:t>1. 本合同所有附件、采购文件、投标文件、中标通知书均为合同的有效组成部分，与本合同具有同等法律效力。</w:t>
      </w:r>
    </w:p>
    <w:p>
      <w:pPr>
        <w:ind w:firstLine="420"/>
        <w:jc w:val="left"/>
      </w:pPr>
      <w:r>
        <w:rPr>
          <w:sz w:val="21"/>
        </w:rPr>
        <w:t>2. 在执行本合同的过程中，所有经双方签署确认的文件（包括会议纪要、补充协议、往来信函）即成为本合同的有效组成部分。</w:t>
      </w:r>
    </w:p>
    <w:p>
      <w:pPr>
        <w:ind w:firstLine="420"/>
        <w:jc w:val="left"/>
      </w:pPr>
      <w:r>
        <w:rPr>
          <w:sz w:val="21"/>
        </w:rPr>
        <w:t>3. 合同各方一致确认以下通讯地址和联系方式为各方履行合同、解决合同争议时向接收方（其他方）送达商业文件信函或司法机关(法院、仲裁机构)诉讼、仲裁文书的送达地址和联系方式。</w:t>
      </w:r>
    </w:p>
    <w:p>
      <w:pPr>
        <w:ind w:firstLine="420"/>
        <w:jc w:val="left"/>
      </w:pPr>
      <w:r>
        <w:rPr>
          <w:sz w:val="21"/>
        </w:rPr>
        <w:t xml:space="preserve">    </w:t>
      </w:r>
      <w:r>
        <w:rPr>
          <w:sz w:val="21"/>
        </w:rPr>
        <w:t>甲方送达地址和联系方式为：汕头市金平区大学路</w:t>
      </w:r>
      <w:r>
        <w:rPr>
          <w:sz w:val="21"/>
        </w:rPr>
        <w:t>243 号，0754-8650xxxx</w:t>
      </w:r>
    </w:p>
    <w:p>
      <w:pPr>
        <w:ind w:firstLine="420"/>
        <w:jc w:val="left"/>
      </w:pPr>
      <w:r>
        <w:rPr>
          <w:sz w:val="21"/>
        </w:rPr>
        <w:t xml:space="preserve">    </w:t>
      </w:r>
      <w:r>
        <w:rPr>
          <w:sz w:val="21"/>
        </w:rPr>
        <w:t>乙方送达地址和联系方式为：</w:t>
      </w:r>
      <w:r>
        <w:rPr>
          <w:sz w:val="21"/>
        </w:rPr>
        <w:t>xxxxxx，xxxxxxxx</w:t>
      </w:r>
    </w:p>
    <w:p>
      <w:pPr>
        <w:ind w:firstLine="420"/>
        <w:jc w:val="left"/>
      </w:pPr>
      <w:r>
        <w:rPr>
          <w:sz w:val="21"/>
        </w:rPr>
        <w:t xml:space="preserve">    </w:t>
      </w:r>
      <w:r>
        <w:rPr>
          <w:sz w:val="21"/>
        </w:rPr>
        <w:t>若任何一方通讯地址和联系方式需要变更的，应提前五个工作日向合同其他方送交书面变更告知书，否则上述通讯地址和联系方式适用至本合同履行完毕或争议经过一审、二审至案件执行终结时止。</w:t>
      </w:r>
    </w:p>
    <w:p>
      <w:pPr>
        <w:ind w:firstLine="420"/>
        <w:jc w:val="left"/>
      </w:pPr>
      <w:r>
        <w:rPr>
          <w:sz w:val="21"/>
        </w:rPr>
        <w:t>4.除甲方事先书面同意外，乙方不得部分或全部转让其应履行的合同项下的义务。</w:t>
      </w:r>
    </w:p>
    <w:p>
      <w:pPr>
        <w:ind w:firstLine="420"/>
        <w:jc w:val="left"/>
      </w:pPr>
    </w:p>
    <w:p>
      <w:pPr>
        <w:ind w:firstLine="420"/>
        <w:jc w:val="left"/>
      </w:pPr>
      <w:r>
        <w:rPr>
          <w:b/>
          <w:sz w:val="21"/>
        </w:rPr>
        <w:t>十一、合同生效</w:t>
      </w:r>
    </w:p>
    <w:p>
      <w:pPr>
        <w:ind w:firstLine="420"/>
        <w:jc w:val="left"/>
      </w:pPr>
      <w:r>
        <w:rPr>
          <w:sz w:val="21"/>
        </w:rPr>
        <w:t>1. 本合同在甲乙双方法人代表或其授权代表签字盖章后生效。</w:t>
      </w:r>
    </w:p>
    <w:p>
      <w:pPr>
        <w:ind w:firstLine="420"/>
        <w:jc w:val="left"/>
      </w:pPr>
      <w:r>
        <w:rPr>
          <w:sz w:val="21"/>
        </w:rPr>
        <w:t>2. 本协议正本一式四份，具有同等法律效力，甲乙双方各执贰份。</w:t>
      </w:r>
    </w:p>
    <w:p>
      <w:pPr>
        <w:ind w:firstLine="420"/>
        <w:jc w:val="left"/>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288"/>
        <w:gridCol w:w="4004"/>
      </w:tblGrid>
      <w:tr>
        <w:tc>
          <w:tcPr>
            <w:tcW w:type="dxa" w:w="4288"/>
            <w:tcBorders>
              <w:top w:val="single" w:color="F2F2F2" w:sz="4"/>
              <w:left w:val="single" w:color="F2F2F2" w:sz="4"/>
              <w:bottom w:val="single" w:color="F2F2F2" w:sz="4"/>
              <w:right w:val="single" w:color="F2F2F2" w:sz="4"/>
            </w:tcBorders>
            <w:vAlign w:val="top"/>
          </w:tcPr>
          <w:p>
            <w:pPr>
              <w:jc w:val="both"/>
            </w:pPr>
          </w:p>
          <w:p>
            <w:pPr>
              <w:jc w:val="both"/>
            </w:pPr>
            <w:r>
              <w:rPr>
                <w:sz w:val="21"/>
              </w:rPr>
              <w:t>甲方（盖章）：汕头大学</w:t>
            </w:r>
          </w:p>
        </w:tc>
        <w:tc>
          <w:tcPr>
            <w:tcW w:type="dxa" w:w="4004"/>
            <w:tcBorders>
              <w:top w:val="single" w:color="F2F2F2" w:sz="4"/>
              <w:left w:val="single" w:color="F2F2F2" w:sz="4"/>
              <w:bottom w:val="single" w:color="F2F2F2" w:sz="4"/>
              <w:right w:val="single" w:color="F2F2F2" w:sz="4"/>
            </w:tcBorders>
            <w:vAlign w:val="top"/>
          </w:tcPr>
          <w:p>
            <w:pPr>
              <w:jc w:val="both"/>
            </w:pPr>
            <w:r>
              <w:rPr>
                <w:sz w:val="21"/>
              </w:rPr>
              <w:t>乙方（盖章）：</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授权代表（签字）：</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授权代表（签字）：</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日期：</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日期：</w:t>
            </w:r>
          </w:p>
        </w:tc>
      </w:tr>
    </w:tbl>
    <w:p>
      <w:pPr>
        <w:ind w:firstLine="420"/>
        <w:jc w:val="left"/>
      </w:pPr>
      <w:r>
        <w:rPr>
          <w:sz w:val="21"/>
        </w:rPr>
        <w:t>签约地点：汕头市</w:t>
      </w:r>
    </w:p>
    <w:p>
      <w:pPr>
        <w:ind w:firstLine="422"/>
        <w:jc w:val="center"/>
      </w:pPr>
    </w:p>
    <w:p/>
    <w:p>
      <w:pPr>
        <w:jc w:val="center"/>
      </w:pPr>
      <w:r>
        <w:rPr/>
        <w:t xml:space="preserve"> </w:t>
      </w:r>
    </w:p>
    <w:p>
      <w:pPr>
        <w:jc w:val="center"/>
      </w:pPr>
      <w:r>
        <w:rPr>
          <w:b/>
          <w:sz w:val="21"/>
        </w:rPr>
        <w:t>合同样本三（适用于采购包</w:t>
      </w:r>
      <w:r>
        <w:rPr>
          <w:b/>
          <w:sz w:val="21"/>
        </w:rPr>
        <w:t>3）</w:t>
      </w:r>
    </w:p>
    <w:p>
      <w:r>
        <w:rPr/>
        <w:t xml:space="preserve"> </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02"/>
        <w:gridCol w:w="4103"/>
      </w:tblGrid>
      <w:tr>
        <w:tc>
          <w:tcPr>
            <w:tcW w:type="dxa" w:w="4202"/>
            <w:tcBorders>
              <w:top w:val="single" w:color="F2F2F2" w:sz="4"/>
              <w:left w:val="single" w:color="F2F2F2" w:sz="4"/>
              <w:bottom w:val="single" w:color="F2F2F2" w:sz="4"/>
              <w:right w:val="single" w:color="F2F2F2" w:sz="4"/>
            </w:tcBorders>
            <w:vAlign w:val="top"/>
          </w:tcPr>
          <w:p>
            <w:pPr>
              <w:jc w:val="both"/>
            </w:pPr>
            <w:r>
              <w:rPr>
                <w:sz w:val="21"/>
              </w:rPr>
              <w:t>甲方：汕头大学</w:t>
            </w:r>
          </w:p>
        </w:tc>
        <w:tc>
          <w:tcPr>
            <w:tcW w:type="dxa" w:w="4103"/>
            <w:tcBorders>
              <w:top w:val="single" w:color="F2F2F2" w:sz="4"/>
              <w:left w:val="single" w:color="F2F2F2" w:sz="4"/>
              <w:bottom w:val="single" w:color="F2F2F2" w:sz="4"/>
              <w:right w:val="single" w:color="F2F2F2" w:sz="4"/>
            </w:tcBorders>
            <w:vAlign w:val="top"/>
          </w:tcPr>
          <w:p>
            <w:pPr>
              <w:jc w:val="both"/>
            </w:pPr>
            <w:r>
              <w:rPr>
                <w:sz w:val="21"/>
              </w:rPr>
              <w:t>乙方：</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法定代表人：</w:t>
            </w:r>
            <w:r>
              <w:rPr>
                <w:sz w:val="21"/>
              </w:rPr>
              <w:t>郝志峰</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法定代表人：</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w:t>
            </w:r>
            <w:r>
              <w:rPr>
                <w:sz w:val="21"/>
              </w:rPr>
              <w:t>号</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地址：</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开户银行：</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帐号：</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统一社会信用代码：</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联系人：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联系人：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电子邮箱：</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电子邮箱：</w:t>
            </w:r>
          </w:p>
        </w:tc>
      </w:tr>
    </w:tbl>
    <w:p>
      <w:pPr>
        <w:ind w:firstLine="420"/>
        <w:jc w:val="left"/>
      </w:pPr>
    </w:p>
    <w:p>
      <w:pPr>
        <w:jc w:val="both"/>
      </w:pPr>
      <w:r>
        <w:rPr>
          <w:sz w:val="21"/>
        </w:rPr>
        <w:t>根据</w:t>
      </w:r>
      <w:r>
        <w:rPr>
          <w:sz w:val="21"/>
          <w:u w:val="single"/>
        </w:rPr>
        <w:t xml:space="preserve">         </w:t>
      </w:r>
      <w:r>
        <w:rPr>
          <w:sz w:val="21"/>
        </w:rPr>
        <w:t>（项目编号：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ind w:firstLine="420"/>
        <w:jc w:val="both"/>
      </w:pPr>
      <w:r>
        <w:rPr>
          <w:b/>
          <w:sz w:val="21"/>
        </w:rPr>
        <w:t>一、合同标的</w:t>
      </w:r>
    </w:p>
    <w:p>
      <w:pPr>
        <w:ind w:firstLine="420"/>
        <w:jc w:val="both"/>
      </w:pPr>
      <w:r>
        <w:rPr>
          <w:sz w:val="21"/>
        </w:rPr>
        <w:t>1.项目内容：</w:t>
      </w:r>
    </w:p>
    <w:p>
      <w:pPr>
        <w:ind w:firstLine="420"/>
        <w:jc w:val="both"/>
      </w:pPr>
      <w:r>
        <w:rPr>
          <w:sz w:val="21"/>
        </w:rPr>
        <w:t>2.采购范围：</w:t>
      </w:r>
      <w:r>
        <w:rPr>
          <w:sz w:val="21"/>
        </w:rPr>
        <w:t>原版外文与港台期刊</w:t>
      </w:r>
    </w:p>
    <w:p>
      <w:pPr>
        <w:ind w:firstLine="420"/>
        <w:jc w:val="left"/>
      </w:pPr>
    </w:p>
    <w:p>
      <w:pPr>
        <w:ind w:firstLine="420"/>
        <w:jc w:val="left"/>
      </w:pPr>
      <w:r>
        <w:rPr>
          <w:b/>
          <w:sz w:val="21"/>
        </w:rPr>
        <w:t>二、合同费用及付款方式</w:t>
      </w:r>
    </w:p>
    <w:p>
      <w:pPr>
        <w:jc w:val="both"/>
      </w:pPr>
      <w:r>
        <w:rPr>
          <w:sz w:val="21"/>
        </w:rPr>
        <w:t>（</w:t>
      </w:r>
      <w:r>
        <w:rPr>
          <w:sz w:val="21"/>
        </w:rPr>
        <w:t>1</w:t>
      </w:r>
      <w:r>
        <w:rPr>
          <w:sz w:val="21"/>
        </w:rPr>
        <w:t>）甲方最迟于</w:t>
      </w:r>
      <w:r>
        <w:rPr>
          <w:sz w:val="21"/>
        </w:rPr>
        <w:t>2024</w:t>
      </w:r>
      <w:r>
        <w:rPr>
          <w:sz w:val="21"/>
        </w:rPr>
        <w:t>年</w:t>
      </w:r>
      <w:r>
        <w:rPr>
          <w:sz w:val="21"/>
        </w:rPr>
        <w:t>9</w:t>
      </w:r>
      <w:r>
        <w:rPr>
          <w:sz w:val="21"/>
        </w:rPr>
        <w:t>月</w:t>
      </w:r>
      <w:r>
        <w:rPr>
          <w:sz w:val="21"/>
        </w:rPr>
        <w:t>30</w:t>
      </w:r>
      <w:r>
        <w:rPr>
          <w:sz w:val="21"/>
        </w:rPr>
        <w:t>日前按中标人民币实洋付款。乙方必须按实洋数开具国家税务部门监制的正式发票。</w:t>
      </w:r>
    </w:p>
    <w:p>
      <w:pPr>
        <w:jc w:val="both"/>
      </w:pPr>
      <w:r>
        <w:rPr>
          <w:sz w:val="21"/>
        </w:rPr>
        <w:t>图书结算价（实洋）（人民币元）</w:t>
      </w:r>
      <w:r>
        <w:rPr>
          <w:sz w:val="21"/>
        </w:rPr>
        <w:t>=</w:t>
      </w:r>
      <w:r>
        <w:rPr>
          <w:sz w:val="21"/>
        </w:rPr>
        <w:t>图书原币价格×到馆日原币汇率×中标综合折扣率。</w:t>
      </w:r>
    </w:p>
    <w:p>
      <w:pPr>
        <w:jc w:val="both"/>
      </w:pPr>
      <w:r>
        <w:rPr>
          <w:sz w:val="21"/>
        </w:rPr>
        <w:t>图书原币价格：以出版社标价或供应商进货单据为准。</w:t>
      </w:r>
    </w:p>
    <w:p>
      <w:pPr>
        <w:jc w:val="both"/>
      </w:pPr>
      <w:r>
        <w:rPr>
          <w:sz w:val="21"/>
        </w:rPr>
        <w:t>到馆日原币汇率：指图书到馆当日的中国银行外汇卖出日均价，即当天（北京时间为准）中国银行网站上公布的相应外币的所有现汇卖出价记录之均值。甲方于收到发票</w:t>
      </w:r>
      <w:r>
        <w:rPr>
          <w:sz w:val="21"/>
        </w:rPr>
        <w:t>15</w:t>
      </w:r>
      <w:r>
        <w:rPr>
          <w:sz w:val="21"/>
        </w:rPr>
        <w:t>日内实洋付款。</w:t>
      </w:r>
    </w:p>
    <w:p>
      <w:pPr>
        <w:numPr>
          <w:ilvl w:val="0"/>
          <w:numId w:val="2"/>
        </w:numPr>
      </w:pPr>
      <w:r>
        <w:rPr>
          <w:sz w:val="21"/>
        </w:rPr>
        <w:t>支付方式：采用支票、银行汇付（含电汇）等形式。</w:t>
      </w:r>
    </w:p>
    <w:p>
      <w:pPr>
        <w:numPr>
          <w:ilvl w:val="0"/>
          <w:numId w:val="2"/>
        </w:numPr>
      </w:pPr>
      <w:r>
        <w:rPr>
          <w:sz w:val="21"/>
        </w:rPr>
        <w:t>本合同有效期自合同签订之日起至</w:t>
      </w:r>
      <w:r>
        <w:rPr>
          <w:sz w:val="21"/>
        </w:rPr>
        <w:t xml:space="preserve">202  </w:t>
      </w:r>
      <w:r>
        <w:rPr>
          <w:sz w:val="21"/>
        </w:rPr>
        <w:t>年  月  日。</w:t>
      </w:r>
    </w:p>
    <w:p>
      <w:pPr>
        <w:jc w:val="both"/>
      </w:pPr>
    </w:p>
    <w:p>
      <w:pPr>
        <w:jc w:val="both"/>
      </w:pPr>
      <w:r>
        <w:rPr>
          <w:b/>
          <w:sz w:val="21"/>
        </w:rPr>
        <w:t>三、</w:t>
      </w:r>
      <w:r>
        <w:rPr>
          <w:sz w:val="21"/>
        </w:rPr>
        <w:t>项目技术要求：</w:t>
      </w:r>
    </w:p>
    <w:p>
      <w:pPr>
        <w:jc w:val="both"/>
      </w:pPr>
      <w:r>
        <w:rPr>
          <w:sz w:val="21"/>
        </w:rPr>
        <w:t>（</w:t>
      </w:r>
      <w:r>
        <w:rPr>
          <w:sz w:val="21"/>
        </w:rPr>
        <w:t>1</w:t>
      </w:r>
      <w:r>
        <w:rPr>
          <w:sz w:val="21"/>
        </w:rPr>
        <w:t>）征订目录要求：乙</w:t>
      </w:r>
      <w:r>
        <w:rPr>
          <w:sz w:val="21"/>
        </w:rPr>
        <w:t>方必须每年根据征订目录按时无条件提供港台及国外各类型期刊社及其他专门的最新书本式期刊征订目录和电子版期刊征订目录（含报价），特别是符合</w:t>
      </w:r>
      <w:r>
        <w:rPr>
          <w:sz w:val="21"/>
        </w:rPr>
        <w:t>甲方教学和科研需要的当年新增期刊目录。</w:t>
      </w:r>
    </w:p>
    <w:p>
      <w:pPr>
        <w:jc w:val="both"/>
      </w:pPr>
      <w:r>
        <w:rPr>
          <w:sz w:val="21"/>
        </w:rPr>
        <w:t>（</w:t>
      </w:r>
      <w:r>
        <w:rPr>
          <w:sz w:val="21"/>
        </w:rPr>
        <w:t>2</w:t>
      </w:r>
      <w:r>
        <w:rPr>
          <w:sz w:val="21"/>
        </w:rPr>
        <w:t>）期刊变更信息要求：因出版方原因未能及时供刊，及期刊发生停刊、改名、合并、分刊、载体变化或个别期刊价格非正常上涨等情况，乙方应编制专门的《期刊变动情况表》，尽早通知甲方并说明原因。平时对于甲方对期刊的询订、催缺应及时处理和回复。</w:t>
      </w:r>
    </w:p>
    <w:p>
      <w:pPr>
        <w:jc w:val="both"/>
      </w:pPr>
      <w:r>
        <w:rPr>
          <w:sz w:val="21"/>
        </w:rPr>
        <w:t>（</w:t>
      </w:r>
      <w:r>
        <w:rPr>
          <w:sz w:val="21"/>
        </w:rPr>
        <w:t>3</w:t>
      </w:r>
      <w:r>
        <w:rPr>
          <w:sz w:val="21"/>
        </w:rPr>
        <w:t>）订到率：在版订到率要求</w:t>
      </w:r>
      <w:r>
        <w:rPr>
          <w:sz w:val="21"/>
        </w:rPr>
        <w:t>98%</w:t>
      </w:r>
      <w:r>
        <w:rPr>
          <w:sz w:val="21"/>
        </w:rPr>
        <w:t>。</w:t>
      </w:r>
    </w:p>
    <w:p>
      <w:pPr>
        <w:jc w:val="both"/>
      </w:pPr>
      <w:r>
        <w:rPr>
          <w:sz w:val="21"/>
        </w:rPr>
        <w:t>（</w:t>
      </w:r>
      <w:r>
        <w:rPr>
          <w:sz w:val="21"/>
        </w:rPr>
        <w:t>4</w:t>
      </w:r>
      <w:r>
        <w:rPr>
          <w:sz w:val="21"/>
        </w:rPr>
        <w:t>）到刊率：年到刊率要求达到</w:t>
      </w:r>
      <w:r>
        <w:rPr>
          <w:sz w:val="21"/>
        </w:rPr>
        <w:t>96%</w:t>
      </w:r>
      <w:r>
        <w:rPr>
          <w:sz w:val="21"/>
        </w:rPr>
        <w:t>以上（延迟及取消出版计划等情况除外）。</w:t>
      </w:r>
    </w:p>
    <w:p>
      <w:pPr>
        <w:jc w:val="both"/>
      </w:pPr>
      <w:r>
        <w:rPr>
          <w:sz w:val="21"/>
        </w:rPr>
        <w:t>（</w:t>
      </w:r>
      <w:r>
        <w:rPr>
          <w:sz w:val="21"/>
        </w:rPr>
        <w:t>5</w:t>
      </w:r>
      <w:r>
        <w:rPr>
          <w:sz w:val="21"/>
        </w:rPr>
        <w:t>）到刊统计：乙方提供期刊到货的统计；每三个月提供未到刊清单，并以书面形式分析、说明原因，尽快给予补充未到的期刊。</w:t>
      </w:r>
    </w:p>
    <w:p>
      <w:pPr>
        <w:jc w:val="both"/>
      </w:pPr>
      <w:r>
        <w:rPr>
          <w:sz w:val="21"/>
        </w:rPr>
        <w:t>（</w:t>
      </w:r>
      <w:r>
        <w:rPr>
          <w:sz w:val="21"/>
        </w:rPr>
        <w:t>6</w:t>
      </w:r>
      <w:r>
        <w:rPr>
          <w:sz w:val="21"/>
        </w:rPr>
        <w:t>）追加订购：乙方应尽量按投标报价时相同的优惠条件订购甲方要求追加订购的其他期刊。</w:t>
      </w:r>
    </w:p>
    <w:p>
      <w:pPr>
        <w:ind w:firstLine="420"/>
        <w:jc w:val="left"/>
      </w:pPr>
    </w:p>
    <w:p>
      <w:pPr>
        <w:jc w:val="both"/>
      </w:pPr>
      <w:r>
        <w:rPr>
          <w:sz w:val="21"/>
        </w:rPr>
        <w:t>四、项目服务要求：</w:t>
      </w:r>
    </w:p>
    <w:p>
      <w:pPr>
        <w:jc w:val="both"/>
      </w:pPr>
      <w:r>
        <w:rPr>
          <w:sz w:val="21"/>
        </w:rPr>
        <w:t>（</w:t>
      </w:r>
      <w:r>
        <w:rPr>
          <w:sz w:val="21"/>
        </w:rPr>
        <w:t>1</w:t>
      </w:r>
      <w:r>
        <w:rPr>
          <w:sz w:val="21"/>
        </w:rPr>
        <w:t>）期刊供货：乙方必须按采购清单的期刊品种和数量及时供货，除非甲方作出调整或增减，不得自行搭配和追加未经甲方确认的期刊品种和复本数量（期刊本身附赠的赠刊除外），非甲方订购的期刊一律退回。乙方必须保证提供正版期刊，对非正版期刊甲方有权拒绝验收，乙方必须接受无条件退货且以十倍金额支付违约金，从期刊结算款中扣除，同时，可终止乙方的供货资格，甲方仅为期刊使用人，乙方应承担由此而引起的一切法律责任。</w:t>
      </w:r>
    </w:p>
    <w:p>
      <w:pPr>
        <w:jc w:val="both"/>
      </w:pPr>
      <w:r>
        <w:rPr>
          <w:sz w:val="21"/>
        </w:rPr>
        <w:t>（</w:t>
      </w:r>
      <w:r>
        <w:rPr>
          <w:sz w:val="21"/>
        </w:rPr>
        <w:t>2</w:t>
      </w:r>
      <w:r>
        <w:rPr>
          <w:sz w:val="21"/>
        </w:rPr>
        <w:t>）送货要求：乙方必须无条件配送期刊到图书馆采编部指定地点（乙方提供无条件送书、卸货、搬运等），提供每批期刊包装清单，包括但不限于批号、包号、刊号、刊名（改名的注明原刊名）、卷次、期次、册数、投递或发刊日期内容，并合计种数、份数。期刊未按到期顺序到馆的需在刊名后注明；每份期刊必须有明确清晰的标识，包括但不限于刊号、卷期。乙方应对发送的期刊进行防湿和防破装卸要求的包装，并派专人追踪每批期刊的到货情况。期刊在到达甲方指定地点前发生的不可预见的风险均由乙方负责。最少一周一次投递。</w:t>
      </w:r>
    </w:p>
    <w:p>
      <w:pPr>
        <w:jc w:val="both"/>
      </w:pPr>
      <w:r>
        <w:rPr>
          <w:sz w:val="21"/>
        </w:rPr>
        <w:t>（</w:t>
      </w:r>
      <w:r>
        <w:rPr>
          <w:sz w:val="21"/>
        </w:rPr>
        <w:t>3</w:t>
      </w:r>
      <w:r>
        <w:rPr>
          <w:sz w:val="21"/>
        </w:rPr>
        <w:t>）期刊退换：期刊出现下列任一情况，乙方必须无条件负责退换，退换货发生的全部费用由乙方承担。①出现装订、印刷质量问题和损坏；②配套不齐全；③提供的品种和数量与订货单不符；④甲方认为必须退刊的其它情况。</w:t>
      </w:r>
    </w:p>
    <w:p>
      <w:pPr>
        <w:jc w:val="both"/>
      </w:pPr>
      <w:r>
        <w:rPr>
          <w:sz w:val="21"/>
        </w:rPr>
        <w:t>（</w:t>
      </w:r>
      <w:r>
        <w:rPr>
          <w:sz w:val="21"/>
        </w:rPr>
        <w:t>4</w:t>
      </w:r>
      <w:r>
        <w:rPr>
          <w:sz w:val="21"/>
        </w:rPr>
        <w:t>）每包及每批期刊的品种、册数等必须与对应的清单相符。如果在验收过程中，同一批次期刊出现</w:t>
      </w:r>
      <w:r>
        <w:rPr>
          <w:sz w:val="21"/>
        </w:rPr>
        <w:t>3%</w:t>
      </w:r>
      <w:r>
        <w:rPr>
          <w:sz w:val="21"/>
        </w:rPr>
        <w:t>的期刊品种与相应清单不符，甲方有权退回该批次全部期刊，要求乙方重新核对，直至该批期刊与清单相符。乙方应在甲方退回后一周内重发交付甲方，由此产生的费用都由乙方负责。</w:t>
      </w:r>
    </w:p>
    <w:p>
      <w:pPr>
        <w:jc w:val="both"/>
      </w:pPr>
      <w:r>
        <w:rPr>
          <w:sz w:val="21"/>
        </w:rPr>
        <w:t>（</w:t>
      </w:r>
      <w:r>
        <w:rPr>
          <w:sz w:val="21"/>
        </w:rPr>
        <w:t>5</w:t>
      </w:r>
      <w:r>
        <w:rPr>
          <w:sz w:val="21"/>
        </w:rPr>
        <w:t>）乙方必须按甲方订购的期刊品种、数量及时供货，除出版推迟或发生影响协议履行的不可抗力事情外，供应期刊订到率未达到</w:t>
      </w:r>
      <w:r>
        <w:rPr>
          <w:sz w:val="21"/>
        </w:rPr>
        <w:t>97%</w:t>
      </w:r>
      <w:r>
        <w:rPr>
          <w:sz w:val="21"/>
        </w:rPr>
        <w:t>、或年到刊率未达到</w:t>
      </w:r>
      <w:r>
        <w:rPr>
          <w:sz w:val="21"/>
        </w:rPr>
        <w:t>95%</w:t>
      </w:r>
      <w:r>
        <w:rPr>
          <w:sz w:val="21"/>
        </w:rPr>
        <w:t>（乙方能够提供出版社尚未出版证明的不计入未到期刊）时，除退回期刊款外，乙方按未到期刊价格的</w:t>
      </w:r>
      <w:r>
        <w:rPr>
          <w:sz w:val="21"/>
        </w:rPr>
        <w:t>20%</w:t>
      </w:r>
      <w:r>
        <w:rPr>
          <w:sz w:val="21"/>
        </w:rPr>
        <w:t>向甲方支付违约金，违约金从期刊结算款中扣除；并且甲方可以解除本协议，由此引起的一切后果均由乙方承担。</w:t>
      </w:r>
    </w:p>
    <w:p>
      <w:pPr>
        <w:jc w:val="both"/>
      </w:pPr>
      <w:r>
        <w:rPr>
          <w:sz w:val="21"/>
        </w:rPr>
        <w:t>（</w:t>
      </w:r>
      <w:r>
        <w:rPr>
          <w:sz w:val="21"/>
        </w:rPr>
        <w:t>6</w:t>
      </w:r>
      <w:r>
        <w:rPr>
          <w:sz w:val="21"/>
        </w:rPr>
        <w:t>）实际操作过程中出现以上未列明的其他问题，由双方协商解决。</w:t>
      </w:r>
    </w:p>
    <w:p>
      <w:pPr>
        <w:jc w:val="both"/>
      </w:pPr>
      <w:r>
        <w:rPr>
          <w:sz w:val="21"/>
        </w:rPr>
        <w:t>（</w:t>
      </w:r>
      <w:r>
        <w:rPr>
          <w:sz w:val="21"/>
        </w:rPr>
        <w:t>7</w:t>
      </w:r>
      <w:r>
        <w:rPr>
          <w:sz w:val="21"/>
        </w:rPr>
        <w:t>）乙方具有专门的图书零售场地、良好的图书样书室等现采场地。</w:t>
      </w:r>
    </w:p>
    <w:p>
      <w:pPr>
        <w:ind w:firstLine="422"/>
        <w:jc w:val="left"/>
      </w:pPr>
    </w:p>
    <w:p>
      <w:pPr>
        <w:ind w:firstLine="422"/>
        <w:jc w:val="left"/>
      </w:pPr>
      <w:r>
        <w:rPr>
          <w:b/>
          <w:sz w:val="21"/>
        </w:rPr>
        <w:t>五、售后服务</w:t>
      </w:r>
    </w:p>
    <w:p>
      <w:pPr>
        <w:ind w:firstLine="420"/>
        <w:jc w:val="left"/>
      </w:pPr>
      <w:r>
        <w:rPr>
          <w:sz w:val="21"/>
        </w:rPr>
        <w:t>1. 乙方须专门指派一名业务人员，负责与甲方保持业务联系。</w:t>
      </w:r>
    </w:p>
    <w:p>
      <w:pPr>
        <w:ind w:firstLine="420"/>
        <w:jc w:val="left"/>
      </w:pPr>
      <w:r>
        <w:rPr>
          <w:sz w:val="21"/>
        </w:rPr>
        <w:t>2. 乙方在投递的每批图书、期刊中应随货附送与货物数量、品种、价格相符的详细电脑清单及汇总单，以便于双方协调验收和避免出现漏发、错投的现象。</w:t>
      </w:r>
    </w:p>
    <w:p>
      <w:pPr>
        <w:ind w:firstLine="420"/>
        <w:jc w:val="left"/>
      </w:pPr>
      <w:r>
        <w:rPr>
          <w:sz w:val="21"/>
        </w:rPr>
        <w:t>3. 对汇总单中漏发的图书、期刊，乙方必须立刻快递补齐。</w:t>
      </w:r>
    </w:p>
    <w:p>
      <w:pPr>
        <w:ind w:firstLine="420"/>
        <w:jc w:val="left"/>
      </w:pPr>
      <w:r>
        <w:rPr>
          <w:sz w:val="21"/>
        </w:rPr>
        <w:t>4. 对延迟出版及取消出版图书、期刊，乙方应及时向出版机构查询交涉，并同步通报甲方。</w:t>
      </w:r>
    </w:p>
    <w:p>
      <w:pPr>
        <w:ind w:firstLine="420"/>
        <w:jc w:val="left"/>
      </w:pPr>
      <w:r>
        <w:rPr>
          <w:sz w:val="21"/>
        </w:rPr>
        <w:t>5. 接甲方通知（含电话）后，乙方必须在一个工作日内作出反馈并提出处理问题的方案。</w:t>
      </w:r>
    </w:p>
    <w:p>
      <w:pPr>
        <w:ind w:firstLine="422"/>
        <w:jc w:val="left"/>
      </w:pPr>
    </w:p>
    <w:p>
      <w:pPr>
        <w:ind w:firstLine="422"/>
        <w:jc w:val="left"/>
      </w:pPr>
      <w:r>
        <w:rPr>
          <w:b/>
          <w:sz w:val="21"/>
        </w:rPr>
        <w:t>六、违约责任</w:t>
      </w:r>
    </w:p>
    <w:p>
      <w:pPr>
        <w:ind w:firstLine="420"/>
        <w:jc w:val="left"/>
      </w:pPr>
      <w:r>
        <w:rPr>
          <w:sz w:val="21"/>
        </w:rPr>
        <w:t>1. 乙方交付的货物及提供的服务不符合招标文件、报价文件或本合同规定的，甲方有权拒收，并且乙方须向甲方支付本合同总价5%的违约金并赔偿因此给甲方造成的损失。情节严重者甲方有权单方面解除合同，取消乙方供货资格，并要求乙方承担中标总价</w:t>
      </w:r>
      <w:r>
        <w:rPr>
          <w:sz w:val="21"/>
        </w:rPr>
        <w:t>30%</w:t>
      </w:r>
      <w:r>
        <w:rPr>
          <w:sz w:val="21"/>
        </w:rPr>
        <w:t>违约金。如甲方要求乙方重新或补充提供合格产品，乙方应当在甲方指定限期内提供。</w:t>
      </w:r>
    </w:p>
    <w:p>
      <w:pPr>
        <w:ind w:firstLine="420"/>
        <w:jc w:val="left"/>
      </w:pPr>
      <w:r>
        <w:rPr>
          <w:sz w:val="21"/>
        </w:rPr>
        <w:t>2</w:t>
      </w:r>
      <w:r>
        <w:rPr>
          <w:sz w:val="21"/>
        </w:rPr>
        <w:t>. 甲方无正当理由拒收货物/接受服务，甲方向乙方偿付本合同总额的5%的违约金。</w:t>
      </w:r>
    </w:p>
    <w:p>
      <w:pPr>
        <w:ind w:firstLine="420"/>
        <w:jc w:val="left"/>
      </w:pPr>
      <w:r>
        <w:rPr>
          <w:sz w:val="21"/>
        </w:rPr>
        <w:t>3</w:t>
      </w:r>
      <w:r>
        <w:rPr>
          <w:sz w:val="21"/>
        </w:rPr>
        <w:t>. 甲方若无正当理由逾期付款，则每日按本合同总额的万分之五向乙方偿付违约金，但该违约金不超过合同总额的5%。</w:t>
      </w:r>
    </w:p>
    <w:p>
      <w:pPr>
        <w:ind w:firstLine="420"/>
        <w:jc w:val="left"/>
      </w:pPr>
      <w:r>
        <w:rPr>
          <w:sz w:val="21"/>
        </w:rPr>
        <w:t>4</w:t>
      </w:r>
      <w:r>
        <w:rPr>
          <w:sz w:val="21"/>
        </w:rPr>
        <w:t>. 其他违约责任按《中华人民共和国民法典》处理。</w:t>
      </w:r>
    </w:p>
    <w:p>
      <w:pPr>
        <w:ind w:firstLine="420"/>
        <w:jc w:val="left"/>
      </w:pPr>
      <w:r>
        <w:rPr>
          <w:sz w:val="21"/>
        </w:rPr>
        <w:t>5.</w:t>
      </w:r>
      <w:r>
        <w:rPr>
          <w:sz w:val="21"/>
        </w:rPr>
        <w:t xml:space="preserve"> </w:t>
      </w:r>
      <w:r>
        <w:rPr>
          <w:sz w:val="21"/>
        </w:rPr>
        <w:t>在履行合同过程中，本合同一方当事人因第三人的原因造成违约的，应当向本合同对方当事人承担违约责任</w:t>
      </w:r>
      <w:r>
        <w:rPr>
          <w:sz w:val="21"/>
        </w:rPr>
        <w:t>:本合同违约方当事人和第三人之间的纠纷，依照法律规定自行解决和承担法律责任，如导致本合同对方受牵涉而发生损失(包括但不限于本合同违约方行为所致本合同对方的经济损失、派员参与纠纷解决的人工、交通、食宿费用、仲裁费、诉讼费、委托律师费用等)的，由本合同违约方承担赔偿责任。</w:t>
      </w:r>
    </w:p>
    <w:p>
      <w:pPr>
        <w:ind w:firstLine="422"/>
        <w:jc w:val="left"/>
      </w:pPr>
      <w:r>
        <w:rPr>
          <w:b/>
          <w:sz w:val="21"/>
        </w:rPr>
        <w:t>七、争议解决</w:t>
      </w:r>
    </w:p>
    <w:p>
      <w:pPr>
        <w:ind w:firstLine="422"/>
        <w:jc w:val="left"/>
      </w:pPr>
      <w:r>
        <w:rPr>
          <w:sz w:val="21"/>
        </w:rPr>
        <w:t xml:space="preserve">      </w:t>
      </w:r>
      <w:r>
        <w:rPr>
          <w:sz w:val="21"/>
        </w:rPr>
        <w:t>因履行合同产生的争议双方协商解决，协商不成提交汕头仲裁委员会仲裁，仲裁结果对双方具有法律约束力。</w:t>
      </w:r>
    </w:p>
    <w:p>
      <w:pPr>
        <w:ind w:firstLine="420"/>
        <w:jc w:val="left"/>
      </w:pPr>
    </w:p>
    <w:p>
      <w:pPr>
        <w:ind w:firstLine="420"/>
        <w:jc w:val="left"/>
      </w:pPr>
      <w:r>
        <w:rPr>
          <w:b/>
          <w:sz w:val="21"/>
        </w:rPr>
        <w:t>八、不可抗力</w:t>
      </w:r>
    </w:p>
    <w:p>
      <w:pPr>
        <w:ind w:firstLine="420"/>
        <w:jc w:val="left"/>
      </w:pPr>
      <w:r>
        <w:rPr>
          <w:sz w:val="21"/>
        </w:rPr>
        <w:t xml:space="preserve">      </w:t>
      </w:r>
      <w:r>
        <w:rPr>
          <w:sz w:val="21"/>
        </w:rPr>
        <w:t>任何一方由于重大自然灾害、政府管制、严重社会公共卫生事件等不可抗力原因不能履行合同时，应在不可抗力事件结束后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0"/>
        <w:jc w:val="left"/>
      </w:pPr>
    </w:p>
    <w:p>
      <w:pPr>
        <w:ind w:firstLine="420"/>
        <w:jc w:val="left"/>
      </w:pPr>
      <w:r>
        <w:rPr>
          <w:b/>
          <w:sz w:val="21"/>
        </w:rPr>
        <w:t>九、税费</w:t>
      </w:r>
    </w:p>
    <w:p>
      <w:pPr>
        <w:ind w:firstLine="420"/>
        <w:jc w:val="left"/>
      </w:pPr>
      <w:r>
        <w:rPr>
          <w:sz w:val="21"/>
        </w:rPr>
        <w:t xml:space="preserve">      </w:t>
      </w:r>
      <w:r>
        <w:rPr>
          <w:sz w:val="21"/>
        </w:rPr>
        <w:t>在中国境内、外发生的与本合同执行有关的一切税费均由乙方负担。</w:t>
      </w:r>
    </w:p>
    <w:p>
      <w:pPr>
        <w:ind w:firstLine="420"/>
        <w:jc w:val="left"/>
      </w:pPr>
    </w:p>
    <w:p>
      <w:pPr>
        <w:ind w:firstLine="420"/>
        <w:jc w:val="left"/>
      </w:pPr>
      <w:r>
        <w:rPr>
          <w:b/>
          <w:sz w:val="21"/>
        </w:rPr>
        <w:t>十、其他</w:t>
      </w:r>
    </w:p>
    <w:p>
      <w:pPr>
        <w:ind w:firstLine="420"/>
        <w:jc w:val="left"/>
      </w:pPr>
      <w:r>
        <w:rPr>
          <w:sz w:val="21"/>
        </w:rPr>
        <w:t xml:space="preserve">      </w:t>
      </w:r>
      <w:r>
        <w:rPr>
          <w:sz w:val="21"/>
        </w:rPr>
        <w:t>1. 本合同所有附件、采购文件、投标文件、中标通知书均为合同的有效组成部分，与本合同具有同等法律效力。</w:t>
      </w:r>
    </w:p>
    <w:p>
      <w:pPr>
        <w:ind w:firstLine="420"/>
        <w:jc w:val="left"/>
      </w:pPr>
      <w:r>
        <w:rPr>
          <w:sz w:val="21"/>
        </w:rPr>
        <w:t>2. 在执行本合同的过程中，所有经双方签署确认的文件（包括会议纪要、补充协议、往来信函）即成为本合同的有效组成部分。</w:t>
      </w:r>
    </w:p>
    <w:p>
      <w:pPr>
        <w:ind w:firstLine="420"/>
        <w:jc w:val="left"/>
      </w:pPr>
      <w:r>
        <w:rPr>
          <w:sz w:val="21"/>
        </w:rPr>
        <w:t>3. 合同各方一致确认以下通讯地址和联系方式为各方履行合同、解决合同争议时向接收方（其他方）送达商业文件信函或司法机关(法院、仲裁机构)诉讼、仲裁文书的送达地址和联系方式。</w:t>
      </w:r>
    </w:p>
    <w:p>
      <w:pPr>
        <w:ind w:firstLine="420"/>
        <w:jc w:val="left"/>
      </w:pPr>
      <w:r>
        <w:rPr>
          <w:sz w:val="21"/>
        </w:rPr>
        <w:t xml:space="preserve">    </w:t>
      </w:r>
      <w:r>
        <w:rPr>
          <w:sz w:val="21"/>
        </w:rPr>
        <w:t>甲方送达地址和联系方式为：汕头市金平区大学路</w:t>
      </w:r>
      <w:r>
        <w:rPr>
          <w:sz w:val="21"/>
        </w:rPr>
        <w:t>243 号，0754-86502954</w:t>
      </w:r>
    </w:p>
    <w:p>
      <w:pPr>
        <w:ind w:firstLine="420"/>
        <w:jc w:val="left"/>
      </w:pPr>
      <w:r>
        <w:rPr>
          <w:sz w:val="21"/>
        </w:rPr>
        <w:t xml:space="preserve">    </w:t>
      </w:r>
      <w:r>
        <w:rPr>
          <w:sz w:val="21"/>
        </w:rPr>
        <w:t>乙方送达地址和联系方式为：</w:t>
      </w:r>
      <w:r>
        <w:rPr>
          <w:sz w:val="21"/>
        </w:rPr>
        <w:t>xxxxxx，xxxxxxxx</w:t>
      </w:r>
    </w:p>
    <w:p>
      <w:pPr>
        <w:ind w:firstLine="420"/>
        <w:jc w:val="left"/>
      </w:pPr>
      <w:r>
        <w:rPr>
          <w:sz w:val="21"/>
        </w:rPr>
        <w:t xml:space="preserve">    </w:t>
      </w:r>
      <w:r>
        <w:rPr>
          <w:sz w:val="21"/>
        </w:rPr>
        <w:t>若任何一方通讯地址和联系方式需要变更的，应提前五个工作日向合同其他方送交书面变更告知书，否则上述通讯地址和联系方式适用至本合同履行完毕或争议经过一审、二审至案件执行终结时止。</w:t>
      </w:r>
    </w:p>
    <w:p>
      <w:pPr>
        <w:ind w:firstLine="420"/>
        <w:jc w:val="left"/>
      </w:pPr>
      <w:r>
        <w:rPr>
          <w:sz w:val="21"/>
        </w:rPr>
        <w:t>4.除甲方事先书面同意外，乙方不得部分或全部转让其应履行的合同项下的义务。</w:t>
      </w:r>
    </w:p>
    <w:p>
      <w:pPr>
        <w:ind w:firstLine="420"/>
        <w:jc w:val="left"/>
      </w:pPr>
    </w:p>
    <w:p>
      <w:pPr>
        <w:ind w:firstLine="420"/>
        <w:jc w:val="left"/>
      </w:pPr>
      <w:r>
        <w:rPr>
          <w:b/>
          <w:sz w:val="21"/>
        </w:rPr>
        <w:t>十一、合同生效</w:t>
      </w:r>
    </w:p>
    <w:p>
      <w:pPr>
        <w:ind w:firstLine="420"/>
        <w:jc w:val="left"/>
      </w:pPr>
      <w:r>
        <w:rPr>
          <w:sz w:val="21"/>
        </w:rPr>
        <w:t>1. 本合同在甲乙双方法人代表或其授权代表签字盖章后生效。</w:t>
      </w:r>
    </w:p>
    <w:p>
      <w:pPr>
        <w:ind w:firstLine="420"/>
        <w:jc w:val="left"/>
      </w:pPr>
      <w:r>
        <w:rPr>
          <w:sz w:val="21"/>
        </w:rPr>
        <w:t>2. 本协议正本一式四份，具有同等法律效力，甲乙双方各执贰份。</w:t>
      </w:r>
    </w:p>
    <w:p>
      <w:pPr>
        <w:ind w:firstLine="420"/>
        <w:jc w:val="left"/>
      </w:pPr>
      <w:r>
        <w:rPr>
          <w:sz w:val="21"/>
        </w:rPr>
        <w:t>以下无正文。</w:t>
      </w:r>
    </w:p>
    <w:p>
      <w:pPr>
        <w:ind w:firstLine="420"/>
        <w:jc w:val="left"/>
      </w:pPr>
    </w:p>
    <w:p>
      <w:pPr>
        <w:ind w:firstLine="420"/>
        <w:jc w:val="left"/>
      </w:pPr>
    </w:p>
    <w:tbl>
      <w:tblPr>
        <w:tblW w:w="0" w:type="auto"/>
        <w:tblBorders>
          <w:top w:val="none" w:color="000000" w:sz="4"/>
          <w:left w:val="none" w:color="000000" w:sz="4"/>
          <w:bottom w:val="none" w:color="000000" w:sz="4"/>
          <w:right w:val="none" w:color="000000" w:sz="4"/>
          <w:insideH w:val="none"/>
          <w:insideV w:val="none"/>
        </w:tblBorders>
      </w:tblPr>
      <w:tblGrid>
        <w:gridCol w:w="4288"/>
        <w:gridCol w:w="4004"/>
      </w:tblGrid>
      <w:tr>
        <w:tc>
          <w:tcPr>
            <w:tcW w:type="dxa" w:w="4288"/>
            <w:tcBorders>
              <w:top w:val="single" w:color="F2F2F2" w:sz="4"/>
              <w:left w:val="single" w:color="F2F2F2" w:sz="4"/>
              <w:bottom w:val="single" w:color="F2F2F2" w:sz="4"/>
              <w:right w:val="single" w:color="F2F2F2" w:sz="4"/>
            </w:tcBorders>
            <w:vAlign w:val="top"/>
          </w:tcPr>
          <w:p>
            <w:pPr>
              <w:jc w:val="both"/>
            </w:pPr>
            <w:r>
              <w:rPr>
                <w:sz w:val="21"/>
              </w:rPr>
              <w:t>甲方（盖章）：汕头大学</w:t>
            </w:r>
          </w:p>
        </w:tc>
        <w:tc>
          <w:tcPr>
            <w:tcW w:type="dxa" w:w="4004"/>
            <w:tcBorders>
              <w:top w:val="single" w:color="F2F2F2" w:sz="4"/>
              <w:left w:val="single" w:color="F2F2F2" w:sz="4"/>
              <w:bottom w:val="single" w:color="F2F2F2" w:sz="4"/>
              <w:right w:val="single" w:color="F2F2F2" w:sz="4"/>
            </w:tcBorders>
            <w:vAlign w:val="top"/>
          </w:tcPr>
          <w:p>
            <w:pPr>
              <w:jc w:val="both"/>
            </w:pPr>
            <w:r>
              <w:rPr>
                <w:sz w:val="21"/>
              </w:rPr>
              <w:t>乙方（盖章）：</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授权代表（签字）：</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授权代表（签字）：</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日期：</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日期：</w:t>
            </w:r>
          </w:p>
        </w:tc>
      </w:tr>
    </w:tbl>
    <w:p>
      <w:pPr>
        <w:ind w:firstLine="420"/>
        <w:jc w:val="left"/>
      </w:pPr>
    </w:p>
    <w:p>
      <w:pPr>
        <w:ind w:firstLine="420"/>
        <w:jc w:val="left"/>
      </w:pPr>
    </w:p>
    <w:p>
      <w:pPr>
        <w:ind w:firstLine="420"/>
        <w:jc w:val="left"/>
      </w:pPr>
      <w:r>
        <w:rPr>
          <w:sz w:val="21"/>
        </w:rPr>
        <w:t>签约地点：汕头市</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440001-2023-61411</w:t>
      </w:r>
    </w:p>
    <w:p>
      <w:pPr>
        <w:jc w:val="center"/>
      </w:pPr>
      <w:r>
        <w:rPr>
          <w:b/>
          <w:sz w:val="24"/>
        </w:rPr>
        <w:t>采购项目编号：</w:t>
      </w:r>
      <w:r>
        <w:rPr>
          <w:b/>
          <w:sz w:val="24"/>
        </w:rPr>
        <w:t>GZGK23P313A1020Z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汕头大学2024年国内版图书、原版外文及港台图书和期刊采购项目</w:t>
      </w:r>
      <w:r>
        <w:rPr>
          <w:u w:val="single"/>
        </w:rPr>
        <w:t>”</w:t>
      </w:r>
      <w:r>
        <w:rPr/>
        <w:t>项目的招标[采购项目编号为：</w:t>
      </w:r>
      <w:r>
        <w:rPr>
          <w:u w:val="single"/>
        </w:rPr>
        <w:t>GZGK23P313A1020Z</w:t>
      </w:r>
      <w:r>
        <w:rPr/>
        <w:t>]，我方愿参与投标。</w:t>
      </w:r>
    </w:p>
    <w:p>
      <w:pPr>
        <w:ind w:firstLine="480"/>
      </w:pPr>
      <w:r>
        <w:rPr/>
        <w:t>我方确认收到贵方提供的</w:t>
      </w:r>
      <w:r>
        <w:rPr>
          <w:u w:val="single"/>
        </w:rPr>
        <w:t>“</w:t>
      </w:r>
      <w:r>
        <w:rPr>
          <w:u w:val="single"/>
        </w:rPr>
        <w:t>汕头大学2024年国内版图书、原版外文及港台图书和期刊采购项目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汕头大学2024年国内版图书、原版外文及港台图书和期刊采购项目</w:t>
      </w:r>
      <w:r>
        <w:rPr/>
        <w:t>”项目采购[采购项目编号为</w:t>
      </w:r>
      <w:r>
        <w:rPr/>
        <w:t>GZGK23P313A1020Z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汕头大学2024年国内版图书、原版外文及港台图书和期刊采购项目</w:t>
      </w:r>
      <w:r>
        <w:rPr/>
        <w:t>招标中获中标（采购项目编号：</w:t>
      </w:r>
      <w:r>
        <w:rPr/>
        <w:t>GZGK23P313A1020Z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汕头大学2024年国内版图书、原版外文及港台图书和期刊采购项目</w:t>
      </w:r>
      <w:r>
        <w:rPr/>
        <w:t>”项目（采购项目编号：</w:t>
      </w:r>
      <w:r>
        <w:rPr/>
        <w:t>GZGK23P313A1020Z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lvl w:ilvl="1">
      <w:start w:val="1"/>
      <w:numFmt w:val="bullet"/>
      <w:lvlText w:val="⚫"/>
      <w:lvlJc w:val="left"/>
      <w:pPr>
        <w:ind w:left="360"/>
      </w:pPr>
    </w:lvl>
  </w:abstractNum>
  <w:abstractNum w:abstractNumId="1">
    <w:multiLevelType w:val="hybridMultilevel"/>
    <w:lvl w:ilvl="0">
      <w:start w:val="1"/>
      <w:numFmt w:val="bullet"/>
      <w:lvlText w:val="⚫"/>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