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440001-2023-58896</w:t>
      </w:r>
    </w:p>
    <w:p>
      <w:pPr>
        <w:jc w:val="center"/>
      </w:pPr>
      <w:r>
        <w:rPr>
          <w:b/>
          <w:sz w:val="24"/>
        </w:rPr>
        <w:t>采购项目编号：</w:t>
      </w:r>
      <w:r>
        <w:rPr>
          <w:b/>
          <w:sz w:val="24"/>
        </w:rPr>
        <w:t>GZGK23P272B0895C</w:t>
      </w:r>
    </w:p>
    <w:p>
      <w:pPr>
        <w:jc w:val="center"/>
      </w:pPr>
      <w:r>
        <w:rPr>
          <w:b/>
          <w:sz w:val="24"/>
        </w:rPr>
        <w:t>项目名称：</w:t>
      </w:r>
      <w:r>
        <w:rPr>
          <w:b/>
          <w:sz w:val="24"/>
        </w:rPr>
        <w:t>某基地灾后重建设计施工一体化项目</w:t>
      </w:r>
    </w:p>
    <w:p>
      <w:pPr>
        <w:jc w:val="center"/>
      </w:pPr>
      <w:r>
        <w:rPr>
          <w:b/>
          <w:sz w:val="24"/>
        </w:rPr>
        <w:t>采购人：</w:t>
      </w:r>
      <w:r>
        <w:rPr>
          <w:b/>
          <w:sz w:val="24"/>
        </w:rPr>
        <w:t>广东省海上民兵训练基地</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广东省海上民兵训练基地</w:t>
      </w:r>
      <w:r>
        <w:rPr/>
        <w:t>的委托，采用</w:t>
      </w:r>
      <w:r>
        <w:rPr/>
        <w:t>竞争性磋商</w:t>
      </w:r>
      <w:r>
        <w:rPr/>
        <w:t>方式组织采购</w:t>
      </w:r>
      <w:r>
        <w:rPr/>
        <w:t>某基地灾后重建设计施工一体化项目</w:t>
      </w:r>
      <w:r>
        <w:rPr/>
        <w:t>。欢迎符合资格条件的供应商参加。</w:t>
      </w:r>
    </w:p>
    <w:p>
      <w:r>
        <w:rPr>
          <w:b/>
          <w:sz w:val="28"/>
        </w:rPr>
        <w:t>一.项目概述</w:t>
      </w:r>
    </w:p>
    <w:p>
      <w:r>
        <w:rPr>
          <w:b/>
          <w:sz w:val="24"/>
        </w:rPr>
        <w:t>1.名称与编号</w:t>
      </w:r>
    </w:p>
    <w:p>
      <w:pPr>
        <w:ind w:firstLine="480"/>
      </w:pPr>
      <w:r>
        <w:rPr/>
        <w:t>采购项目名称：</w:t>
      </w:r>
      <w:r>
        <w:rPr/>
        <w:t>某基地灾后重建设计施工一体化项目</w:t>
      </w:r>
    </w:p>
    <w:p>
      <w:pPr>
        <w:ind w:firstLine="480"/>
      </w:pPr>
      <w:r>
        <w:rPr/>
        <w:t>采购计划编号：</w:t>
      </w:r>
      <w:r>
        <w:rPr/>
        <w:t>440001-2023-58896</w:t>
      </w:r>
    </w:p>
    <w:p>
      <w:pPr>
        <w:ind w:firstLine="480"/>
      </w:pPr>
      <w:r>
        <w:rPr/>
        <w:t>采购项目编号：</w:t>
      </w:r>
      <w:r>
        <w:rPr/>
        <w:t>GZGK23P272B0895C</w:t>
      </w:r>
    </w:p>
    <w:p>
      <w:pPr>
        <w:ind w:firstLine="480"/>
      </w:pPr>
      <w:r>
        <w:rPr/>
        <w:t>采购方式：</w:t>
      </w:r>
      <w:r>
        <w:rPr/>
        <w:t>竞争性磋商</w:t>
      </w:r>
    </w:p>
    <w:p>
      <w:pPr>
        <w:ind w:firstLine="480"/>
      </w:pPr>
      <w:r>
        <w:rPr/>
        <w:t>预算金额：</w:t>
      </w:r>
      <w:r>
        <w:rPr/>
        <w:t>1,978,000.00</w:t>
      </w:r>
      <w:r>
        <w:rPr/>
        <w:t>元</w:t>
      </w:r>
    </w:p>
    <w:p>
      <w:r>
        <w:rPr>
          <w:b/>
          <w:sz w:val="24"/>
        </w:rPr>
        <w:t>2.项目内容及需求情况（采购项目技术规格、参数及要求）</w:t>
      </w:r>
    </w:p>
    <w:p>
      <w:pPr>
        <w:ind w:firstLine="480"/>
      </w:pPr>
    </w:p>
    <w:p/>
    <w:p>
      <w:r>
        <w:rPr/>
        <w:t>采购包1(灾后重建设计施工一体化项目):</w:t>
      </w:r>
    </w:p>
    <w:p>
      <w:r>
        <w:rPr/>
        <w:t>采购包预算金额：1,978,000.00元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其他构筑物工程施工</w:t>
            </w:r>
          </w:p>
        </w:tc>
        <w:tc>
          <w:tcPr>
            <w:tcW w:type="dxa" w:w="2136"/>
          </w:tcPr>
          <w:p>
            <w:r>
              <w:rPr/>
              <w:t>灾后重建设计施工一体化项目</w:t>
            </w:r>
          </w:p>
        </w:tc>
        <w:tc>
          <w:tcPr>
            <w:tcW w:type="dxa" w:w="1187"/>
          </w:tcPr>
          <w:p>
            <w:r>
              <w:rPr/>
              <w:t>1.00(项)</w:t>
            </w:r>
          </w:p>
        </w:tc>
        <w:tc>
          <w:tcPr>
            <w:tcW w:type="dxa" w:w="1187"/>
          </w:tcPr>
          <w:p>
            <w:r>
              <w:rPr/>
              <w:t>详见第二章</w:t>
            </w:r>
          </w:p>
        </w:tc>
        <w:tc>
          <w:tcPr>
            <w:tcW w:type="dxa" w:w="1187"/>
          </w:tcPr>
          <w:p>
            <w:r>
              <w:rPr/>
              <w:t>否</w:t>
            </w:r>
          </w:p>
        </w:tc>
      </w:tr>
    </w:tbl>
    <w:p/>
    <w:p>
      <w:r>
        <w:rPr/>
        <w:t>本采购包接受联合体响应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采购包1（灾后重建设计施工一体化项目）：</w:t>
      </w:r>
      <w:r>
        <w:rPr/>
        <w:t>采购包整体专门面向中小企业，工程的承建商须为中小微企业或监狱企业或残疾人福利性单位。</w:t>
      </w:r>
    </w:p>
    <w:p/>
    <w:p>
      <w:r>
        <w:rPr>
          <w:b/>
          <w:sz w:val="24"/>
        </w:rPr>
        <w:t>3.本项目特定的资格要求：</w:t>
      </w:r>
    </w:p>
    <w:p>
      <w:pPr>
        <w:ind w:firstLine="480"/>
      </w:pPr>
    </w:p>
    <w:p/>
    <w:p>
      <w:r>
        <w:rPr/>
        <w:t>采购包1（灾后重建设计施工一体化项目）：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p/>
    <w:p>
      <w:r>
        <w:rPr/>
        <w:t>3)1、响应供应商需具有工程设计综合甲级资质，或工程设计资质（市政行业设计丙级（或以上）资质），或风景园林工程设计专项乙级（或以上）资质。 2、响应供应商持有建设行政主管部门颁发的企业资质证书及安全生产许可证（在有效期内）。 3、响应供应商需具有市政公用工程施工总承包三级或以上资质。 4、响应供应商拟派任本工程项目负责人须具有市政公用工程专业二级或以上级别的注册建造师，并持有安全生产考核合格证（B类）或建筑施工企业项目负责人安全生产考核合格证书。 （注：根据《住房和城乡建设部办公厅关于全面实行一级建造师电子注册证书的通知》（建办市〔2021〕40号），自2022年1月1日起，一级建造师统一使用电子证书，纸质证书作废，具体操作流程可查阅《住房和城乡建设部一级建造师电子证照申领和使用手册》。根据广东省住建厅《关于明确二级建造师注册执业有关问题的通知》（粤建市函〔2023〕469号），二级建造师应在考试取得执业资格的省、自治区、直辖市申请注册，二级注册建造师可随注册企业在全国范围内执业。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专职安全员不为同一人。） 5、响应供应商拟派的专职安全人员须具有安全生产考核合格证（C类或C3类）或建筑施工企业专职安全生产管理人员安全生产考核合格证书。 6、本项目接受联合体参与，但只接受最多由2家单位（即设计单位1家、施工单位1家）组成的联合体，且应以承接施工任务一方为主办方，并签订联合体共同响应协议书。</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广东省海上民兵训练基地</w:t>
      </w:r>
    </w:p>
    <w:p>
      <w:pPr>
        <w:ind w:firstLine="480"/>
      </w:pPr>
      <w:r>
        <w:rPr/>
        <w:t>地址：</w:t>
      </w:r>
      <w:r>
        <w:rPr/>
        <w:t>广州市天河区先烈东路135号大院省农业农村厅4号楼303房</w:t>
      </w:r>
    </w:p>
    <w:p>
      <w:pPr>
        <w:ind w:firstLine="480"/>
      </w:pPr>
      <w:r>
        <w:rPr/>
        <w:t>联系方式：</w:t>
      </w:r>
      <w:r>
        <w:rPr/>
        <w:t>020-37289002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020-87688289、020-87684402</w:t>
      </w:r>
    </w:p>
    <w:p>
      <w:r>
        <w:rPr>
          <w:b/>
          <w:sz w:val="24"/>
        </w:rPr>
        <w:t>3.项目联系方式</w:t>
      </w:r>
    </w:p>
    <w:p>
      <w:pPr>
        <w:ind w:firstLine="480"/>
      </w:pPr>
      <w:r>
        <w:rPr/>
        <w:t>项目联系人：</w:t>
      </w:r>
      <w:r>
        <w:rPr/>
        <w:t>黎颖欣、吴秋娜</w:t>
      </w:r>
    </w:p>
    <w:p>
      <w:pPr>
        <w:ind w:firstLine="480"/>
      </w:pPr>
      <w:r>
        <w:rPr/>
        <w:t>电话：</w:t>
      </w:r>
      <w:r>
        <w:rPr/>
        <w:t>020-87688289、020-87684402</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GZGK23P272B0895C</w:t>
      </w:r>
    </w:p>
    <w:p>
      <w:pPr>
        <w:jc w:val="both"/>
      </w:pPr>
      <w:r>
        <w:rPr>
          <w:b/>
          <w:sz w:val="21"/>
        </w:rPr>
        <w:t>（二）</w:t>
      </w:r>
      <w:r>
        <w:rPr>
          <w:b/>
          <w:sz w:val="21"/>
        </w:rPr>
        <w:t>项目名称：</w:t>
      </w:r>
      <w:r>
        <w:rPr>
          <w:sz w:val="21"/>
        </w:rPr>
        <w:t>某基地灾后重建设计施工一体化项目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“★”的条款未响应或不满足，将按无效投标处理。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响应供应商应对采购需求中的技术（服务）指标在响应详细内容中列出具体数值或明确承诺。如果响应供应商只注明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响应供应商没有在响应文件中注明偏离（文字说明或在响应表注明）的参数、配置、条款视为被响应供应商完全接受。</w:t>
      </w:r>
    </w:p>
    <w:p>
      <w:pPr>
        <w:jc w:val="both"/>
      </w:pPr>
      <w:r>
        <w:rPr>
          <w:sz w:val="21"/>
        </w:rPr>
        <w:t>5、</w:t>
      </w:r>
      <w:r>
        <w:rPr>
          <w:sz w:val="21"/>
        </w:rPr>
        <w:t>不允许中标（成交）供应商</w:t>
      </w:r>
      <w:r>
        <w:rPr>
          <w:sz w:val="21"/>
        </w:rPr>
        <w:t>转包、分包项目内容</w:t>
      </w:r>
      <w:r>
        <w:rPr>
          <w:sz w:val="21"/>
        </w:rPr>
        <w:t>。</w:t>
      </w:r>
    </w:p>
    <w:p>
      <w:pPr>
        <w:jc w:val="both"/>
      </w:pPr>
      <w:r>
        <w:rPr>
          <w:sz w:val="21"/>
        </w:rPr>
        <w:t>6、</w:t>
      </w:r>
      <w:r>
        <w:rPr>
          <w:sz w:val="21"/>
        </w:rPr>
        <w:t>小型和微型企业、监狱企业和残疾人福利性单位必须按照招标（采购）文件第三章内容提供相应的资料。</w:t>
      </w:r>
    </w:p>
    <w:p>
      <w:pPr>
        <w:jc w:val="both"/>
      </w:pPr>
      <w:r>
        <w:rPr>
          <w:sz w:val="21"/>
        </w:rPr>
        <w:t>7、</w:t>
      </w:r>
      <w:r>
        <w:rPr>
          <w:sz w:val="21"/>
        </w:rPr>
        <w:t>需落实政府采购政策为：促进中小企业发展政策、支持监狱企业发展政策、支持残疾人福利性单位发展政策、优先采购节能产品、环境标志产品相关政策等。</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p>
    <w:p>
      <w:pPr>
        <w:jc w:val="both"/>
      </w:pPr>
      <w:r>
        <w:rPr>
          <w:sz w:val="21"/>
        </w:rPr>
        <w:t>2、</w:t>
      </w:r>
      <w:r>
        <w:rPr>
          <w:sz w:val="21"/>
        </w:rPr>
        <w:t>纸质响应文件邮寄地址（邮寄地址：广州市先烈中路</w:t>
      </w:r>
      <w:r>
        <w:rPr>
          <w:sz w:val="21"/>
        </w:rPr>
        <w:t>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CA签章客户端，并运行CA证书。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CA证书的密码，如遗忘，请及时重置，以免影响响应文件的解密。</w:t>
      </w:r>
    </w:p>
    <w:p>
      <w:pPr>
        <w:jc w:val="both"/>
      </w:pPr>
      <w:r>
        <w:rPr>
          <w:b/>
          <w:sz w:val="21"/>
        </w:rPr>
        <w:t>（五）</w:t>
      </w:r>
      <w:r>
        <w:rPr>
          <w:b/>
          <w:sz w:val="21"/>
        </w:rPr>
        <w:t>响应报价说明：</w:t>
      </w:r>
    </w:p>
    <w:p>
      <w:pPr>
        <w:ind w:firstLine="420"/>
        <w:jc w:val="both"/>
      </w:pPr>
      <w:r>
        <w:rPr>
          <w:sz w:val="21"/>
        </w:rPr>
        <w:t>1</w:t>
      </w:r>
      <w:r>
        <w:rPr>
          <w:sz w:val="21"/>
        </w:rPr>
        <w:t>、</w:t>
      </w:r>
      <w:r>
        <w:rPr>
          <w:sz w:val="21"/>
        </w:rPr>
        <w:t>本项目</w:t>
      </w:r>
      <w:r>
        <w:rPr>
          <w:sz w:val="21"/>
        </w:rPr>
        <w:t>采购预算</w:t>
      </w:r>
      <w:r>
        <w:rPr>
          <w:sz w:val="21"/>
        </w:rPr>
        <w:t>：</w:t>
      </w:r>
      <w:r>
        <w:rPr>
          <w:sz w:val="21"/>
        </w:rPr>
        <w:t>人民币</w:t>
      </w:r>
      <w:r>
        <w:rPr>
          <w:sz w:val="21"/>
          <w:u w:val="single"/>
        </w:rPr>
        <w:t>1,978,000.00</w:t>
      </w:r>
      <w:r>
        <w:rPr>
          <w:sz w:val="21"/>
        </w:rPr>
        <w:t>元。</w:t>
      </w:r>
    </w:p>
    <w:p>
      <w:pPr>
        <w:ind w:firstLine="420"/>
        <w:jc w:val="both"/>
      </w:pPr>
      <w:r>
        <w:rPr>
          <w:sz w:val="21"/>
        </w:rPr>
        <w:t>2</w:t>
      </w:r>
      <w:r>
        <w:rPr>
          <w:sz w:val="21"/>
        </w:rPr>
        <w:t>、</w:t>
      </w:r>
      <w:r>
        <w:rPr>
          <w:sz w:val="21"/>
        </w:rPr>
        <w:t>磋商报价为响应供应商在响应文件中提出的各项支付金额的总和</w:t>
      </w:r>
      <w:r>
        <w:rPr>
          <w:sz w:val="21"/>
        </w:rPr>
        <w:t>。</w:t>
      </w:r>
    </w:p>
    <w:p>
      <w:pPr>
        <w:ind w:firstLine="420"/>
        <w:jc w:val="both"/>
      </w:pPr>
      <w:r>
        <w:rPr>
          <w:sz w:val="21"/>
        </w:rPr>
        <w:t>3</w:t>
      </w:r>
      <w:r>
        <w:rPr>
          <w:sz w:val="21"/>
        </w:rPr>
        <w:t>、除非采购人对采购文件予以修改，响应供应商应按采购人提供的项目清单中列出的</w:t>
      </w:r>
      <w:r>
        <w:rPr>
          <w:sz w:val="21"/>
        </w:rPr>
        <w:t>采购</w:t>
      </w:r>
      <w:r>
        <w:rPr>
          <w:sz w:val="21"/>
        </w:rPr>
        <w:t>项目填报单价和合价。每一项目只允许有一个报价。任何有选择的报价将不予接受。响应供应商未填单价或合价的工程项目，在实施后，用户将不予以支付，并视为该项费用已包括在其他有价款的单价或合价内。</w:t>
      </w:r>
    </w:p>
    <w:p>
      <w:pPr>
        <w:ind w:firstLine="420"/>
        <w:jc w:val="both"/>
      </w:pPr>
      <w:r>
        <w:rPr>
          <w:sz w:val="21"/>
        </w:rPr>
        <w:t>4、响应供应商按本采购文件充分了解工地位置、情况、道路、储存空间、装卸限制及任何其他足以影响承包价的情况，任何因忽视或误解工地情况而导致的索赔或工期延长申请将不被批准。</w:t>
      </w:r>
    </w:p>
    <w:p>
      <w:pPr>
        <w:ind w:firstLine="420"/>
        <w:jc w:val="both"/>
      </w:pPr>
      <w:r>
        <w:rPr>
          <w:sz w:val="21"/>
        </w:rPr>
        <w:t>5、响应供应商应根据采购</w:t>
      </w:r>
      <w:r>
        <w:rPr>
          <w:sz w:val="21"/>
        </w:rPr>
        <w:t>人提供的采购清单等资料，按照项目清单列出报价表。</w:t>
      </w:r>
    </w:p>
    <w:p>
      <w:pPr>
        <w:ind w:firstLine="420"/>
        <w:jc w:val="both"/>
      </w:pPr>
      <w:r>
        <w:rPr>
          <w:sz w:val="21"/>
        </w:rPr>
        <w:t>6、报价书中应注明响应供应商所选用的材料设备的产地、生产厂家、品牌、规格、型号、等级、单价等。如非采购人原因确需更换，由采购人确定，且价格不予调整。</w:t>
      </w:r>
    </w:p>
    <w:p>
      <w:pPr>
        <w:ind w:firstLine="420"/>
        <w:jc w:val="both"/>
      </w:pPr>
      <w:r>
        <w:rPr>
          <w:sz w:val="21"/>
        </w:rPr>
        <w:t>★</w:t>
      </w:r>
      <w:r>
        <w:rPr>
          <w:sz w:val="21"/>
        </w:rPr>
        <w:t>8、响应供应商须按采购人提供的采购清单表格式要求提供已标价的采购清单表。</w:t>
      </w:r>
    </w:p>
    <w:p>
      <w:pPr>
        <w:jc w:val="both"/>
      </w:pPr>
      <w:r>
        <w:rPr>
          <w:b/>
          <w:sz w:val="21"/>
        </w:rPr>
        <w:t>（六）</w:t>
      </w:r>
      <w:r>
        <w:rPr>
          <w:b/>
          <w:sz w:val="21"/>
        </w:rPr>
        <w:t>项目概况</w:t>
      </w:r>
    </w:p>
    <w:p>
      <w:pPr>
        <w:ind w:firstLine="420"/>
        <w:jc w:val="both"/>
      </w:pPr>
      <w:r>
        <w:rPr>
          <w:sz w:val="21"/>
        </w:rPr>
        <w:t>1、今年4月以来，基地多次遭遇台风侵袭，部分建筑设施、办公设备、绿化环境等受损严重，存在较大安全隐患，影响后续民兵集训活动的开展。为消除安全隐患，确保运转正常，基地向省农业农村厅、省财政厅申请应急资金进行灾后重建修缮活动。主要内容包括：滑坡山坡的平整及受阻河道疏通、</w:t>
      </w:r>
      <w:r>
        <w:rPr>
          <w:sz w:val="21"/>
        </w:rPr>
        <w:t>受损树木更换补种及绿化、</w:t>
      </w:r>
      <w:r>
        <w:rPr>
          <w:sz w:val="21"/>
        </w:rPr>
        <w:t>训练场观礼台围栏修复更换、闸门电动门更换、铁丝网围墙更换及坡地平整加固，以及部分建筑设施内门窗修复及更换、房屋吊顶修复、排水管道更换等物业修缮。</w:t>
      </w:r>
    </w:p>
    <w:p>
      <w:pPr>
        <w:ind w:firstLine="420"/>
        <w:jc w:val="both"/>
      </w:pPr>
      <w:r>
        <w:rPr>
          <w:sz w:val="21"/>
        </w:rPr>
        <w:t>2、本项目区位于广东省江门市台山市川岛镇内，工程施工所需施工设备、砂石料和其他建筑材料，都需要渡船码头换乘水上交通道路运至项目区附近，再结合施工期间修筑的场内临时施工道路直接运至施工现场。</w:t>
      </w:r>
    </w:p>
    <w:p>
      <w:pPr>
        <w:jc w:val="both"/>
      </w:pPr>
      <w:r>
        <w:rPr>
          <w:b/>
          <w:sz w:val="21"/>
        </w:rPr>
        <w:t>（七）</w:t>
      </w:r>
      <w:r>
        <w:rPr>
          <w:b/>
          <w:sz w:val="21"/>
        </w:rPr>
        <w:t>实现的</w:t>
      </w:r>
      <w:r>
        <w:rPr>
          <w:b/>
          <w:sz w:val="21"/>
        </w:rPr>
        <w:t>目标</w:t>
      </w:r>
    </w:p>
    <w:p>
      <w:pPr>
        <w:ind w:firstLine="420"/>
        <w:jc w:val="both"/>
      </w:pPr>
      <w:r>
        <w:rPr>
          <w:sz w:val="21"/>
        </w:rPr>
        <w:t>进一步恢复河道防洪排涝基本功能，有效预防边坡泥石流灾害，完善基地基础设施，实现灾后基础设施的恢复，提高设施的防风抗风能力，消除安全隐患，提升基地保障能力，保障</w:t>
      </w:r>
      <w:r>
        <w:rPr>
          <w:sz w:val="21"/>
        </w:rPr>
        <w:t>训练工作</w:t>
      </w:r>
      <w:r>
        <w:rPr>
          <w:sz w:val="21"/>
        </w:rPr>
        <w:t>顺利开展。</w:t>
      </w:r>
    </w:p>
    <w:p>
      <w:pPr>
        <w:jc w:val="both"/>
      </w:pPr>
      <w:r>
        <w:rPr>
          <w:b/>
          <w:sz w:val="21"/>
        </w:rPr>
        <w:t>（八）</w:t>
      </w:r>
      <w:r>
        <w:rPr>
          <w:b/>
          <w:sz w:val="21"/>
        </w:rPr>
        <w:t>需执行国家相关标准、行业标准、地方标准或者其他标准、规范</w:t>
      </w:r>
    </w:p>
    <w:p/>
    <w:p>
      <w:pPr>
        <w:ind w:firstLine="480"/>
      </w:pPr>
    </w:p>
    <w:p/>
    <w:p>
      <w:r>
        <w:rPr/>
        <w:t>采购包1（灾后重建设计施工一体化项目）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签订合同后40个日历天内完成安装、调试和验收交付采购人使用。</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签订合同后5个工作日内，成交供应商书面提出支付申请函、履约质保函及拟支付金额等额的符合采购人财务管理要求的相应发票，采购人收到上述材料后5个工作日内按照规定程序拨付款项，支付项目合同100%的款项。 2、成交供应商需提供履职质量保证函给采购人，违约者由采购人向有关单位提交“信用黑名单”建议。</w:t>
            </w:r>
          </w:p>
        </w:tc>
      </w:tr>
      <w:tr>
        <w:tc>
          <w:tcPr>
            <w:tcW w:type="dxa" w:w="4153"/>
          </w:tcPr>
          <w:p>
            <w:r>
              <w:rPr/>
              <w:t>验收要求</w:t>
            </w:r>
          </w:p>
        </w:tc>
        <w:tc>
          <w:tcPr>
            <w:tcW w:type="dxa" w:w="4153"/>
          </w:tcPr>
          <w:p/>
          <w:p/>
          <w:p/>
          <w:p>
            <w:r>
              <w:rPr/>
              <w:t>1期：依据《建筑工程施工质量验收统一标准》（GB50300-2013）（如有新版本，则按最新版本执行）一次性验收合格。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（一）质量保修，1、保修期按《建设工程质量管理条例》（国务院279号令）的规定执行，工程质保期自竣工验收之日起计算，具体如下： （1）地基基础工程、主体结构工程为设计文件规定的合理使用年限； （2）屋面防水工程、有防水要求的卫生间、房间和外墙面的防渗漏工程为伍年； （3）电气管线工程、给排水管道工程、设备安装工程为贰年； （4）其他项目贰年。 2、在保修期内因施工质量而造成返修，其费用由成交供应商负责。成交供应商在接到返修通知3天内必须进场返修，返修所发生的费用由成交供应商承担。成交供应商未能在规定时间内派人保修的，采购人可自行或委托第三方维修，所需费用由成交供应商偿还采购人已支付的维修费。</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其他构筑物工程施工</w:t>
            </w:r>
          </w:p>
        </w:tc>
        <w:tc>
          <w:tcPr>
            <w:tcW w:type="dxa" w:w="933"/>
          </w:tcPr>
          <w:p>
            <w:pPr>
              <w:jc w:val="left"/>
            </w:pPr>
            <w:r>
              <w:rPr/>
              <w:t>灾后重建设计施工一体化项目</w:t>
            </w:r>
          </w:p>
        </w:tc>
        <w:tc>
          <w:tcPr>
            <w:tcW w:type="dxa" w:w="933"/>
          </w:tcPr>
          <w:p>
            <w:pPr>
              <w:jc w:val="left"/>
            </w:pPr>
            <w:r>
              <w:rPr/>
              <w:t>项</w:t>
            </w:r>
          </w:p>
        </w:tc>
        <w:tc>
          <w:tcPr>
            <w:tcW w:type="dxa" w:w="933"/>
          </w:tcPr>
          <w:p>
            <w:pPr>
              <w:jc w:val="right"/>
            </w:pPr>
            <w:r>
              <w:rPr/>
              <w:t>1.00</w:t>
            </w:r>
          </w:p>
        </w:tc>
        <w:tc>
          <w:tcPr>
            <w:tcW w:type="dxa" w:w="933"/>
          </w:tcPr>
          <w:p>
            <w:pPr>
              <w:jc w:val="right"/>
            </w:pPr>
            <w:r>
              <w:rPr/>
              <w:t>1,978,000.00</w:t>
            </w:r>
          </w:p>
        </w:tc>
        <w:tc>
          <w:tcPr>
            <w:tcW w:type="dxa" w:w="933"/>
          </w:tcPr>
          <w:p>
            <w:pPr>
              <w:jc w:val="right"/>
            </w:pPr>
            <w:r>
              <w:rPr/>
              <w:t>1,978,000.00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灾后重建设计施工一体化项目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sz w:val="21"/>
              </w:rPr>
              <w:t>一、实施方案</w:t>
            </w:r>
          </w:p>
          <w:p>
            <w:r>
              <w:rPr>
                <w:sz w:val="21"/>
              </w:rPr>
              <w:t>（</w:t>
            </w:r>
            <w:r>
              <w:rPr>
                <w:sz w:val="21"/>
              </w:rPr>
              <w:t>一</w:t>
            </w:r>
            <w:r>
              <w:rPr>
                <w:sz w:val="21"/>
              </w:rPr>
              <w:t>）</w:t>
            </w:r>
            <w:r>
              <w:rPr>
                <w:sz w:val="21"/>
              </w:rPr>
              <w:t>响应供应商需根据本项目实施内容提供设计方案。</w:t>
            </w:r>
          </w:p>
          <w:p>
            <w:pPr>
              <w:jc w:val="both"/>
            </w:pPr>
            <w:r>
              <w:rPr>
                <w:sz w:val="21"/>
              </w:rPr>
              <w:t>（</w:t>
            </w:r>
            <w:r>
              <w:rPr>
                <w:sz w:val="21"/>
              </w:rPr>
              <w:t>二</w:t>
            </w:r>
            <w:r>
              <w:rPr>
                <w:sz w:val="21"/>
              </w:rPr>
              <w:t>）工程平整及河道疏通</w:t>
            </w:r>
          </w:p>
          <w:p>
            <w:pPr>
              <w:jc w:val="both"/>
            </w:pPr>
            <w:r>
              <w:rPr>
                <w:sz w:val="21"/>
              </w:rPr>
              <w:t>在进行河道平整施工之前，进行详细的调研和规划，使用合适的测量仪器，如全站仪、测距仪等，确定河道平整的具体范围和路线。</w:t>
            </w:r>
          </w:p>
          <w:p>
            <w:pPr>
              <w:jc w:val="both"/>
            </w:pPr>
            <w:r>
              <w:rPr>
                <w:sz w:val="21"/>
              </w:rPr>
              <w:t xml:space="preserve">1、河道清淤扩挖：由于射击场内的河道受到山体滑坡影响较大，累积淤泥较多，施工前，需清理河道内杂物，包括漂浮物和水草等，利用挖掘机、装载机等设备进行挖土和填土，清理河道底部的砂石和淤泥，河道清淤扩挖总长约460m，清淤扩挖工程量约3000m³。  </w:t>
            </w:r>
          </w:p>
          <w:p>
            <w:pPr>
              <w:jc w:val="both"/>
            </w:pPr>
            <w:r>
              <w:rPr>
                <w:sz w:val="21"/>
              </w:rPr>
              <w:t>河道清淤按照自上游至下游、先中央后两侧的顺序施工。</w:t>
            </w:r>
            <w:r>
              <w:rPr>
                <w:sz w:val="21"/>
              </w:rPr>
              <w:t>须</w:t>
            </w:r>
            <w:r>
              <w:rPr>
                <w:sz w:val="21"/>
              </w:rPr>
              <w:t>进行河道中央的淤泥挖掘。河道总长</w:t>
            </w:r>
            <w:r>
              <w:rPr>
                <w:sz w:val="21"/>
              </w:rPr>
              <w:t>460m，累积淤泥最宽处为8米，平均宽度在5米左右。由于采用水中清淤，淤泥含水量大，运输过程中容易造成道路及周边环境污染，一部分淤泥挖至岸边需经过晾晒后方可外运。</w:t>
            </w:r>
          </w:p>
          <w:p>
            <w:pPr>
              <w:jc w:val="both"/>
            </w:pPr>
            <w:r>
              <w:rPr>
                <w:sz w:val="21"/>
              </w:rPr>
              <w:t>2、清障工程：河道两侧障碍物主要为树木和渣土废渣等，采用人工配合机械的方式进行清理。对于比较矮小的草丛和灌木，采用挖掘机推平的方式进行清理。</w:t>
            </w:r>
          </w:p>
          <w:p>
            <w:pPr>
              <w:jc w:val="both"/>
            </w:pPr>
            <w:r>
              <w:rPr>
                <w:sz w:val="21"/>
              </w:rPr>
              <w:t>采用挖掘机挖甩、推土机推土的施工方法施工。开挖时按照</w:t>
            </w:r>
            <w:r>
              <w:rPr>
                <w:sz w:val="21"/>
              </w:rPr>
              <w:t>“先中间，后两侧”，“先水下，后水上”的开挖原则。机械开挖土方后，边坡应留有一定的保护层，再辅以人工修整达标。</w:t>
            </w:r>
          </w:p>
          <w:p>
            <w:pPr>
              <w:jc w:val="both"/>
            </w:pPr>
            <w:r>
              <w:rPr>
                <w:sz w:val="21"/>
              </w:rPr>
              <w:t>3、岸坡整治工程：边坡加固修整及平地水泥固化（约1100㎡）。</w:t>
            </w:r>
          </w:p>
          <w:p>
            <w:pPr>
              <w:jc w:val="both"/>
            </w:pPr>
            <w:r>
              <w:rPr>
                <w:sz w:val="21"/>
              </w:rPr>
              <w:t>3.1在完成河道清淤工作后，清除河堤和边坡上的杂草和垃圾，个别区域有较大的石块，应使用挖掘机清理出合适的工作面，并做好相应的环境保护措施。</w:t>
            </w:r>
          </w:p>
          <w:p>
            <w:pPr>
              <w:jc w:val="both"/>
            </w:pPr>
            <w:r>
              <w:drawing>
                <wp:inline distT="0" distR="0" distB="0" distL="0">
                  <wp:extent cx="3554729" cy="250011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500110"/>
                          </a:xfrm>
                          <a:prstGeom prst="rect">
                            <a:avLst/>
                          </a:prstGeom>
                        </pic:spPr>
                      </pic:pic>
                    </a:graphicData>
                  </a:graphic>
                </wp:inline>
              </w:drawing>
            </w:r>
          </w:p>
          <w:p>
            <w:pPr>
              <w:jc w:val="both"/>
            </w:pPr>
            <w:r>
              <w:rPr>
                <w:sz w:val="21"/>
              </w:rPr>
              <w:t>3.2根据</w:t>
            </w:r>
            <w:r>
              <w:rPr>
                <w:sz w:val="21"/>
              </w:rPr>
              <w:t>采购人确认的</w:t>
            </w:r>
            <w:r>
              <w:rPr>
                <w:sz w:val="21"/>
              </w:rPr>
              <w:t>设计方案和现场实际情况对坡面进行加固，可采用草皮护坡和土工格栅加固结合灌浆加固法进行加固。</w:t>
            </w:r>
          </w:p>
          <w:p>
            <w:pPr>
              <w:jc w:val="both"/>
            </w:pPr>
            <w:r>
              <w:rPr>
                <w:sz w:val="21"/>
              </w:rPr>
              <w:t>在加固过程中，根据现场实际情况来准确选择加固方法及对应的材料，以达到设计效果。</w:t>
            </w:r>
          </w:p>
          <w:p>
            <w:pPr>
              <w:jc w:val="both"/>
            </w:pPr>
            <w:r>
              <w:rPr>
                <w:sz w:val="21"/>
              </w:rPr>
              <w:t>在边坡加固完成之后，优先选择原河道堤岸的表层清基土，筛选合格部分作为绿化土，铺设厚度不小于</w:t>
            </w:r>
            <w:r>
              <w:rPr>
                <w:sz w:val="21"/>
              </w:rPr>
              <w:t>0.2米。</w:t>
            </w:r>
          </w:p>
          <w:p>
            <w:pPr>
              <w:jc w:val="both"/>
            </w:pPr>
            <w:r>
              <w:rPr>
                <w:sz w:val="21"/>
              </w:rPr>
              <w:t>在铺设绿化土完成之后，选择适合于当地气候条件易于生长的草种，均匀有效地撒播在护坡地段。</w:t>
            </w:r>
          </w:p>
          <w:p>
            <w:pPr>
              <w:jc w:val="both"/>
            </w:pPr>
            <w:r>
              <w:drawing>
                <wp:inline distT="0" distR="0" distB="0" distL="0">
                  <wp:extent cx="3554729" cy="2233566"/>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3554729" cy="2233566"/>
                          </a:xfrm>
                          <a:prstGeom prst="rect">
                            <a:avLst/>
                          </a:prstGeom>
                        </pic:spPr>
                      </pic:pic>
                    </a:graphicData>
                  </a:graphic>
                </wp:inline>
              </w:drawing>
            </w:r>
          </w:p>
          <w:p>
            <w:pPr>
              <w:jc w:val="both"/>
            </w:pPr>
            <w:r>
              <w:rPr>
                <w:sz w:val="21"/>
              </w:rPr>
              <w:t>3.3护坡清基施工方法</w:t>
            </w:r>
          </w:p>
          <w:p>
            <w:pPr>
              <w:jc w:val="both"/>
            </w:pPr>
            <w:r>
              <w:rPr>
                <w:sz w:val="21"/>
              </w:rPr>
              <w:t>采用挖掘机与推土机组合的方式进行开挖基面与基面清理：</w:t>
            </w:r>
          </w:p>
          <w:p>
            <w:pPr>
              <w:jc w:val="both"/>
            </w:pPr>
            <w:r>
              <w:rPr>
                <w:sz w:val="21"/>
              </w:rPr>
              <w:t>清基的弃土按监理指定位置堆放，严禁弃土和筑堤土料混杂。基础清理完成后，及时报请监理工程师验收，验收合格后，方可进行填筑。</w:t>
            </w:r>
          </w:p>
          <w:p>
            <w:pPr>
              <w:jc w:val="both"/>
            </w:pPr>
            <w:r>
              <w:rPr>
                <w:sz w:val="21"/>
              </w:rPr>
              <w:t>清基后的基面经验收合格后及时填筑，避免长时间延搁。填筑面下的沟塘填筑和支堰填筑须按统一标准进行边坡面处理，不论面积大小，均按碾压试验确定的厚度分层填筑，并分层取样进行密实检验，检验合格后再进行上层土方的填筑。</w:t>
            </w:r>
          </w:p>
          <w:p>
            <w:pPr>
              <w:jc w:val="both"/>
            </w:pPr>
            <w:r>
              <w:rPr>
                <w:sz w:val="21"/>
              </w:rPr>
              <w:t>3.4平地水泥固化（约30㎡）</w:t>
            </w:r>
          </w:p>
          <w:p>
            <w:pPr>
              <w:jc w:val="both"/>
            </w:pPr>
            <w:r>
              <w:rPr>
                <w:sz w:val="21"/>
              </w:rPr>
              <w:t>河道旁有一处杂草地较为开阔，但坑洼不平，易产生安全隐患，因此将此处地面固化以防发生意外事故。</w:t>
            </w:r>
          </w:p>
          <w:p>
            <w:pPr>
              <w:jc w:val="both"/>
            </w:pPr>
            <w:r>
              <w:rPr>
                <w:sz w:val="21"/>
              </w:rPr>
              <w:t>先将场地通过挖掘机进行平整，用场地回填砂填平，控制回填砂的标高，挖掘机平整不到位的位置由人工平整。</w:t>
            </w:r>
          </w:p>
          <w:p>
            <w:pPr>
              <w:jc w:val="both"/>
            </w:pPr>
            <w:r>
              <w:rPr>
                <w:sz w:val="21"/>
              </w:rPr>
              <w:t>施工定位放线完成后，使用槽钢侧模纵向固定，控制标高。</w:t>
            </w:r>
          </w:p>
          <w:p>
            <w:pPr>
              <w:jc w:val="both"/>
            </w:pPr>
            <w:r>
              <w:rPr>
                <w:sz w:val="21"/>
              </w:rPr>
              <w:t>混凝土摊铺采用纵向分条的方法进行施工，纵向分条的宽度与分隔缝同宽。当混凝土拌合物倒入模内时，卸料要集中，速度放缓，高出模板适当位置，必要时进行减料或补料，断面符合要求。用刮平振捣整平机对砼表面进行振捣、刮平和整平。</w:t>
            </w:r>
          </w:p>
          <w:p>
            <w:pPr>
              <w:jc w:val="both"/>
            </w:pPr>
            <w:r>
              <w:rPr>
                <w:sz w:val="21"/>
              </w:rPr>
              <w:t>混凝土浇筑</w:t>
            </w:r>
            <w:r>
              <w:rPr>
                <w:sz w:val="21"/>
              </w:rPr>
              <w:t>24小时后，采用普通覆盖、淋水或喷洒进行养护。同时为克服温度变化产生裂缝，需在已浇筑好的混凝土地面上垂直于混凝土浇筑放线用切割机切缝。</w:t>
            </w:r>
          </w:p>
          <w:p>
            <w:pPr>
              <w:jc w:val="both"/>
            </w:pPr>
            <w:r>
              <w:rPr>
                <w:sz w:val="21"/>
              </w:rPr>
              <w:t>（</w:t>
            </w:r>
            <w:r>
              <w:rPr>
                <w:sz w:val="21"/>
              </w:rPr>
              <w:t>三</w:t>
            </w:r>
            <w:r>
              <w:rPr>
                <w:sz w:val="21"/>
              </w:rPr>
              <w:t>）绿化修缮</w:t>
            </w:r>
          </w:p>
          <w:p>
            <w:pPr>
              <w:jc w:val="both"/>
            </w:pPr>
            <w:r>
              <w:rPr>
                <w:sz w:val="21"/>
              </w:rPr>
              <w:t>基地地处海岛，经常受台风侵袭，且靠山适合种植空地土壤贫瘠，岩层较硬，增加绿化施工难度。前期因台风吹倒的树木许多枯死，本次绿化进行补种更换，结合基地的绿化，主要是</w:t>
            </w:r>
            <w:r>
              <w:rPr>
                <w:sz w:val="21"/>
              </w:rPr>
              <w:t>原枯死的树木替换、</w:t>
            </w:r>
            <w:r>
              <w:rPr>
                <w:sz w:val="21"/>
              </w:rPr>
              <w:t>训练场靠山围墙旁、教职工宿舍旁、人工湖旁等区域适当种植一些其他树种或合适的树种。</w:t>
            </w:r>
          </w:p>
          <w:p>
            <w:pPr>
              <w:jc w:val="both"/>
            </w:pPr>
            <w:r>
              <w:rPr>
                <w:sz w:val="21"/>
              </w:rPr>
              <w:t>1、地面杂草、灌木铲除及园道开辟清理</w:t>
            </w:r>
          </w:p>
          <w:p>
            <w:pPr>
              <w:jc w:val="both"/>
            </w:pPr>
            <w:r>
              <w:rPr>
                <w:sz w:val="21"/>
              </w:rPr>
              <w:t>采用割灌机为主，旋刀机辅助，清除荒地上大的石块和枯枝及灌木。</w:t>
            </w:r>
          </w:p>
          <w:p>
            <w:pPr>
              <w:jc w:val="both"/>
            </w:pPr>
            <w:r>
              <w:rPr>
                <w:sz w:val="21"/>
              </w:rPr>
              <w:t>2、场地平整</w:t>
            </w:r>
          </w:p>
          <w:p>
            <w:pPr>
              <w:jc w:val="both"/>
            </w:pPr>
            <w:r>
              <w:rPr>
                <w:sz w:val="21"/>
              </w:rPr>
              <w:t>通过测量、土石方调配，选择合适的施工机械进行填方压实，处理场地平整。</w:t>
            </w:r>
          </w:p>
          <w:p>
            <w:pPr>
              <w:jc w:val="both"/>
            </w:pPr>
            <w:r>
              <w:rPr>
                <w:sz w:val="21"/>
              </w:rPr>
              <w:t>3、回填方(场地回填1m良性土)。</w:t>
            </w:r>
          </w:p>
          <w:p>
            <w:pPr>
              <w:jc w:val="both"/>
            </w:pPr>
            <w:r>
              <w:rPr>
                <w:sz w:val="21"/>
              </w:rPr>
              <w:t>4、营养土。营养土是为了让植物更好的生长，专门配制的土壤，通常富含腐殖质，而且疏松透气，又能保水保肥。</w:t>
            </w:r>
          </w:p>
          <w:p>
            <w:pPr>
              <w:jc w:val="both"/>
            </w:pPr>
            <w:r>
              <w:rPr>
                <w:sz w:val="21"/>
              </w:rPr>
              <w:t>5、树木更换重植，清理枯树。</w:t>
            </w:r>
          </w:p>
          <w:p>
            <w:pPr>
              <w:jc w:val="both"/>
            </w:pPr>
            <w:r>
              <w:rPr>
                <w:sz w:val="21"/>
              </w:rPr>
              <w:t>种植树种、数量、规格要求如下图：</w:t>
            </w:r>
          </w:p>
          <w:tbl>
            <w:tblPr>
              <w:tblBorders>
                <w:top w:val="none" w:color="000000" w:sz="4"/>
                <w:left w:val="none" w:color="000000" w:sz="4"/>
                <w:bottom w:val="none" w:color="000000" w:sz="4"/>
                <w:right w:val="none" w:color="000000" w:sz="4"/>
                <w:insideH w:val="none"/>
                <w:insideV w:val="none"/>
              </w:tblBorders>
            </w:tblPr>
            <w:tblGrid>
              <w:gridCol w:w="729"/>
              <w:gridCol w:w="1284"/>
              <w:gridCol w:w="1040"/>
              <w:gridCol w:w="2543"/>
            </w:tblGrid>
            <w:tr>
              <w:tc>
                <w:tcPr>
                  <w:tcW w:type="dxa" w:w="72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284"/>
                  <w:tcBorders>
                    <w:top w:val="single" w:color="000000" w:sz="4"/>
                    <w:left w:val="single" w:color="000000" w:sz="4"/>
                    <w:bottom w:val="single" w:color="000000" w:sz="4"/>
                    <w:right w:val="single" w:color="000000" w:sz="4"/>
                  </w:tcBorders>
                  <w:vAlign w:val="top"/>
                </w:tcPr>
                <w:p>
                  <w:pPr>
                    <w:jc w:val="center"/>
                  </w:pPr>
                  <w:r>
                    <w:rPr>
                      <w:sz w:val="21"/>
                    </w:rPr>
                    <w:t>树种</w:t>
                  </w:r>
                </w:p>
              </w:tc>
              <w:tc>
                <w:tcPr>
                  <w:tcW w:type="dxa" w:w="1040"/>
                  <w:tcBorders>
                    <w:top w:val="single" w:color="000000" w:sz="4"/>
                    <w:left w:val="single" w:color="000000" w:sz="4"/>
                    <w:bottom w:val="single" w:color="000000" w:sz="4"/>
                    <w:right w:val="single" w:color="000000" w:sz="4"/>
                  </w:tcBorders>
                  <w:vAlign w:val="top"/>
                </w:tcPr>
                <w:p>
                  <w:pPr>
                    <w:jc w:val="center"/>
                  </w:pPr>
                  <w:r>
                    <w:rPr>
                      <w:sz w:val="21"/>
                    </w:rPr>
                    <w:t>数量（棵）</w:t>
                  </w:r>
                </w:p>
              </w:tc>
              <w:tc>
                <w:tcPr>
                  <w:tcW w:type="dxa" w:w="2543"/>
                  <w:tcBorders>
                    <w:top w:val="single" w:color="000000" w:sz="4"/>
                    <w:left w:val="single" w:color="000000" w:sz="4"/>
                    <w:bottom w:val="single" w:color="000000" w:sz="4"/>
                    <w:right w:val="single" w:color="000000" w:sz="4"/>
                  </w:tcBorders>
                  <w:vAlign w:val="top"/>
                </w:tcPr>
                <w:p>
                  <w:pPr>
                    <w:jc w:val="center"/>
                  </w:pPr>
                  <w:r>
                    <w:rPr>
                      <w:sz w:val="21"/>
                    </w:rPr>
                    <w:t>规格</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龙眼</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15-25厘米，高4-6米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芒果</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20-40厘米，高5-7米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沙田柚</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20-25厘米，高2-4米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黄皮</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10-25厘米，高2-3米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番石榴</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高</w:t>
                  </w:r>
                  <w:r>
                    <w:rPr>
                      <w:sz w:val="21"/>
                    </w:rPr>
                    <w:t>2-3米，冠幅3-4米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秋枫</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10-20厘米，高3-5米</w:t>
                  </w:r>
                </w:p>
              </w:tc>
            </w:tr>
            <w:tr>
              <w:tc>
                <w:tcPr>
                  <w:tcW w:type="dxa" w:w="72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84"/>
                  <w:tcBorders>
                    <w:top w:val="none" w:color="000000" w:sz="4"/>
                    <w:left w:val="single" w:color="000000" w:sz="4"/>
                    <w:bottom w:val="single" w:color="000000" w:sz="4"/>
                    <w:right w:val="single" w:color="000000" w:sz="4"/>
                  </w:tcBorders>
                  <w:vAlign w:val="top"/>
                </w:tcPr>
                <w:p>
                  <w:pPr>
                    <w:jc w:val="center"/>
                  </w:pPr>
                  <w:r>
                    <w:rPr>
                      <w:sz w:val="21"/>
                    </w:rPr>
                    <w:t>丛生四季桂树</w:t>
                  </w:r>
                </w:p>
              </w:tc>
              <w:tc>
                <w:tcPr>
                  <w:tcW w:type="dxa" w:w="1040"/>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543"/>
                  <w:tcBorders>
                    <w:top w:val="none" w:color="000000" w:sz="4"/>
                    <w:left w:val="single" w:color="000000" w:sz="4"/>
                    <w:bottom w:val="single" w:color="000000" w:sz="4"/>
                    <w:right w:val="single" w:color="000000" w:sz="4"/>
                  </w:tcBorders>
                  <w:vAlign w:val="top"/>
                </w:tcPr>
                <w:p>
                  <w:pPr>
                    <w:jc w:val="center"/>
                  </w:pPr>
                  <w:r>
                    <w:rPr>
                      <w:sz w:val="21"/>
                    </w:rPr>
                    <w:t>胸径</w:t>
                  </w:r>
                  <w:r>
                    <w:rPr>
                      <w:sz w:val="21"/>
                    </w:rPr>
                    <w:t>8-25厘米，高3-5米</w:t>
                  </w:r>
                </w:p>
              </w:tc>
            </w:tr>
          </w:tbl>
          <w:p>
            <w:r>
              <w:rPr/>
              <w:t xml:space="preserve"> </w:t>
            </w:r>
          </w:p>
          <w:p>
            <w:pPr>
              <w:jc w:val="both"/>
            </w:pPr>
            <w:r>
              <w:rPr>
                <w:sz w:val="21"/>
              </w:rPr>
              <w:t>（</w:t>
            </w:r>
            <w:r>
              <w:rPr>
                <w:sz w:val="21"/>
              </w:rPr>
              <w:t>四</w:t>
            </w:r>
            <w:r>
              <w:rPr>
                <w:sz w:val="21"/>
              </w:rPr>
              <w:t>）训练场观礼台围栏修复与更换</w:t>
            </w:r>
            <w:r>
              <w:rPr>
                <w:sz w:val="21"/>
              </w:rPr>
              <w:t xml:space="preserve"> </w:t>
            </w:r>
          </w:p>
          <w:p>
            <w:pPr>
              <w:jc w:val="both"/>
            </w:pPr>
            <w:r>
              <w:rPr>
                <w:sz w:val="21"/>
              </w:rPr>
              <w:t>对被风吹倒的</w:t>
            </w:r>
            <w:r>
              <w:rPr>
                <w:sz w:val="21"/>
              </w:rPr>
              <w:t>100米围栏进行恢复。训练场观礼台靠近射击场方向的围栏被台风吹断、摧残，受损严重，需对受损部分进行更换，未受损部分（左右两侧和靠近标准训练场方向，约200米）也需要进行复原加固。拟更换围栏的材质为304加厚不锈钢，具体规格为4米一段，高度为1.5米。</w:t>
            </w:r>
          </w:p>
          <w:p>
            <w:pPr>
              <w:jc w:val="both"/>
            </w:pPr>
            <w:r>
              <w:rPr>
                <w:sz w:val="21"/>
              </w:rPr>
              <w:t>1、修复松动部分：对未完全破损的围栏，可以使用螺丝刀或扳手紧固螺丝或螺母，确保连接紧固，并在每一段围栏内侧加固一根不锈钢弯曲钢管，采用螺丝固定在地面上，另一侧与之前的围栏相连。</w:t>
            </w:r>
          </w:p>
          <w:p>
            <w:pPr>
              <w:jc w:val="both"/>
            </w:pPr>
            <w:r>
              <w:rPr>
                <w:sz w:val="21"/>
              </w:rPr>
              <w:t>2、替换损坏部分：对于损坏严重，无法修复的围栏，根据这些围栏的类型和设计，购买相应的替换部件进行更换。</w:t>
            </w:r>
          </w:p>
          <w:p>
            <w:pPr>
              <w:jc w:val="both"/>
            </w:pPr>
            <w:r>
              <w:rPr>
                <w:sz w:val="21"/>
              </w:rPr>
              <w:t>3、修复涂层和锈迹：围栏上有涂层受损或锈迹，克使用砂纸将受损的涂层磨掉，重新涂抹新的涂层。使用除锈剂或砂纸轻擦锈迹，清理干净。</w:t>
            </w:r>
          </w:p>
          <w:p>
            <w:pPr>
              <w:jc w:val="both"/>
            </w:pPr>
            <w:r>
              <w:rPr>
                <w:sz w:val="21"/>
              </w:rPr>
              <w:t>（</w:t>
            </w:r>
            <w:r>
              <w:rPr>
                <w:sz w:val="21"/>
              </w:rPr>
              <w:t>五</w:t>
            </w:r>
            <w:r>
              <w:rPr>
                <w:sz w:val="21"/>
              </w:rPr>
              <w:t>）营地大门电动门更换</w:t>
            </w:r>
          </w:p>
          <w:p>
            <w:pPr>
              <w:jc w:val="both"/>
            </w:pPr>
            <w:r>
              <w:rPr>
                <w:sz w:val="21"/>
              </w:rPr>
              <w:t>基地大门的</w:t>
            </w:r>
            <w:r>
              <w:rPr>
                <w:sz w:val="21"/>
              </w:rPr>
              <w:t>2项闸门电动门已严重受损，须进行更换。拟采用加厚镀锌钢材料，单轨段滑门分四段设计，安装龙门架抗风装置，以防台风做加固处理。</w:t>
            </w:r>
          </w:p>
          <w:p>
            <w:pPr>
              <w:jc w:val="both"/>
            </w:pPr>
            <w:r>
              <w:rPr>
                <w:sz w:val="21"/>
              </w:rPr>
              <w:t>1</w:t>
            </w:r>
            <w:r>
              <w:rPr>
                <w:sz w:val="21"/>
              </w:rPr>
              <w:t>、产品详情：</w:t>
            </w:r>
          </w:p>
          <w:tbl>
            <w:tblPr>
              <w:tblBorders>
                <w:top w:val="none" w:color="000000" w:sz="4"/>
                <w:left w:val="none" w:color="000000" w:sz="4"/>
                <w:bottom w:val="none" w:color="000000" w:sz="4"/>
                <w:right w:val="none" w:color="000000" w:sz="4"/>
                <w:insideH w:val="none"/>
                <w:insideV w:val="none"/>
              </w:tblBorders>
            </w:tblPr>
            <w:tblGrid>
              <w:gridCol w:w="832"/>
              <w:gridCol w:w="1870"/>
              <w:gridCol w:w="376"/>
              <w:gridCol w:w="573"/>
              <w:gridCol w:w="1927"/>
              <w:gridCol w:w="17"/>
            </w:tblGrid>
            <w:tr>
              <w:tc>
                <w:tcPr>
                  <w:tcW w:type="dxa" w:w="832"/>
                  <w:tcBorders>
                    <w:top w:val="single" w:color="000000" w:sz="4"/>
                    <w:left w:val="single" w:color="000000" w:sz="4"/>
                    <w:bottom w:val="single" w:color="000000" w:sz="4"/>
                    <w:right w:val="single" w:color="000000" w:sz="4"/>
                  </w:tcBorders>
                  <w:vAlign w:val="top"/>
                </w:tcPr>
                <w:p>
                  <w:pPr>
                    <w:jc w:val="center"/>
                  </w:pPr>
                  <w:r>
                    <w:rPr>
                      <w:sz w:val="21"/>
                    </w:rPr>
                    <w:t>项目</w:t>
                  </w:r>
                </w:p>
              </w:tc>
              <w:tc>
                <w:tcPr>
                  <w:tcW w:type="dxa" w:w="1870"/>
                  <w:tcBorders>
                    <w:top w:val="single" w:color="000000" w:sz="4"/>
                    <w:left w:val="single" w:color="000000" w:sz="4"/>
                    <w:bottom w:val="single" w:color="000000" w:sz="4"/>
                    <w:right w:val="single" w:color="000000" w:sz="4"/>
                  </w:tcBorders>
                  <w:vAlign w:val="top"/>
                </w:tcPr>
                <w:p>
                  <w:pPr>
                    <w:jc w:val="center"/>
                  </w:pPr>
                  <w:r>
                    <w:rPr>
                      <w:sz w:val="21"/>
                    </w:rPr>
                    <w:t>规格</w:t>
                  </w:r>
                  <w:r>
                    <w:rPr>
                      <w:sz w:val="21"/>
                    </w:rPr>
                    <w:t>(长*1.6米高)</w:t>
                  </w:r>
                </w:p>
              </w:tc>
              <w:tc>
                <w:tcPr>
                  <w:tcW w:type="dxa" w:w="376"/>
                  <w:tcBorders>
                    <w:top w:val="single" w:color="000000" w:sz="4"/>
                    <w:left w:val="single" w:color="000000" w:sz="4"/>
                    <w:bottom w:val="single" w:color="000000" w:sz="4"/>
                    <w:right w:val="single" w:color="000000" w:sz="4"/>
                  </w:tcBorders>
                  <w:vAlign w:val="top"/>
                </w:tcPr>
                <w:p>
                  <w:pPr>
                    <w:jc w:val="center"/>
                  </w:pPr>
                  <w:r>
                    <w:rPr>
                      <w:sz w:val="21"/>
                    </w:rPr>
                    <w:t>单位</w:t>
                  </w:r>
                </w:p>
              </w:tc>
              <w:tc>
                <w:tcPr>
                  <w:tcW w:type="dxa" w:w="573"/>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1927"/>
                  <w:tcBorders>
                    <w:top w:val="single" w:color="000000" w:sz="4"/>
                    <w:left w:val="single" w:color="000000" w:sz="4"/>
                    <w:bottom w:val="single" w:color="000000" w:sz="4"/>
                    <w:right w:val="single" w:color="000000" w:sz="4"/>
                  </w:tcBorders>
                  <w:vAlign w:val="top"/>
                </w:tcPr>
                <w:p>
                  <w:pPr>
                    <w:jc w:val="center"/>
                  </w:pPr>
                  <w:r>
                    <w:rPr>
                      <w:sz w:val="21"/>
                    </w:rPr>
                    <w:t>备注</w:t>
                  </w:r>
                </w:p>
              </w:tc>
            </w:tr>
            <w:tr>
              <w:tc>
                <w:tcPr>
                  <w:tcW w:type="dxa" w:w="832"/>
                  <w:tcBorders>
                    <w:top w:val="none" w:color="000000" w:sz="4"/>
                    <w:left w:val="single" w:color="000000" w:sz="4"/>
                    <w:bottom w:val="single" w:color="000000" w:sz="4"/>
                    <w:right w:val="single" w:color="000000" w:sz="4"/>
                  </w:tcBorders>
                  <w:vAlign w:val="top"/>
                </w:tcPr>
                <w:p>
                  <w:pPr>
                    <w:jc w:val="center"/>
                  </w:pPr>
                  <w:r>
                    <w:rPr>
                      <w:sz w:val="21"/>
                    </w:rPr>
                    <w:t>单轨段</w:t>
                  </w:r>
                </w:p>
                <w:p>
                  <w:pPr>
                    <w:jc w:val="center"/>
                  </w:pPr>
                  <w:r>
                    <w:rPr>
                      <w:sz w:val="21"/>
                    </w:rPr>
                    <w:t>滑门</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上下梁：</w:t>
                  </w:r>
                  <w:r>
                    <w:rPr>
                      <w:sz w:val="21"/>
                    </w:rPr>
                    <w:t>140*80*3.0</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米</w:t>
                  </w:r>
                </w:p>
              </w:tc>
              <w:tc>
                <w:tcPr>
                  <w:tcW w:type="dxa" w:w="573"/>
                  <w:tcBorders>
                    <w:top w:val="none" w:color="000000" w:sz="4"/>
                    <w:left w:val="single" w:color="000000" w:sz="4"/>
                    <w:bottom w:val="single" w:color="000000" w:sz="4"/>
                    <w:right w:val="single" w:color="000000" w:sz="4"/>
                  </w:tcBorders>
                  <w:vAlign w:val="top"/>
                </w:tcPr>
                <w:p>
                  <w:pPr>
                    <w:jc w:val="center"/>
                  </w:pPr>
                  <w:r>
                    <w:rPr>
                      <w:sz w:val="21"/>
                    </w:rPr>
                    <w:t>6.8</w:t>
                  </w:r>
                </w:p>
              </w:tc>
              <w:tc>
                <w:tcPr>
                  <w:tcW w:type="dxa" w:w="1927"/>
                  <w:tcBorders>
                    <w:top w:val="none" w:color="000000" w:sz="4"/>
                    <w:left w:val="single" w:color="000000" w:sz="4"/>
                    <w:bottom w:val="single" w:color="000000" w:sz="4"/>
                    <w:right w:val="single" w:color="000000" w:sz="4"/>
                  </w:tcBorders>
                  <w:vAlign w:val="top"/>
                </w:tcPr>
                <w:p>
                  <w:pPr>
                    <w:jc w:val="center"/>
                  </w:pPr>
                  <w:r>
                    <w:rPr>
                      <w:sz w:val="21"/>
                    </w:rPr>
                    <w:t>6.8分4段，缩合占地2.8米, 剩余4米通道</w:t>
                  </w:r>
                </w:p>
              </w:tc>
            </w:tr>
            <w:tr>
              <w:tc>
                <w:tcPr>
                  <w:tcW w:type="dxa" w:w="832"/>
                  <w:vMerge w:val="restart"/>
                  <w:tcBorders>
                    <w:top w:val="none" w:color="000000" w:sz="4"/>
                    <w:left w:val="single" w:color="000000" w:sz="4"/>
                    <w:bottom w:val="single" w:color="000000" w:sz="4"/>
                    <w:right w:val="single" w:color="000000" w:sz="4"/>
                  </w:tcBorders>
                  <w:vAlign w:val="top"/>
                </w:tcPr>
                <w:p>
                  <w:pPr>
                    <w:jc w:val="center"/>
                  </w:pPr>
                  <w:r>
                    <w:rPr>
                      <w:sz w:val="21"/>
                    </w:rPr>
                    <w:t>驱动系统及龙门架抗风装置</w:t>
                  </w:r>
                </w:p>
              </w:tc>
              <w:tc>
                <w:tcPr>
                  <w:tcW w:type="dxa" w:w="1870"/>
                  <w:tcBorders>
                    <w:top w:val="none" w:color="000000" w:sz="4"/>
                    <w:left w:val="single" w:color="000000" w:sz="4"/>
                    <w:bottom w:val="single" w:color="000000" w:sz="4"/>
                    <w:right w:val="single" w:color="000000" w:sz="4"/>
                  </w:tcBorders>
                  <w:vAlign w:val="top"/>
                </w:tcPr>
                <w:p>
                  <w:pPr>
                    <w:jc w:val="center"/>
                  </w:pPr>
                  <w:r>
                    <w:rPr>
                      <w:sz w:val="21"/>
                    </w:rPr>
                    <w:t>分段门单轨涡轮电机</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73"/>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27"/>
                  <w:tcBorders>
                    <w:top w:val="none" w:color="000000" w:sz="4"/>
                    <w:left w:val="single" w:color="000000" w:sz="4"/>
                    <w:bottom w:val="single" w:color="000000" w:sz="4"/>
                    <w:right w:val="single" w:color="000000" w:sz="4"/>
                  </w:tcBorders>
                  <w:vAlign w:val="top"/>
                </w:tcPr>
                <w:p>
                  <w:pPr>
                    <w:jc w:val="center"/>
                  </w:pPr>
                  <w:r>
                    <w:rPr>
                      <w:sz w:val="21"/>
                    </w:rPr>
                    <w:t>涡轮式</w:t>
                  </w:r>
                  <w:r>
                    <w:rPr>
                      <w:sz w:val="21"/>
                    </w:rPr>
                    <w:t>420W铜芯电机</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机械缓冲装置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运行缓冲系统</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电子软驱动装置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运行缓冲系统</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无触点控制系统</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运行控制系统</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磁敏感装置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运行导航系统</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热敏感保护装置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过热自动保护装置</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无档级离合装置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27"/>
                  <w:tcBorders>
                    <w:top w:val="none" w:color="000000" w:sz="4"/>
                    <w:left w:val="single" w:color="000000" w:sz="4"/>
                    <w:bottom w:val="single" w:color="000000" w:sz="4"/>
                    <w:right w:val="single" w:color="000000" w:sz="4"/>
                  </w:tcBorders>
                  <w:vAlign w:val="top"/>
                </w:tcPr>
                <w:p>
                  <w:pPr>
                    <w:jc w:val="center"/>
                  </w:pPr>
                  <w:r>
                    <w:rPr>
                      <w:sz w:val="21"/>
                    </w:rPr>
                    <w:t>离合器可调节手动推拉</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龙门架：分段表面高温氟碳粉末涂层</w:t>
                  </w:r>
                </w:p>
              </w:tc>
              <w:tc>
                <w:tcPr>
                  <w:tcW w:type="dxa" w:w="376"/>
                  <w:vMerge w:val="restart"/>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73"/>
                  <w:vMerge w:val="restart"/>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1"/>
                    </w:rPr>
                    <w:t>稳定门体，增加抗风力</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自主研发平衡轮</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1"/>
                    </w:rPr>
                    <w:t>POM棒（塑钢棒）材质</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分段连接件底板</w:t>
                  </w:r>
                </w:p>
              </w:tc>
              <w:tc>
                <w:tcPr>
                  <w:tcW w:type="dxa" w:w="376"/>
                  <w:vMerge/>
                  <w:tcBorders>
                    <w:top w:val="none" w:color="000000" w:sz="4"/>
                    <w:left w:val="single" w:color="000000" w:sz="4"/>
                    <w:bottom w:val="single" w:color="000000" w:sz="4"/>
                    <w:right w:val="single" w:color="000000" w:sz="4"/>
                  </w:tcBorders>
                </w:tcPr>
                <w:p/>
              </w:tc>
              <w:tc>
                <w:tcPr>
                  <w:tcW w:type="dxa" w:w="573"/>
                  <w:vMerge/>
                  <w:tcBorders>
                    <w:top w:val="none" w:color="000000" w:sz="4"/>
                    <w:left w:val="single" w:color="000000" w:sz="4"/>
                    <w:bottom w:val="single" w:color="000000" w:sz="4"/>
                    <w:right w:val="single" w:color="000000" w:sz="4"/>
                  </w:tcBorders>
                </w:tcP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1"/>
                    </w:rPr>
                    <w:t>镀锌钢超强度齿条</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智能传感防撞系统</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1"/>
                    </w:rPr>
                    <w:t>第</w:t>
                  </w:r>
                  <w:r>
                    <w:rPr>
                      <w:sz w:val="21"/>
                    </w:rPr>
                    <w:t>1重防护：防撞</w:t>
                  </w:r>
                </w:p>
              </w:tc>
            </w:tr>
            <w:tr>
              <w:tc>
                <w:tcPr>
                  <w:tcW w:type="dxa" w:w="832"/>
                  <w:vMerge/>
                  <w:tcBorders>
                    <w:top w:val="none" w:color="000000" w:sz="4"/>
                    <w:left w:val="single" w:color="000000" w:sz="4"/>
                    <w:bottom w:val="single" w:color="000000" w:sz="4"/>
                    <w:right w:val="single" w:color="000000" w:sz="4"/>
                  </w:tcBorders>
                </w:tcPr>
                <w:p/>
              </w:tc>
              <w:tc>
                <w:tcPr>
                  <w:tcW w:type="dxa" w:w="1870"/>
                  <w:tcBorders>
                    <w:top w:val="none" w:color="000000" w:sz="4"/>
                    <w:left w:val="single" w:color="000000" w:sz="4"/>
                    <w:bottom w:val="single" w:color="000000" w:sz="4"/>
                    <w:right w:val="single" w:color="000000" w:sz="4"/>
                  </w:tcBorders>
                  <w:vAlign w:val="top"/>
                </w:tcPr>
                <w:p>
                  <w:pPr>
                    <w:jc w:val="center"/>
                  </w:pPr>
                  <w:r>
                    <w:rPr>
                      <w:sz w:val="21"/>
                    </w:rPr>
                    <w:t>红外线防爬警报系统</w:t>
                  </w:r>
                </w:p>
              </w:tc>
              <w:tc>
                <w:tcPr>
                  <w:tcW w:type="dxa" w:w="376"/>
                  <w:tcBorders>
                    <w:top w:val="none" w:color="000000" w:sz="4"/>
                    <w:left w:val="single" w:color="000000" w:sz="4"/>
                    <w:bottom w:val="single" w:color="000000" w:sz="4"/>
                    <w:right w:val="single" w:color="000000" w:sz="4"/>
                  </w:tcBorders>
                  <w:vAlign w:val="top"/>
                </w:tcPr>
                <w:p>
                  <w:pPr>
                    <w:jc w:val="center"/>
                  </w:pPr>
                  <w:r>
                    <w:rPr>
                      <w:sz w:val="21"/>
                    </w:rPr>
                    <w:t>套</w:t>
                  </w:r>
                </w:p>
              </w:tc>
              <w:tc>
                <w:tcPr>
                  <w:tcW w:type="dxa" w:w="57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944"/>
                  <w:gridSpan w:val="2"/>
                  <w:tcBorders>
                    <w:top w:val="none" w:color="000000" w:sz="4"/>
                    <w:left w:val="single" w:color="000000" w:sz="4"/>
                    <w:bottom w:val="single" w:color="000000" w:sz="4"/>
                    <w:right w:val="single" w:color="000000" w:sz="4"/>
                  </w:tcBorders>
                  <w:vAlign w:val="top"/>
                </w:tcPr>
                <w:p>
                  <w:pPr>
                    <w:jc w:val="center"/>
                  </w:pPr>
                  <w:r>
                    <w:rPr>
                      <w:sz w:val="21"/>
                    </w:rPr>
                    <w:t>第</w:t>
                  </w:r>
                  <w:r>
                    <w:rPr>
                      <w:sz w:val="21"/>
                    </w:rPr>
                    <w:t>2重防护：防爬安全</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772"/>
              <w:gridCol w:w="737"/>
              <w:gridCol w:w="677"/>
              <w:gridCol w:w="677"/>
              <w:gridCol w:w="677"/>
              <w:gridCol w:w="677"/>
              <w:gridCol w:w="680"/>
              <w:gridCol w:w="700"/>
            </w:tblGrid>
            <w:tr>
              <w:tc>
                <w:tcPr>
                  <w:tcW w:type="dxa" w:w="5597"/>
                  <w:gridSpan w:val="8"/>
                  <w:tcBorders>
                    <w:top w:val="single" w:color="000000" w:sz="4"/>
                    <w:left w:val="single" w:color="000000" w:sz="4"/>
                    <w:bottom w:val="single" w:color="000000" w:sz="4"/>
                    <w:right w:val="single" w:color="000000" w:sz="4"/>
                  </w:tcBorders>
                  <w:vAlign w:val="top"/>
                </w:tcPr>
                <w:p>
                  <w:pPr>
                    <w:jc w:val="center"/>
                  </w:pPr>
                  <w:r>
                    <w:rPr>
                      <w:sz w:val="21"/>
                    </w:rPr>
                    <w:t>门尾固定柱中安装计算表格（单位：</w:t>
                  </w:r>
                  <w:r>
                    <w:rPr>
                      <w:sz w:val="21"/>
                    </w:rPr>
                    <w:t>mm）</w:t>
                  </w: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门口总长（见光）</w:t>
                  </w:r>
                </w:p>
              </w:tc>
              <w:tc>
                <w:tcPr>
                  <w:tcW w:type="dxa" w:w="737"/>
                  <w:tcBorders>
                    <w:top w:val="single" w:color="000000" w:sz="4"/>
                    <w:left w:val="single" w:color="000000" w:sz="4"/>
                    <w:bottom w:val="single" w:color="000000" w:sz="4"/>
                    <w:right w:val="single" w:color="000000" w:sz="4"/>
                  </w:tcBorders>
                  <w:vAlign w:val="top"/>
                </w:tcPr>
                <w:p>
                  <w:pPr>
                    <w:jc w:val="center"/>
                  </w:pPr>
                  <w:r>
                    <w:rPr>
                      <w:sz w:val="21"/>
                    </w:rPr>
                    <w:t>门体总长</w:t>
                  </w:r>
                </w:p>
              </w:tc>
              <w:tc>
                <w:tcPr>
                  <w:tcW w:type="dxa" w:w="677"/>
                  <w:tcBorders>
                    <w:top w:val="single" w:color="000000" w:sz="4"/>
                    <w:left w:val="single" w:color="000000" w:sz="4"/>
                    <w:bottom w:val="single" w:color="000000" w:sz="4"/>
                    <w:right w:val="single" w:color="000000" w:sz="4"/>
                  </w:tcBorders>
                  <w:vAlign w:val="top"/>
                </w:tcPr>
                <w:p>
                  <w:pPr>
                    <w:jc w:val="center"/>
                  </w:pPr>
                  <w:r>
                    <w:rPr>
                      <w:sz w:val="21"/>
                    </w:rPr>
                    <w:t>段数</w:t>
                  </w:r>
                </w:p>
              </w:tc>
              <w:tc>
                <w:tcPr>
                  <w:tcW w:type="dxa" w:w="677"/>
                  <w:tcBorders>
                    <w:top w:val="single" w:color="000000" w:sz="4"/>
                    <w:left w:val="single" w:color="000000" w:sz="4"/>
                    <w:bottom w:val="single" w:color="000000" w:sz="4"/>
                    <w:right w:val="single" w:color="000000" w:sz="4"/>
                  </w:tcBorders>
                  <w:vAlign w:val="top"/>
                </w:tcPr>
                <w:p>
                  <w:pPr>
                    <w:jc w:val="center"/>
                  </w:pPr>
                  <w:r>
                    <w:rPr>
                      <w:sz w:val="21"/>
                    </w:rPr>
                    <w:t>手段长度</w:t>
                  </w:r>
                </w:p>
              </w:tc>
              <w:tc>
                <w:tcPr>
                  <w:tcW w:type="dxa" w:w="677"/>
                  <w:tcBorders>
                    <w:top w:val="single" w:color="000000" w:sz="4"/>
                    <w:left w:val="single" w:color="000000" w:sz="4"/>
                    <w:bottom w:val="single" w:color="000000" w:sz="4"/>
                    <w:right w:val="single" w:color="000000" w:sz="4"/>
                  </w:tcBorders>
                  <w:vAlign w:val="top"/>
                </w:tcPr>
                <w:p>
                  <w:pPr>
                    <w:jc w:val="center"/>
                  </w:pPr>
                  <w:r>
                    <w:rPr>
                      <w:sz w:val="21"/>
                    </w:rPr>
                    <w:t>门排长度</w:t>
                  </w:r>
                </w:p>
              </w:tc>
              <w:tc>
                <w:tcPr>
                  <w:tcW w:type="dxa" w:w="677"/>
                  <w:tcBorders>
                    <w:top w:val="single" w:color="000000" w:sz="4"/>
                    <w:left w:val="single" w:color="000000" w:sz="4"/>
                    <w:bottom w:val="single" w:color="000000" w:sz="4"/>
                    <w:right w:val="single" w:color="000000" w:sz="4"/>
                  </w:tcBorders>
                  <w:vAlign w:val="top"/>
                </w:tcPr>
                <w:p>
                  <w:pPr>
                    <w:jc w:val="center"/>
                  </w:pPr>
                  <w:r>
                    <w:rPr>
                      <w:sz w:val="21"/>
                    </w:rPr>
                    <w:t>缩合后长度</w:t>
                  </w:r>
                </w:p>
              </w:tc>
              <w:tc>
                <w:tcPr>
                  <w:tcW w:type="dxa" w:w="680"/>
                  <w:tcBorders>
                    <w:top w:val="single" w:color="000000" w:sz="4"/>
                    <w:left w:val="single" w:color="000000" w:sz="4"/>
                    <w:bottom w:val="single" w:color="000000" w:sz="4"/>
                    <w:right w:val="single" w:color="000000" w:sz="4"/>
                  </w:tcBorders>
                  <w:vAlign w:val="top"/>
                </w:tcPr>
                <w:p>
                  <w:pPr>
                    <w:jc w:val="center"/>
                  </w:pPr>
                  <w:r>
                    <w:rPr>
                      <w:sz w:val="21"/>
                    </w:rPr>
                    <w:t>轨道长度</w:t>
                  </w:r>
                </w:p>
              </w:tc>
              <w:tc>
                <w:tcPr>
                  <w:tcW w:type="dxa" w:w="700"/>
                  <w:tcBorders>
                    <w:top w:val="single" w:color="000000" w:sz="4"/>
                    <w:left w:val="single" w:color="000000" w:sz="4"/>
                    <w:bottom w:val="single" w:color="000000" w:sz="4"/>
                    <w:right w:val="single" w:color="000000" w:sz="4"/>
                  </w:tcBorders>
                  <w:vAlign w:val="top"/>
                </w:tcPr>
                <w:p>
                  <w:pPr>
                    <w:jc w:val="center"/>
                  </w:pPr>
                  <w:r>
                    <w:rPr>
                      <w:sz w:val="21"/>
                    </w:rPr>
                    <w:t>净空通道</w:t>
                  </w:r>
                </w:p>
              </w:tc>
            </w:tr>
            <w:tr>
              <w:tc>
                <w:tcPr>
                  <w:tcW w:type="dxa" w:w="772"/>
                  <w:tcBorders>
                    <w:top w:val="none" w:color="000000" w:sz="4"/>
                    <w:left w:val="single" w:color="000000" w:sz="4"/>
                    <w:bottom w:val="single" w:color="000000" w:sz="4"/>
                    <w:right w:val="single" w:color="000000" w:sz="4"/>
                  </w:tcBorders>
                  <w:vAlign w:val="top"/>
                </w:tcPr>
                <w:p>
                  <w:pPr>
                    <w:jc w:val="center"/>
                  </w:pPr>
                  <w:r>
                    <w:rPr>
                      <w:sz w:val="21"/>
                    </w:rPr>
                    <w:t>6800</w:t>
                  </w:r>
                </w:p>
              </w:tc>
              <w:tc>
                <w:tcPr>
                  <w:tcW w:type="dxa" w:w="737"/>
                  <w:tcBorders>
                    <w:top w:val="none" w:color="000000" w:sz="4"/>
                    <w:left w:val="single" w:color="000000" w:sz="4"/>
                    <w:bottom w:val="single" w:color="000000" w:sz="4"/>
                    <w:right w:val="single" w:color="000000" w:sz="4"/>
                  </w:tcBorders>
                  <w:vAlign w:val="top"/>
                </w:tcPr>
                <w:p>
                  <w:pPr>
                    <w:jc w:val="center"/>
                  </w:pPr>
                  <w:r>
                    <w:rPr>
                      <w:sz w:val="21"/>
                    </w:rPr>
                    <w:t>6800</w:t>
                  </w:r>
                </w:p>
              </w:tc>
              <w:tc>
                <w:tcPr>
                  <w:tcW w:type="dxa" w:w="67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677"/>
                  <w:tcBorders>
                    <w:top w:val="none" w:color="000000" w:sz="4"/>
                    <w:left w:val="single" w:color="000000" w:sz="4"/>
                    <w:bottom w:val="single" w:color="000000" w:sz="4"/>
                    <w:right w:val="single" w:color="000000" w:sz="4"/>
                  </w:tcBorders>
                  <w:vAlign w:val="top"/>
                </w:tcPr>
                <w:p>
                  <w:pPr>
                    <w:jc w:val="center"/>
                  </w:pPr>
                  <w:r>
                    <w:rPr>
                      <w:sz w:val="21"/>
                    </w:rPr>
                    <w:t>2135</w:t>
                  </w:r>
                </w:p>
              </w:tc>
              <w:tc>
                <w:tcPr>
                  <w:tcW w:type="dxa" w:w="677"/>
                  <w:tcBorders>
                    <w:top w:val="none" w:color="000000" w:sz="4"/>
                    <w:left w:val="single" w:color="000000" w:sz="4"/>
                    <w:bottom w:val="single" w:color="000000" w:sz="4"/>
                    <w:right w:val="single" w:color="000000" w:sz="4"/>
                  </w:tcBorders>
                  <w:vAlign w:val="top"/>
                </w:tcPr>
                <w:p>
                  <w:pPr>
                    <w:jc w:val="center"/>
                  </w:pPr>
                  <w:r>
                    <w:rPr>
                      <w:sz w:val="21"/>
                    </w:rPr>
                    <w:t>1765</w:t>
                  </w:r>
                </w:p>
              </w:tc>
              <w:tc>
                <w:tcPr>
                  <w:tcW w:type="dxa" w:w="677"/>
                  <w:tcBorders>
                    <w:top w:val="none" w:color="000000" w:sz="4"/>
                    <w:left w:val="single" w:color="000000" w:sz="4"/>
                    <w:bottom w:val="single" w:color="000000" w:sz="4"/>
                    <w:right w:val="single" w:color="000000" w:sz="4"/>
                  </w:tcBorders>
                  <w:vAlign w:val="top"/>
                </w:tcPr>
                <w:p>
                  <w:pPr>
                    <w:jc w:val="center"/>
                  </w:pPr>
                  <w:r>
                    <w:rPr>
                      <w:sz w:val="21"/>
                    </w:rPr>
                    <w:t>2795</w:t>
                  </w:r>
                </w:p>
              </w:tc>
              <w:tc>
                <w:tcPr>
                  <w:tcW w:type="dxa" w:w="680"/>
                  <w:tcBorders>
                    <w:top w:val="none" w:color="000000" w:sz="4"/>
                    <w:left w:val="single" w:color="000000" w:sz="4"/>
                    <w:bottom w:val="single" w:color="000000" w:sz="4"/>
                    <w:right w:val="single" w:color="000000" w:sz="4"/>
                  </w:tcBorders>
                  <w:vAlign w:val="top"/>
                </w:tcPr>
                <w:p>
                  <w:pPr>
                    <w:jc w:val="center"/>
                  </w:pPr>
                  <w:r>
                    <w:rPr>
                      <w:sz w:val="21"/>
                    </w:rPr>
                    <w:t>6800</w:t>
                  </w:r>
                </w:p>
              </w:tc>
              <w:tc>
                <w:tcPr>
                  <w:tcW w:type="dxa" w:w="700"/>
                  <w:tcBorders>
                    <w:top w:val="none" w:color="000000" w:sz="4"/>
                    <w:left w:val="single" w:color="000000" w:sz="4"/>
                    <w:bottom w:val="single" w:color="000000" w:sz="4"/>
                    <w:right w:val="single" w:color="000000" w:sz="4"/>
                  </w:tcBorders>
                  <w:vAlign w:val="top"/>
                </w:tcPr>
                <w:p>
                  <w:pPr>
                    <w:jc w:val="center"/>
                  </w:pPr>
                  <w:r>
                    <w:rPr>
                      <w:sz w:val="21"/>
                    </w:rPr>
                    <w:t>4005</w:t>
                  </w:r>
                </w:p>
              </w:tc>
            </w:tr>
          </w:tbl>
          <w:p>
            <w:r>
              <w:rPr/>
              <w:t xml:space="preserve"> </w:t>
            </w:r>
          </w:p>
          <w:p>
            <w:r>
              <w:rPr/>
              <w:t xml:space="preserve"> </w:t>
            </w:r>
            <w:r>
              <w:rPr>
                <w:sz w:val="21"/>
              </w:rPr>
              <w:t>2</w:t>
            </w:r>
            <w:r>
              <w:rPr>
                <w:sz w:val="21"/>
              </w:rPr>
              <w:t>、驱动系统技术参数：</w:t>
            </w:r>
          </w:p>
          <w:tbl>
            <w:tblPr>
              <w:tblBorders>
                <w:top w:val="none" w:color="000000" w:sz="4"/>
                <w:left w:val="none" w:color="000000" w:sz="4"/>
                <w:bottom w:val="none" w:color="000000" w:sz="4"/>
                <w:right w:val="none" w:color="000000" w:sz="4"/>
                <w:insideH w:val="none"/>
                <w:insideV w:val="none"/>
              </w:tblBorders>
            </w:tblPr>
            <w:tblGrid>
              <w:gridCol w:w="1469"/>
              <w:gridCol w:w="73"/>
              <w:gridCol w:w="2026"/>
              <w:gridCol w:w="2026"/>
              <w:gridCol w:w="3"/>
            </w:tblGrid>
            <w:tr>
              <w:tc>
                <w:tcPr>
                  <w:tcW w:type="dxa" w:w="1542"/>
                  <w:gridSpan w:val="2"/>
                  <w:tcBorders>
                    <w:top w:val="single" w:color="000000" w:sz="8"/>
                    <w:left w:val="single" w:color="000000" w:sz="8"/>
                    <w:bottom w:val="single" w:color="000000" w:sz="4"/>
                    <w:right w:val="single" w:color="000000" w:sz="4"/>
                  </w:tcBorders>
                  <w:vAlign w:val="top"/>
                </w:tcPr>
                <w:p>
                  <w:pPr>
                    <w:jc w:val="center"/>
                  </w:pPr>
                  <w:r>
                    <w:rPr>
                      <w:sz w:val="21"/>
                    </w:rPr>
                    <w:t>电源</w:t>
                  </w:r>
                </w:p>
              </w:tc>
              <w:tc>
                <w:tcPr>
                  <w:tcW w:type="dxa" w:w="4052"/>
                  <w:gridSpan w:val="2"/>
                  <w:tcBorders>
                    <w:top w:val="single" w:color="000000" w:sz="8"/>
                    <w:left w:val="single" w:color="000000" w:sz="4"/>
                    <w:bottom w:val="single" w:color="000000" w:sz="4"/>
                    <w:right w:val="single" w:color="000000" w:sz="8"/>
                  </w:tcBorders>
                  <w:vAlign w:val="top"/>
                </w:tcPr>
                <w:p>
                  <w:pPr>
                    <w:jc w:val="center"/>
                  </w:pPr>
                  <w:r>
                    <w:rPr>
                      <w:sz w:val="21"/>
                    </w:rPr>
                    <w:t>AC220V／50Hz</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额定输入功率</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370-420</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环境温度</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w:t>
                  </w:r>
                  <w:r>
                    <w:rPr>
                      <w:sz w:val="21"/>
                    </w:rPr>
                    <w:t>35℃～＋55℃</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空气相对湿度</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≤90</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控制电压</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12Vdc</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绝缘等级</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B级</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输出转速</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50 rpm</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牵引速度</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10M/分</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牵引极限</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≤1500KG</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输出扭矩</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62.0Nm</w:t>
                  </w:r>
                </w:p>
              </w:tc>
            </w:tr>
            <w:tr>
              <w:tc>
                <w:tcPr>
                  <w:tcW w:type="dxa" w:w="1542"/>
                  <w:gridSpan w:val="2"/>
                  <w:tcBorders>
                    <w:top w:val="single" w:color="000000" w:sz="4"/>
                    <w:left w:val="single" w:color="000000" w:sz="8"/>
                    <w:bottom w:val="single" w:color="000000" w:sz="4"/>
                    <w:right w:val="single" w:color="000000" w:sz="4"/>
                  </w:tcBorders>
                  <w:vAlign w:val="top"/>
                </w:tcPr>
                <w:p>
                  <w:pPr>
                    <w:jc w:val="center"/>
                  </w:pPr>
                  <w:r>
                    <w:rPr>
                      <w:sz w:val="21"/>
                    </w:rPr>
                    <w:t>输出链轮</w:t>
                  </w:r>
                </w:p>
              </w:tc>
              <w:tc>
                <w:tcPr>
                  <w:tcW w:type="dxa" w:w="4052"/>
                  <w:gridSpan w:val="2"/>
                  <w:tcBorders>
                    <w:top w:val="single" w:color="000000" w:sz="4"/>
                    <w:left w:val="single" w:color="000000" w:sz="4"/>
                    <w:bottom w:val="single" w:color="000000" w:sz="4"/>
                    <w:right w:val="single" w:color="000000" w:sz="8"/>
                  </w:tcBorders>
                  <w:vAlign w:val="top"/>
                </w:tcPr>
                <w:p>
                  <w:pPr>
                    <w:jc w:val="center"/>
                  </w:pPr>
                  <w:r>
                    <w:rPr>
                      <w:sz w:val="21"/>
                    </w:rPr>
                    <w:t>5分链12齿</w:t>
                  </w:r>
                </w:p>
              </w:tc>
            </w:tr>
            <w:tr>
              <w:tc>
                <w:tcPr>
                  <w:tcW w:type="dxa" w:w="5597"/>
                  <w:gridSpan w:val="5"/>
                  <w:tcBorders>
                    <w:top w:val="single" w:color="000000" w:sz="4"/>
                    <w:left w:val="single" w:color="000000" w:sz="4"/>
                    <w:bottom w:val="single" w:color="000000" w:sz="4"/>
                    <w:right w:val="single" w:color="000000" w:sz="4"/>
                  </w:tcBorders>
                  <w:vAlign w:val="top"/>
                </w:tcPr>
                <w:p>
                  <w:pPr>
                    <w:jc w:val="center"/>
                  </w:pPr>
                  <w:r>
                    <w:rPr>
                      <w:sz w:val="21"/>
                    </w:rPr>
                    <w:t>电机参数配置表</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正反面显示屏：</w:t>
                  </w:r>
                </w:p>
              </w:tc>
              <w:tc>
                <w:tcPr>
                  <w:tcW w:type="dxa" w:w="4128"/>
                  <w:gridSpan w:val="4"/>
                  <w:tcBorders>
                    <w:top w:val="single" w:color="000000" w:sz="4"/>
                    <w:left w:val="single" w:color="000000" w:sz="4"/>
                    <w:bottom w:val="single" w:color="000000" w:sz="4"/>
                    <w:right w:val="single" w:color="000000" w:sz="4"/>
                  </w:tcBorders>
                  <w:vAlign w:val="top"/>
                </w:tcPr>
                <w:p>
                  <w:pPr>
                    <w:jc w:val="center"/>
                  </w:pPr>
                  <w:r>
                    <w:rPr>
                      <w:sz w:val="21"/>
                    </w:rPr>
                    <w:t>LED固定：显示出入平安</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驱动配置差别</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高配</w:t>
                  </w:r>
                </w:p>
              </w:tc>
              <w:tc>
                <w:tcPr>
                  <w:tcW w:type="dxa" w:w="2029"/>
                  <w:gridSpan w:val="2"/>
                  <w:tcBorders>
                    <w:top w:val="single" w:color="000000" w:sz="4"/>
                    <w:left w:val="none" w:color="000000" w:sz="4"/>
                    <w:bottom w:val="single" w:color="000000" w:sz="4"/>
                    <w:right w:val="single" w:color="000000" w:sz="4"/>
                  </w:tcBorders>
                  <w:vAlign w:val="top"/>
                </w:tcPr>
                <w:p>
                  <w:pPr>
                    <w:jc w:val="center"/>
                  </w:pPr>
                  <w:r>
                    <w:rPr>
                      <w:sz w:val="21"/>
                    </w:rPr>
                    <w:t>注解</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涡轮电机</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涡轮式铜芯电机</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零点介入装置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启动涡轮介入</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370W功率驱动</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伸缩门国标功率</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420W功率驱动</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伸缩门国标大功率</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650W功率驱动</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电子缓冲装置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运行缓冲系统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电子软驱动装置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运行缓冲系统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质保</w:t>
                  </w:r>
                  <w:r>
                    <w:rPr>
                      <w:sz w:val="21"/>
                    </w:rPr>
                    <w:t>1年</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质保年限</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质保</w:t>
                  </w:r>
                  <w:r>
                    <w:rPr>
                      <w:sz w:val="21"/>
                    </w:rPr>
                    <w:t>3年</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质保年限</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质保</w:t>
                  </w:r>
                  <w:r>
                    <w:rPr>
                      <w:sz w:val="21"/>
                    </w:rPr>
                    <w:t>5年</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质保年限</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无触点控制系统</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运行控制系统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磁敏感装置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运行导航系统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红外防撞装置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红外感应智能防撞系统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三分铸铁底板</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伸缩门专用底板</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十分铸铁底板</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伸缩门加厚底板</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十分不锈钢底板</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伸缩门特殊定制加厚底板</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热敏感保护装置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过热自动保护装置</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无档级装置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可调自动与手动装置</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零下</w:t>
                  </w:r>
                  <w:r>
                    <w:rPr>
                      <w:sz w:val="21"/>
                    </w:rPr>
                    <w:t>30度防冻油</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伸缩门齿轮防冻油</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普通防冻油</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伸缩门齿轮防冻油</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普通固定显示屏</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伸缩门显示屏</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七彩固定显示屏</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伸缩门显示屏</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七彩</w:t>
                  </w:r>
                  <w:r>
                    <w:rPr>
                      <w:sz w:val="21"/>
                    </w:rPr>
                    <w:t>LED显示屏</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伸缩门显示屏</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路轨、安装材料</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感应磁铁、感应磁棒</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抗阻力装置</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运行抗阻系统</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智能控制箱</w:t>
                  </w:r>
                </w:p>
              </w:tc>
              <w:tc>
                <w:tcPr>
                  <w:tcW w:type="dxa" w:w="2099"/>
                  <w:gridSpan w:val="2"/>
                  <w:tcBorders>
                    <w:top w:val="none" w:color="000000" w:sz="4"/>
                    <w:left w:val="none" w:color="000000" w:sz="4"/>
                    <w:bottom w:val="single" w:color="000000" w:sz="4"/>
                    <w:right w:val="single" w:color="000000" w:sz="4"/>
                  </w:tcBorders>
                  <w:vAlign w:val="top"/>
                </w:tcPr>
                <w:p>
                  <w:pPr>
                    <w:jc w:val="center"/>
                  </w:pPr>
                  <w:r>
                    <w:rPr>
                      <w:sz w:val="21"/>
                    </w:rPr>
                    <w:t>√</w:t>
                  </w: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第六代智能驱动控制箱</w:t>
                  </w:r>
                </w:p>
              </w:tc>
            </w:tr>
            <w:tr>
              <w:tc>
                <w:tcPr>
                  <w:tcW w:type="dxa" w:w="1469"/>
                  <w:tcBorders>
                    <w:top w:val="none" w:color="000000" w:sz="4"/>
                    <w:left w:val="single" w:color="000000" w:sz="4"/>
                    <w:bottom w:val="single" w:color="000000" w:sz="4"/>
                    <w:right w:val="single" w:color="000000" w:sz="4"/>
                  </w:tcBorders>
                  <w:vAlign w:val="top"/>
                </w:tcPr>
                <w:p>
                  <w:pPr>
                    <w:jc w:val="center"/>
                  </w:pPr>
                  <w:r>
                    <w:rPr>
                      <w:sz w:val="21"/>
                    </w:rPr>
                    <w:t>智能控制箱</w:t>
                  </w:r>
                </w:p>
              </w:tc>
              <w:tc>
                <w:tcPr>
                  <w:tcW w:type="dxa" w:w="2099"/>
                  <w:gridSpan w:val="2"/>
                  <w:tcBorders>
                    <w:top w:val="none" w:color="000000" w:sz="4"/>
                    <w:left w:val="none" w:color="000000" w:sz="4"/>
                    <w:bottom w:val="single" w:color="000000" w:sz="4"/>
                    <w:right w:val="single" w:color="000000" w:sz="4"/>
                  </w:tcBorders>
                  <w:vAlign w:val="top"/>
                </w:tcPr>
                <w:p>
                  <w:pPr>
                    <w:jc w:val="center"/>
                  </w:pPr>
                </w:p>
              </w:tc>
              <w:tc>
                <w:tcPr>
                  <w:tcW w:type="dxa" w:w="2029"/>
                  <w:gridSpan w:val="2"/>
                  <w:tcBorders>
                    <w:top w:val="none" w:color="000000" w:sz="4"/>
                    <w:left w:val="none" w:color="000000" w:sz="4"/>
                    <w:bottom w:val="single" w:color="000000" w:sz="4"/>
                    <w:right w:val="single" w:color="000000" w:sz="4"/>
                  </w:tcBorders>
                  <w:vAlign w:val="top"/>
                </w:tcPr>
                <w:p>
                  <w:pPr>
                    <w:jc w:val="center"/>
                  </w:pPr>
                  <w:r>
                    <w:rPr>
                      <w:sz w:val="21"/>
                    </w:rPr>
                    <w:t>第五代智能驱动控制箱</w:t>
                  </w:r>
                </w:p>
              </w:tc>
            </w:tr>
          </w:tbl>
          <w:p>
            <w:r>
              <w:rPr/>
              <w:t xml:space="preserve"> </w:t>
            </w:r>
          </w:p>
          <w:p>
            <w:pPr>
              <w:jc w:val="left"/>
            </w:pPr>
            <w:r>
              <w:rPr>
                <w:sz w:val="21"/>
              </w:rPr>
              <w:t>（</w:t>
            </w:r>
            <w:r>
              <w:rPr>
                <w:sz w:val="21"/>
              </w:rPr>
              <w:t>六</w:t>
            </w:r>
            <w:r>
              <w:rPr>
                <w:sz w:val="21"/>
              </w:rPr>
              <w:t>）铁丝网围墙更换及坡地平整加固</w:t>
            </w:r>
          </w:p>
          <w:p>
            <w:pPr>
              <w:jc w:val="left"/>
            </w:pPr>
            <w:r>
              <w:rPr>
                <w:sz w:val="21"/>
              </w:rPr>
              <w:t>1、训练场山坡上受损铁丝网围墙更换</w:t>
            </w:r>
          </w:p>
          <w:p>
            <w:pPr>
              <w:jc w:val="left"/>
            </w:pPr>
            <w:r>
              <w:rPr>
                <w:sz w:val="21"/>
              </w:rPr>
              <w:t>对训练场河道一侧山坡上受损的长约</w:t>
            </w:r>
            <w:r>
              <w:rPr>
                <w:sz w:val="21"/>
              </w:rPr>
              <w:t>160米铁丝网围墙用4离线径漆网更换。</w:t>
            </w:r>
          </w:p>
          <w:p>
            <w:pPr>
              <w:jc w:val="left"/>
            </w:pPr>
            <w:r>
              <w:rPr>
                <w:sz w:val="21"/>
              </w:rPr>
              <w:t>修复部分：对倒下的立柱进行做地基处理，更换</w:t>
            </w:r>
            <w:r>
              <w:rPr>
                <w:sz w:val="21"/>
              </w:rPr>
              <w:t>2.5寸加厚立柱加固。</w:t>
            </w:r>
          </w:p>
          <w:p>
            <w:pPr>
              <w:jc w:val="left"/>
            </w:pPr>
            <w:r>
              <w:rPr>
                <w:sz w:val="21"/>
              </w:rPr>
              <w:t>2、坡地平整加固</w:t>
            </w:r>
          </w:p>
          <w:p>
            <w:pPr>
              <w:jc w:val="left"/>
            </w:pPr>
            <w:r>
              <w:rPr>
                <w:sz w:val="21"/>
              </w:rPr>
              <w:t>有</w:t>
            </w:r>
            <w:r>
              <w:rPr>
                <w:sz w:val="21"/>
              </w:rPr>
              <w:t>200平方米坡地需用挖掘机进行杂草铲除平整（铁丝网两侧各1.5米），再利用混凝土进行加固。</w:t>
            </w:r>
          </w:p>
          <w:p>
            <w:pPr>
              <w:jc w:val="left"/>
            </w:pPr>
            <w:r>
              <w:rPr>
                <w:sz w:val="21"/>
              </w:rPr>
              <w:t>（</w:t>
            </w:r>
            <w:r>
              <w:rPr>
                <w:sz w:val="21"/>
              </w:rPr>
              <w:t>七</w:t>
            </w:r>
            <w:r>
              <w:rPr>
                <w:sz w:val="21"/>
              </w:rPr>
              <w:t>）门窗修复及更换</w:t>
            </w:r>
          </w:p>
          <w:p>
            <w:pPr>
              <w:jc w:val="left"/>
            </w:pPr>
            <w:r>
              <w:rPr>
                <w:sz w:val="21"/>
              </w:rPr>
              <w:t>对行政楼、食堂一楼的</w:t>
            </w:r>
            <w:r>
              <w:rPr>
                <w:sz w:val="21"/>
              </w:rPr>
              <w:t>4个大门进行加固，制作挡风板共19块，采用国标色板，厚度12cm，配螺丝固定，规格为2350cm*1480cm。</w:t>
            </w:r>
          </w:p>
          <w:p>
            <w:pPr>
              <w:jc w:val="left"/>
            </w:pPr>
            <w:r>
              <w:rPr>
                <w:sz w:val="21"/>
              </w:rPr>
              <w:t>（</w:t>
            </w:r>
            <w:r>
              <w:rPr>
                <w:sz w:val="21"/>
              </w:rPr>
              <w:t>八</w:t>
            </w:r>
            <w:r>
              <w:rPr>
                <w:sz w:val="21"/>
              </w:rPr>
              <w:t>）吊顶修复</w:t>
            </w:r>
          </w:p>
          <w:p>
            <w:pPr>
              <w:jc w:val="left"/>
            </w:pPr>
            <w:r>
              <w:rPr>
                <w:sz w:val="21"/>
              </w:rPr>
              <w:t>对教学楼一楼、三楼卫生间等房间被吹坏的吊顶进行修复，面积约</w:t>
            </w:r>
            <w:r>
              <w:rPr>
                <w:sz w:val="21"/>
              </w:rPr>
              <w:t>60㎡。对于脱落的吊顶恢复原状，对于破坏受损的进行更换，表面修补后再进行涂层修补，重置线路后再进行结构和防水修补。</w:t>
            </w:r>
          </w:p>
          <w:p>
            <w:pPr>
              <w:jc w:val="left"/>
            </w:pPr>
            <w:r>
              <w:rPr>
                <w:sz w:val="21"/>
              </w:rPr>
              <w:t>（</w:t>
            </w:r>
            <w:r>
              <w:rPr>
                <w:sz w:val="21"/>
              </w:rPr>
              <w:t>九</w:t>
            </w:r>
            <w:r>
              <w:rPr>
                <w:sz w:val="21"/>
              </w:rPr>
              <w:t>）排水管道更换</w:t>
            </w:r>
          </w:p>
          <w:p>
            <w:pPr>
              <w:jc w:val="left"/>
            </w:pPr>
            <w:r>
              <w:rPr>
                <w:sz w:val="21"/>
              </w:rPr>
              <w:t xml:space="preserve"> </w:t>
            </w:r>
            <w:r>
              <w:rPr>
                <w:sz w:val="21"/>
              </w:rPr>
              <w:t>主要对行政教学楼</w:t>
            </w:r>
            <w:r>
              <w:rPr>
                <w:sz w:val="21"/>
              </w:rPr>
              <w:t>1至5楼洗手间受损的10个排水管和阳台堵塞污水管疏通。先将受损排水沟和污水管进行疏通和拆除，再安置新管。（新管采用联塑50管，长1.5米，共10根）</w:t>
            </w:r>
          </w:p>
          <w:p>
            <w:pPr>
              <w:jc w:val="left"/>
            </w:pPr>
            <w:r>
              <w:rPr>
                <w:sz w:val="21"/>
              </w:rPr>
              <w:t>（</w:t>
            </w:r>
            <w:r>
              <w:rPr>
                <w:sz w:val="21"/>
              </w:rPr>
              <w:t>十</w:t>
            </w:r>
            <w:r>
              <w:rPr>
                <w:sz w:val="21"/>
              </w:rPr>
              <w:t>）污水口出口疏通改造</w:t>
            </w:r>
          </w:p>
          <w:p>
            <w:pPr>
              <w:jc w:val="left"/>
            </w:pPr>
            <w:r>
              <w:rPr>
                <w:sz w:val="21"/>
              </w:rPr>
              <w:t>行政楼</w:t>
            </w:r>
            <w:r>
              <w:rPr>
                <w:sz w:val="21"/>
              </w:rPr>
              <w:t>5楼阳台的1个污水口出口疏通改造。在断电断水后清理污水管道口周围的杂物，选择适当的疏通器，根据堵塞情况将疏通器插入管道，根据需要上下移动或旋转操作，以疏通堵塞物。</w:t>
            </w:r>
          </w:p>
          <w:p>
            <w:pPr>
              <w:jc w:val="left"/>
            </w:pPr>
            <w:r>
              <w:rPr>
                <w:sz w:val="21"/>
              </w:rPr>
              <w:t>（十</w:t>
            </w:r>
            <w:r>
              <w:rPr>
                <w:sz w:val="21"/>
              </w:rPr>
              <w:t>一</w:t>
            </w:r>
            <w:r>
              <w:rPr>
                <w:sz w:val="21"/>
              </w:rPr>
              <w:t>）更换窗户玻璃</w:t>
            </w:r>
          </w:p>
          <w:p>
            <w:pPr>
              <w:jc w:val="left"/>
            </w:pPr>
            <w:r>
              <w:rPr>
                <w:sz w:val="21"/>
              </w:rPr>
              <w:t>更换</w:t>
            </w:r>
            <w:r>
              <w:rPr>
                <w:sz w:val="21"/>
              </w:rPr>
              <w:t>12块厚度为5mm的钢化玻璃。其中152.5cm*44.5cm规格的5块，152.5cm*43cm规格的4块，152.5cm*52.5cm规格的3块。</w:t>
            </w:r>
          </w:p>
          <w:p>
            <w:pPr>
              <w:jc w:val="left"/>
            </w:pPr>
            <w:r>
              <w:rPr>
                <w:sz w:val="21"/>
              </w:rPr>
              <w:t>1、原玻璃进行拆除后，对原玻璃四面碎渣、玻璃胶进行清理、保洁工作。</w:t>
            </w:r>
          </w:p>
          <w:p>
            <w:pPr>
              <w:jc w:val="left"/>
            </w:pPr>
            <w:r>
              <w:rPr>
                <w:sz w:val="21"/>
              </w:rPr>
              <w:t>2、安装新玻璃时，对玻璃进行定位，安装好玻璃吊夹具，吊杆螺栓应放置在标注在定位位置。</w:t>
            </w:r>
          </w:p>
          <w:p>
            <w:pPr>
              <w:jc w:val="left"/>
            </w:pPr>
            <w:r>
              <w:rPr>
                <w:sz w:val="21"/>
              </w:rPr>
              <w:t>3、安装上部外金属夹扣后，堵塞上下边框外部槽口内的泡沫塑料圆条，再进行密封处理，保证玻璃的密封和防水性。</w:t>
            </w:r>
          </w:p>
          <w:p>
            <w:pPr>
              <w:jc w:val="left"/>
            </w:pPr>
          </w:p>
          <w:p>
            <w:pPr>
              <w:jc w:val="left"/>
            </w:pPr>
            <w:r>
              <w:rPr>
                <w:sz w:val="21"/>
              </w:rPr>
              <w:t>二、工程技术要求</w:t>
            </w:r>
          </w:p>
          <w:p>
            <w:pPr>
              <w:jc w:val="left"/>
            </w:pPr>
            <w:r>
              <w:rPr>
                <w:sz w:val="21"/>
              </w:rPr>
              <w:t>按工程量清单、设计图纸及国家和省市现行有关规范及行业标准。</w:t>
            </w:r>
          </w:p>
          <w:p>
            <w:pPr>
              <w:jc w:val="left"/>
            </w:pPr>
          </w:p>
          <w:p>
            <w:pPr>
              <w:jc w:val="left"/>
            </w:pPr>
            <w:r>
              <w:rPr>
                <w:sz w:val="21"/>
              </w:rPr>
              <w:t>三、工程质量要求</w:t>
            </w:r>
          </w:p>
          <w:p>
            <w:pPr>
              <w:jc w:val="left"/>
            </w:pPr>
            <w:r>
              <w:rPr>
                <w:sz w:val="21"/>
              </w:rPr>
              <w:t>（</w:t>
            </w:r>
            <w:r>
              <w:rPr>
                <w:sz w:val="21"/>
              </w:rPr>
              <w:t>1）确保达到合格工程，成交供应商在施工中如果工程质量不符合国家有关规范、磋商文件和响应文件的有关规定，采购人要求停工和返工时，成交供应商无条件应立即执行，并承担由此产生的各种费用，且工期不予顺延。</w:t>
            </w:r>
          </w:p>
          <w:p>
            <w:pPr>
              <w:jc w:val="left"/>
            </w:pPr>
            <w:r>
              <w:rPr>
                <w:sz w:val="21"/>
              </w:rPr>
              <w:t>（</w:t>
            </w:r>
            <w:r>
              <w:rPr>
                <w:sz w:val="21"/>
              </w:rPr>
              <w:t>2）成交供应商在施工期间应严格遵守《中华人民共和国安全生产法》（国家主席70号令）、《建设工程安全生产管理条例》（中华人民共和国国务院令第393号）以及文明施工、深夜施工、环卫和城管、计划生育等规定，建立规章制度和防护措施。若违反以上规定，由此造成的经济和法律责任，均由成交供应商负责。</w:t>
            </w:r>
          </w:p>
          <w:p>
            <w:pPr>
              <w:jc w:val="left"/>
            </w:pPr>
          </w:p>
          <w:p>
            <w:pPr>
              <w:jc w:val="left"/>
            </w:pPr>
            <w:r>
              <w:rPr>
                <w:sz w:val="21"/>
              </w:rPr>
              <w:t>四、工程使用材料及设备要求</w:t>
            </w:r>
          </w:p>
          <w:p>
            <w:pPr>
              <w:jc w:val="left"/>
            </w:pPr>
            <w:r>
              <w:rPr>
                <w:sz w:val="21"/>
              </w:rPr>
              <w:t>（</w:t>
            </w:r>
            <w:r>
              <w:rPr>
                <w:sz w:val="21"/>
              </w:rPr>
              <w:t>1）本工程所承包范围内所需的材料、成品、未成品、设备的采购、运输、保管、质量等责任均由成交供应商承担。采购人不提供材料。</w:t>
            </w:r>
          </w:p>
          <w:p>
            <w:pPr>
              <w:jc w:val="left"/>
            </w:pPr>
            <w:r>
              <w:rPr>
                <w:sz w:val="21"/>
              </w:rPr>
              <w:t>（</w:t>
            </w:r>
            <w:r>
              <w:rPr>
                <w:sz w:val="21"/>
              </w:rPr>
              <w:t>2）采购供应的材料、设备、其名称、品种、型号、规格、质量等，均应符合国家、地方及行业有关规范及要求。</w:t>
            </w:r>
          </w:p>
          <w:p>
            <w:pPr>
              <w:jc w:val="left"/>
            </w:pPr>
            <w:r>
              <w:rPr>
                <w:sz w:val="21"/>
              </w:rPr>
              <w:t>（</w:t>
            </w:r>
            <w:r>
              <w:rPr>
                <w:sz w:val="21"/>
              </w:rPr>
              <w:t>3）采购人保留对本工程使用之主要材料品质确认审查的权利及保留另行委托专业单位对本工程进行独立检测的权利。</w:t>
            </w:r>
          </w:p>
          <w:p>
            <w:pPr>
              <w:jc w:val="left"/>
            </w:pPr>
            <w:r>
              <w:rPr>
                <w:sz w:val="21"/>
              </w:rPr>
              <w:t>（</w:t>
            </w:r>
            <w:r>
              <w:rPr>
                <w:sz w:val="21"/>
              </w:rPr>
              <w:t>4）采购范围之内工程所用之设备，由成交供应商提供。</w:t>
            </w:r>
          </w:p>
          <w:p>
            <w:pPr>
              <w:jc w:val="left"/>
            </w:pPr>
          </w:p>
          <w:p>
            <w:pPr>
              <w:jc w:val="left"/>
            </w:pPr>
            <w:r>
              <w:rPr>
                <w:sz w:val="21"/>
              </w:rPr>
              <w:t>五、项目工期及要求</w:t>
            </w:r>
          </w:p>
          <w:p>
            <w:pPr>
              <w:jc w:val="left"/>
            </w:pPr>
            <w:r>
              <w:rPr>
                <w:sz w:val="21"/>
              </w:rPr>
              <w:t>（</w:t>
            </w:r>
            <w:r>
              <w:rPr>
                <w:sz w:val="21"/>
              </w:rPr>
              <w:t>1）项目工期：整个项目应于40日历天内完成，开工日期以采购人发出的开工令为准。</w:t>
            </w:r>
          </w:p>
          <w:p>
            <w:pPr>
              <w:jc w:val="left"/>
            </w:pPr>
            <w:r>
              <w:rPr>
                <w:sz w:val="21"/>
              </w:rPr>
              <w:t>（</w:t>
            </w:r>
            <w:r>
              <w:rPr>
                <w:sz w:val="21"/>
              </w:rPr>
              <w:t>2）成交供应商一旦进场施工，应认真做好施工组织计划按合同约定的总工期和阶段性工期完成施工。如果成交供应商由于自身的原因，未能按合同规定的工期完成合同工程，成交供应商必须向采购人支付误期赔偿费，时间从合同规定的竣工日期起至实际竣工日期止(即实际工期-合同工期=延长工期)按天计算，若拖延工期在10天内(含10天)，每天赔偿中标合同价的0.2%，超过10天，每天赔偿中标合同价的0.3%，误期赔偿费最高限额为合同价的5%，因成交供应商原因累计拖延工期超过20天的，采购人可以解除合同并追究成交供应商相关责任。误期赔偿费列入竣工结算文件中，在结算款中扣除。工程实施过程中，出现下列情形，经采购人确认，工期予以顺延：</w:t>
            </w:r>
          </w:p>
          <w:p>
            <w:pPr>
              <w:jc w:val="left"/>
            </w:pPr>
            <w:r>
              <w:rPr>
                <w:sz w:val="21"/>
              </w:rPr>
              <w:t>①不可抗力因素；</w:t>
            </w:r>
          </w:p>
          <w:p>
            <w:pPr>
              <w:jc w:val="left"/>
            </w:pPr>
            <w:r>
              <w:rPr>
                <w:sz w:val="21"/>
              </w:rPr>
              <w:t>②由于设计变更，致使工程量重大增加者（超过总量的10%）；</w:t>
            </w:r>
          </w:p>
          <w:p>
            <w:pPr>
              <w:jc w:val="left"/>
            </w:pPr>
            <w:r>
              <w:rPr>
                <w:sz w:val="21"/>
              </w:rPr>
              <w:t>③采购人欢迎各供应商报价可根据各自企业实际情况，提出缩短施工周期的标书；</w:t>
            </w:r>
          </w:p>
          <w:p>
            <w:pPr>
              <w:jc w:val="left"/>
            </w:pPr>
            <w:r>
              <w:rPr>
                <w:sz w:val="21"/>
              </w:rPr>
              <w:t>④供应商因赶工而需要所增加的费用应列于项目总报价之中。</w:t>
            </w:r>
          </w:p>
          <w:p>
            <w:pPr>
              <w:jc w:val="left"/>
            </w:pPr>
          </w:p>
          <w:p>
            <w:pPr>
              <w:jc w:val="left"/>
            </w:pPr>
            <w:r>
              <w:rPr>
                <w:sz w:val="21"/>
              </w:rPr>
              <w:t>六、施工条件及安全文明施工管理要求</w:t>
            </w:r>
          </w:p>
          <w:p>
            <w:pPr>
              <w:jc w:val="left"/>
            </w:pPr>
            <w:r>
              <w:rPr>
                <w:sz w:val="21"/>
              </w:rPr>
              <w:t>（</w:t>
            </w:r>
            <w:r>
              <w:rPr>
                <w:sz w:val="21"/>
              </w:rPr>
              <w:t>1）成交供应商在施工期间应严格遵守《中华人民共和国安全生产法》（国家主席70号令）、《建设工程安全生产管理条例》（中华人民共和国国务院令第393号）以及文明施工、深夜施工、环卫和城管等规定，建立规章制度和防护措施。若违反以上规定，由此造成的经济和法律责任，均由成交供应商负责。</w:t>
            </w:r>
          </w:p>
          <w:p>
            <w:pPr>
              <w:jc w:val="left"/>
            </w:pPr>
            <w:r>
              <w:rPr>
                <w:sz w:val="21"/>
              </w:rPr>
              <w:t>（</w:t>
            </w:r>
            <w:r>
              <w:rPr>
                <w:sz w:val="21"/>
              </w:rPr>
              <w:t>2）采购人不提供施工所需的食宿、办公，均由成交供应商场外自行解决，其费用成交供应商自理。</w:t>
            </w:r>
          </w:p>
          <w:p>
            <w:pPr>
              <w:jc w:val="left"/>
            </w:pPr>
            <w:r>
              <w:rPr>
                <w:sz w:val="21"/>
              </w:rPr>
              <w:t>（</w:t>
            </w:r>
            <w:r>
              <w:rPr>
                <w:sz w:val="21"/>
              </w:rPr>
              <w:t>3）采购人不提供临时材料加工场，临时设施及材料加工由成交供应商在施工现场以外解决，其费用由成交供应商自理。</w:t>
            </w:r>
          </w:p>
          <w:p>
            <w:pPr>
              <w:jc w:val="left"/>
            </w:pPr>
            <w:r>
              <w:rPr>
                <w:sz w:val="21"/>
              </w:rPr>
              <w:t>（</w:t>
            </w:r>
            <w:r>
              <w:rPr>
                <w:sz w:val="21"/>
              </w:rPr>
              <w:t>4）施工时间安排</w:t>
            </w:r>
          </w:p>
          <w:p>
            <w:pPr>
              <w:jc w:val="left"/>
            </w:pPr>
            <w:r>
              <w:rPr>
                <w:sz w:val="21"/>
              </w:rPr>
              <w:t>一般按照日常施工计划，全面推进；如遇到特殊情况需暂停工配合的，以采购人书面或口头通知为准。</w:t>
            </w:r>
          </w:p>
          <w:p>
            <w:pPr>
              <w:jc w:val="left"/>
            </w:pPr>
            <w:r>
              <w:rPr>
                <w:sz w:val="21"/>
              </w:rPr>
              <w:t>（</w:t>
            </w:r>
            <w:r>
              <w:rPr>
                <w:sz w:val="21"/>
              </w:rPr>
              <w:t>5）成交供应商的生产用水、电按照采购人指定地点，由成交供应商装表驳接，并按有关规定向相关配合单位缴纳实耗水电费。</w:t>
            </w:r>
          </w:p>
          <w:p>
            <w:pPr>
              <w:jc w:val="left"/>
            </w:pPr>
            <w:r>
              <w:rPr>
                <w:sz w:val="21"/>
              </w:rPr>
              <w:t>（</w:t>
            </w:r>
            <w:r>
              <w:rPr>
                <w:sz w:val="21"/>
              </w:rPr>
              <w:t>6）成交供应商应确保施工现场的清洁卫生，建筑垃圾应当日清理干净，不得留在现场过夜。</w:t>
            </w:r>
          </w:p>
          <w:p>
            <w:pPr>
              <w:jc w:val="left"/>
            </w:pPr>
            <w:r>
              <w:rPr>
                <w:sz w:val="21"/>
              </w:rPr>
              <w:t>（</w:t>
            </w:r>
            <w:r>
              <w:rPr>
                <w:sz w:val="21"/>
              </w:rPr>
              <w:t>7）由于施工地点位于采购人生活区，成交供应商一旦进场施工，应严格遵守采购人及其委托的物业管理公司的各项规章制度。</w:t>
            </w:r>
          </w:p>
          <w:p>
            <w:pPr>
              <w:jc w:val="left"/>
            </w:pPr>
            <w:r>
              <w:rPr>
                <w:sz w:val="21"/>
              </w:rPr>
              <w:t>（</w:t>
            </w:r>
            <w:r>
              <w:rPr>
                <w:sz w:val="21"/>
              </w:rPr>
              <w:t>8）应制定和落实安全生产及文明施工措施，施工期间应严格管理施工人员，保护好已完工工程产品，发生一切安全事故均由成交供应商自行负责。严格加强管理，按规定缴纳治安保证金，如发生盗窃，斗殴等现象，根据情节轻重，除追究当事人责任外，还要求在所缴纳的保证金中给予处罚。</w:t>
            </w:r>
          </w:p>
          <w:p>
            <w:pPr>
              <w:jc w:val="left"/>
            </w:pPr>
          </w:p>
          <w:p>
            <w:pPr>
              <w:jc w:val="left"/>
            </w:pPr>
            <w:r>
              <w:rPr>
                <w:sz w:val="21"/>
              </w:rPr>
              <w:t>七、其他要求</w:t>
            </w:r>
          </w:p>
          <w:p>
            <w:pPr>
              <w:jc w:val="left"/>
            </w:pPr>
            <w:r>
              <w:rPr>
                <w:sz w:val="21"/>
              </w:rPr>
              <w:t>（</w:t>
            </w:r>
            <w:r>
              <w:rPr>
                <w:sz w:val="21"/>
              </w:rPr>
              <w:t>1）合同约定的工程项目，成交供应商不得转包。否则，采购人有权单方面终止合同，并责令其立即退场，由此造成的经济损失由成交供应商负责赔偿。</w:t>
            </w:r>
          </w:p>
          <w:p>
            <w:pPr>
              <w:jc w:val="left"/>
            </w:pPr>
            <w:r>
              <w:rPr>
                <w:sz w:val="21"/>
              </w:rPr>
              <w:t>（</w:t>
            </w:r>
            <w:r>
              <w:rPr>
                <w:sz w:val="21"/>
              </w:rPr>
              <w:t>2）不许随意更换报价文件中所报的项目负责人，如确须更换，则事前须征得采购人同意，如有违反，一经发现取消成交资格，并赔偿由此造成的一切损失（包含质量安全事故、拖延工期、增加投资等损失）。在施工过程中，项目负责人如不到位，则在工程款中扣除2%作为处罚，造成损失的，按实际发生额赔偿。</w:t>
            </w:r>
          </w:p>
          <w:p>
            <w:pPr>
              <w:jc w:val="left"/>
            </w:pPr>
            <w:r>
              <w:rPr>
                <w:sz w:val="21"/>
              </w:rPr>
              <w:t>（</w:t>
            </w:r>
            <w:r>
              <w:rPr>
                <w:sz w:val="21"/>
              </w:rPr>
              <w:t>3）在工程进行中，成交供应商要注意保护场内的各种管线和设施。若有任何损坏，须立即通知有关部门和采购人，并由损坏单位承担损失和修复费用。</w:t>
            </w:r>
          </w:p>
          <w:p>
            <w:pPr>
              <w:jc w:val="left"/>
            </w:pPr>
            <w:r>
              <w:rPr>
                <w:sz w:val="21"/>
              </w:rPr>
              <w:t>（</w:t>
            </w:r>
            <w:r>
              <w:rPr>
                <w:sz w:val="21"/>
              </w:rPr>
              <w:t>4）供应商应承担所有与编写和提交报价文件有关的费用，不论报价的结果如何，采购代理机构、采购人在任何情况下均无义务和责任承担这些费用。</w:t>
            </w:r>
          </w:p>
          <w:p>
            <w:pPr>
              <w:jc w:val="left"/>
            </w:pPr>
            <w:r>
              <w:rPr>
                <w:sz w:val="21"/>
              </w:rPr>
              <w:t>（</w:t>
            </w:r>
            <w:r>
              <w:rPr>
                <w:sz w:val="21"/>
              </w:rPr>
              <w:t>5）成交供应商一旦签订了施工合同后，由于采购人原因停止建设的，成交供应商应无条件服从，不得以任何理由向采购人提出任何形式索赔。</w:t>
            </w:r>
          </w:p>
          <w:p>
            <w:pPr>
              <w:jc w:val="left"/>
            </w:pPr>
            <w:r>
              <w:rPr>
                <w:sz w:val="21"/>
              </w:rPr>
              <w:t>（</w:t>
            </w:r>
            <w:r>
              <w:rPr>
                <w:sz w:val="21"/>
              </w:rPr>
              <w:t>6）成交供应商必须每月按时按规支付工人薪酬，所有用工须符合国家法规要求。（需提供承诺函）</w:t>
            </w:r>
          </w:p>
          <w:p>
            <w:pPr>
              <w:jc w:val="left"/>
            </w:pPr>
          </w:p>
          <w:p>
            <w:pPr>
              <w:jc w:val="left"/>
            </w:pPr>
            <w:r>
              <w:rPr>
                <w:sz w:val="21"/>
              </w:rPr>
              <w:t>八、采购清单表</w:t>
            </w:r>
          </w:p>
          <w:tbl>
            <w:tblPr>
              <w:tblBorders>
                <w:top w:val="none" w:color="000000" w:sz="4"/>
                <w:left w:val="none" w:color="000000" w:sz="4"/>
                <w:bottom w:val="none" w:color="000000" w:sz="4"/>
                <w:right w:val="none" w:color="000000" w:sz="4"/>
                <w:insideH w:val="none"/>
                <w:insideV w:val="none"/>
              </w:tblBorders>
            </w:tblPr>
            <w:tblGrid>
              <w:gridCol w:w="388"/>
              <w:gridCol w:w="513"/>
              <w:gridCol w:w="885"/>
              <w:gridCol w:w="390"/>
              <w:gridCol w:w="265"/>
              <w:gridCol w:w="390"/>
              <w:gridCol w:w="390"/>
              <w:gridCol w:w="2374"/>
            </w:tblGrid>
            <w:tr>
              <w:tc>
                <w:tcPr>
                  <w:tcW w:type="dxa" w:w="38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513"/>
                  <w:tcBorders>
                    <w:top w:val="single" w:color="000000" w:sz="4"/>
                    <w:left w:val="none" w:color="000000" w:sz="4"/>
                    <w:bottom w:val="single" w:color="000000" w:sz="4"/>
                    <w:right w:val="single" w:color="000000" w:sz="4"/>
                  </w:tcBorders>
                  <w:vAlign w:val="top"/>
                </w:tcPr>
                <w:p>
                  <w:pPr>
                    <w:jc w:val="center"/>
                  </w:pPr>
                  <w:r>
                    <w:rPr>
                      <w:color w:val="000000"/>
                      <w:sz w:val="21"/>
                    </w:rPr>
                    <w:t>采购项</w:t>
                  </w:r>
                </w:p>
              </w:tc>
              <w:tc>
                <w:tcPr>
                  <w:tcW w:type="dxa" w:w="885"/>
                  <w:tcBorders>
                    <w:top w:val="single" w:color="000000" w:sz="4"/>
                    <w:left w:val="none" w:color="000000" w:sz="4"/>
                    <w:bottom w:val="single" w:color="000000" w:sz="4"/>
                    <w:right w:val="single" w:color="000000" w:sz="4"/>
                  </w:tcBorders>
                  <w:vAlign w:val="top"/>
                </w:tcPr>
                <w:p>
                  <w:pPr>
                    <w:jc w:val="center"/>
                  </w:pPr>
                  <w:r>
                    <w:rPr>
                      <w:color w:val="000000"/>
                      <w:sz w:val="21"/>
                    </w:rPr>
                    <w:t>名称</w:t>
                  </w:r>
                </w:p>
              </w:tc>
              <w:tc>
                <w:tcPr>
                  <w:tcW w:type="dxa" w:w="390"/>
                  <w:tcBorders>
                    <w:top w:val="single" w:color="000000" w:sz="4"/>
                    <w:left w:val="none" w:color="000000" w:sz="4"/>
                    <w:bottom w:val="single" w:color="000000" w:sz="4"/>
                    <w:right w:val="single" w:color="000000" w:sz="4"/>
                  </w:tcBorders>
                  <w:vAlign w:val="top"/>
                </w:tcPr>
                <w:p>
                  <w:pPr>
                    <w:jc w:val="center"/>
                  </w:pPr>
                  <w:r>
                    <w:rPr>
                      <w:color w:val="000000"/>
                      <w:sz w:val="21"/>
                    </w:rPr>
                    <w:t>总数量</w:t>
                  </w:r>
                </w:p>
              </w:tc>
              <w:tc>
                <w:tcPr>
                  <w:tcW w:type="dxa" w:w="265"/>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390"/>
                  <w:tcBorders>
                    <w:top w:val="single" w:color="000000" w:sz="4"/>
                    <w:left w:val="none" w:color="000000" w:sz="4"/>
                    <w:bottom w:val="single" w:color="000000" w:sz="4"/>
                    <w:right w:val="single" w:color="000000" w:sz="4"/>
                  </w:tcBorders>
                  <w:vAlign w:val="top"/>
                </w:tcPr>
                <w:p>
                  <w:pPr>
                    <w:jc w:val="center"/>
                  </w:pPr>
                  <w:r>
                    <w:rPr>
                      <w:color w:val="000000"/>
                      <w:sz w:val="21"/>
                    </w:rPr>
                    <w:t>单价</w:t>
                  </w:r>
                </w:p>
                <w:p>
                  <w:pPr>
                    <w:jc w:val="center"/>
                  </w:pPr>
                  <w:r>
                    <w:rPr>
                      <w:color w:val="000000"/>
                      <w:sz w:val="21"/>
                    </w:rPr>
                    <w:t>(元)</w:t>
                  </w:r>
                </w:p>
              </w:tc>
              <w:tc>
                <w:tcPr>
                  <w:tcW w:type="dxa" w:w="390"/>
                  <w:tcBorders>
                    <w:top w:val="single" w:color="000000" w:sz="4"/>
                    <w:left w:val="none" w:color="000000" w:sz="4"/>
                    <w:bottom w:val="single" w:color="000000" w:sz="4"/>
                    <w:right w:val="single" w:color="000000" w:sz="4"/>
                  </w:tcBorders>
                  <w:vAlign w:val="top"/>
                </w:tcPr>
                <w:p>
                  <w:pPr>
                    <w:jc w:val="center"/>
                  </w:pPr>
                  <w:r>
                    <w:rPr>
                      <w:color w:val="000000"/>
                      <w:sz w:val="21"/>
                    </w:rPr>
                    <w:t>金额</w:t>
                  </w:r>
                </w:p>
                <w:p>
                  <w:pPr>
                    <w:jc w:val="center"/>
                  </w:pPr>
                  <w:r>
                    <w:rPr>
                      <w:color w:val="000000"/>
                      <w:sz w:val="21"/>
                    </w:rPr>
                    <w:t>(元)</w:t>
                  </w:r>
                </w:p>
              </w:tc>
              <w:tc>
                <w:tcPr>
                  <w:tcW w:type="dxa" w:w="2374"/>
                  <w:tcBorders>
                    <w:top w:val="single" w:color="000000" w:sz="4"/>
                    <w:left w:val="none" w:color="000000" w:sz="4"/>
                    <w:bottom w:val="single" w:color="000000" w:sz="4"/>
                    <w:right w:val="single" w:color="000000" w:sz="4"/>
                  </w:tcBorders>
                  <w:vAlign w:val="top"/>
                </w:tcPr>
                <w:p>
                  <w:pPr>
                    <w:jc w:val="center"/>
                  </w:pPr>
                  <w:r>
                    <w:rPr>
                      <w:color w:val="000000"/>
                      <w:sz w:val="21"/>
                    </w:rPr>
                    <w:t>备注</w:t>
                  </w:r>
                </w:p>
              </w:tc>
            </w:tr>
            <w:tr>
              <w:tc>
                <w:tcPr>
                  <w:tcW w:type="dxa" w:w="388"/>
                  <w:vMerge w:val="restart"/>
                  <w:tcBorders>
                    <w:top w:val="none" w:color="000000" w:sz="4"/>
                    <w:left w:val="single" w:color="000000" w:sz="4"/>
                    <w:bottom w:val="single" w:color="000000" w:sz="4"/>
                    <w:right w:val="single" w:color="000000" w:sz="4"/>
                  </w:tcBorders>
                  <w:vAlign w:val="top"/>
                </w:tcPr>
                <w:p>
                  <w:pPr>
                    <w:jc w:val="center"/>
                  </w:pPr>
                  <w:r>
                    <w:rPr>
                      <w:color w:val="000000"/>
                      <w:sz w:val="21"/>
                    </w:rPr>
                    <w:t>一</w:t>
                  </w:r>
                </w:p>
              </w:tc>
              <w:tc>
                <w:tcPr>
                  <w:tcW w:type="dxa" w:w="513"/>
                  <w:vMerge w:val="restart"/>
                  <w:tcBorders>
                    <w:top w:val="none" w:color="000000" w:sz="4"/>
                    <w:left w:val="none" w:color="000000" w:sz="4"/>
                    <w:bottom w:val="single" w:color="000000" w:sz="4"/>
                    <w:right w:val="single" w:color="000000" w:sz="4"/>
                  </w:tcBorders>
                  <w:vAlign w:val="top"/>
                </w:tcPr>
                <w:p>
                  <w:pPr>
                    <w:jc w:val="center"/>
                  </w:pPr>
                  <w:r>
                    <w:rPr>
                      <w:color w:val="000000"/>
                      <w:sz w:val="21"/>
                    </w:rPr>
                    <w:t>绿化修缮</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回填方</w:t>
                  </w:r>
                  <w:r>
                    <w:rPr>
                      <w:color w:val="000000"/>
                      <w:sz w:val="21"/>
                    </w:rPr>
                    <w:t>(场地回填1m良性土)</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2000立方米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营养土</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2000</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包</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树木更换重植</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62</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棵</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树木胸径约</w:t>
                  </w:r>
                  <w:r>
                    <w:rPr>
                      <w:color w:val="000000"/>
                      <w:sz w:val="21"/>
                    </w:rPr>
                    <w:t>15</w:t>
                  </w:r>
                  <w:r>
                    <w:rPr>
                      <w:color w:val="000000"/>
                      <w:sz w:val="21"/>
                    </w:rPr>
                    <w:t>～</w:t>
                  </w:r>
                  <w:r>
                    <w:rPr>
                      <w:color w:val="000000"/>
                      <w:sz w:val="21"/>
                    </w:rPr>
                    <w:t>40厘米，高约2</w:t>
                  </w:r>
                  <w:r>
                    <w:rPr>
                      <w:color w:val="000000"/>
                      <w:sz w:val="21"/>
                    </w:rPr>
                    <w:t>～</w:t>
                  </w:r>
                  <w:r>
                    <w:rPr>
                      <w:color w:val="000000"/>
                      <w:sz w:val="21"/>
                    </w:rPr>
                    <w:t>5</w:t>
                  </w:r>
                  <w:r>
                    <w:rPr>
                      <w:color w:val="000000"/>
                      <w:sz w:val="21"/>
                    </w:rPr>
                    <w:t>米</w:t>
                  </w:r>
                </w:p>
              </w:tc>
            </w:tr>
            <w:tr>
              <w:tc>
                <w:tcPr>
                  <w:tcW w:type="dxa" w:w="388"/>
                  <w:vMerge w:val="restart"/>
                  <w:tcBorders>
                    <w:top w:val="none" w:color="000000" w:sz="4"/>
                    <w:left w:val="single" w:color="000000" w:sz="4"/>
                    <w:bottom w:val="single" w:color="000000" w:sz="4"/>
                    <w:right w:val="single" w:color="000000" w:sz="4"/>
                  </w:tcBorders>
                  <w:vAlign w:val="top"/>
                </w:tcPr>
                <w:p>
                  <w:pPr>
                    <w:jc w:val="center"/>
                  </w:pPr>
                  <w:r>
                    <w:rPr>
                      <w:color w:val="000000"/>
                      <w:sz w:val="21"/>
                    </w:rPr>
                    <w:t>二</w:t>
                  </w:r>
                </w:p>
              </w:tc>
              <w:tc>
                <w:tcPr>
                  <w:tcW w:type="dxa" w:w="513"/>
                  <w:vMerge w:val="restart"/>
                  <w:tcBorders>
                    <w:top w:val="none" w:color="000000" w:sz="4"/>
                    <w:left w:val="none" w:color="000000" w:sz="4"/>
                    <w:bottom w:val="single" w:color="000000" w:sz="4"/>
                    <w:right w:val="single" w:color="000000" w:sz="4"/>
                  </w:tcBorders>
                  <w:vAlign w:val="top"/>
                </w:tcPr>
                <w:p>
                  <w:pPr>
                    <w:jc w:val="center"/>
                  </w:pPr>
                  <w:r>
                    <w:rPr>
                      <w:color w:val="000000"/>
                      <w:sz w:val="21"/>
                    </w:rPr>
                    <w:t>工程平整及河道疏通</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树木清理，场地平整</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3000平方米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树木种植</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棵</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胸径</w:t>
                  </w:r>
                  <w:r>
                    <w:rPr>
                      <w:color w:val="000000"/>
                      <w:sz w:val="21"/>
                    </w:rPr>
                    <w:t>10</w:t>
                  </w:r>
                  <w:r>
                    <w:rPr>
                      <w:color w:val="000000"/>
                      <w:sz w:val="21"/>
                    </w:rPr>
                    <w:t>～</w:t>
                  </w:r>
                  <w:r>
                    <w:rPr>
                      <w:color w:val="000000"/>
                      <w:sz w:val="21"/>
                    </w:rPr>
                    <w:t>20厘米，高</w:t>
                  </w:r>
                  <w:r>
                    <w:rPr>
                      <w:color w:val="000000"/>
                      <w:sz w:val="21"/>
                    </w:rPr>
                    <w:t>2</w:t>
                  </w:r>
                  <w:r>
                    <w:rPr>
                      <w:color w:val="000000"/>
                      <w:sz w:val="21"/>
                    </w:rPr>
                    <w:t>～</w:t>
                  </w:r>
                  <w:r>
                    <w:rPr>
                      <w:color w:val="000000"/>
                      <w:sz w:val="21"/>
                    </w:rPr>
                    <w:t>5米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边坡绿化及水泥固化</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1100平方米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对河道进行疏通、拓宽挖深</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3000立方米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平地水泥固化</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30平方米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废料运输</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4500立方米</w:t>
                  </w: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三</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围栏修复更换</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对训练场观礼台受损围栏进行更换</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100米</w:t>
                  </w: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四</w:t>
                  </w:r>
                </w:p>
              </w:tc>
              <w:tc>
                <w:tcPr>
                  <w:tcW w:type="dxa" w:w="513"/>
                  <w:tcBorders>
                    <w:top w:val="none" w:color="000000" w:sz="4"/>
                    <w:left w:val="none" w:color="000000" w:sz="4"/>
                    <w:bottom w:val="single" w:color="000000" w:sz="4"/>
                    <w:right w:val="single" w:color="000000" w:sz="4"/>
                  </w:tcBorders>
                  <w:vAlign w:val="top"/>
                </w:tcPr>
                <w:p>
                  <w:pPr>
                    <w:jc w:val="center"/>
                  </w:pPr>
                </w:p>
                <w:p>
                  <w:pPr>
                    <w:jc w:val="center"/>
                  </w:pPr>
                  <w:r>
                    <w:rPr>
                      <w:color w:val="000000"/>
                      <w:sz w:val="21"/>
                    </w:rPr>
                    <w:t>营地大门电动门更换</w:t>
                  </w:r>
                </w:p>
                <w:p>
                  <w:pPr>
                    <w:jc w:val="center"/>
                  </w:p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基地大门更换</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p>
                <w:p>
                  <w:pPr>
                    <w:jc w:val="center"/>
                  </w:pPr>
                  <w:r>
                    <w:rPr>
                      <w:color w:val="000000"/>
                      <w:sz w:val="21"/>
                    </w:rPr>
                    <w:t>包含一项电动遥控系统和一项电动大门</w:t>
                  </w:r>
                </w:p>
                <w:p>
                  <w:pPr>
                    <w:jc w:val="center"/>
                  </w:pPr>
                </w:p>
              </w:tc>
            </w:tr>
            <w:tr>
              <w:tc>
                <w:tcPr>
                  <w:tcW w:type="dxa" w:w="388"/>
                  <w:vMerge w:val="restart"/>
                  <w:tcBorders>
                    <w:top w:val="none" w:color="000000" w:sz="4"/>
                    <w:left w:val="single" w:color="000000" w:sz="4"/>
                    <w:bottom w:val="single" w:color="000000" w:sz="4"/>
                    <w:right w:val="single" w:color="000000" w:sz="4"/>
                  </w:tcBorders>
                  <w:vAlign w:val="top"/>
                </w:tcPr>
                <w:p>
                  <w:pPr>
                    <w:jc w:val="center"/>
                  </w:pPr>
                  <w:r>
                    <w:rPr>
                      <w:color w:val="000000"/>
                      <w:sz w:val="21"/>
                    </w:rPr>
                    <w:t>五</w:t>
                  </w:r>
                </w:p>
              </w:tc>
              <w:tc>
                <w:tcPr>
                  <w:tcW w:type="dxa" w:w="513"/>
                  <w:vMerge w:val="restart"/>
                  <w:tcBorders>
                    <w:top w:val="none" w:color="000000" w:sz="4"/>
                    <w:left w:val="none" w:color="000000" w:sz="4"/>
                    <w:bottom w:val="single" w:color="000000" w:sz="4"/>
                    <w:right w:val="single" w:color="000000" w:sz="4"/>
                  </w:tcBorders>
                  <w:vAlign w:val="top"/>
                </w:tcPr>
                <w:p>
                  <w:pPr>
                    <w:jc w:val="center"/>
                  </w:pPr>
                  <w:r>
                    <w:rPr>
                      <w:color w:val="000000"/>
                      <w:sz w:val="21"/>
                    </w:rPr>
                    <w:t>铁网围墙更换及坡地平整加固</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坡地平整加固</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200平方米</w:t>
                  </w:r>
                </w:p>
              </w:tc>
            </w:tr>
            <w:tr>
              <w:tc>
                <w:tcPr>
                  <w:tcW w:type="dxa" w:w="388"/>
                  <w:vMerge/>
                  <w:tcBorders>
                    <w:top w:val="none" w:color="000000" w:sz="4"/>
                    <w:left w:val="single" w:color="000000" w:sz="4"/>
                    <w:bottom w:val="single" w:color="000000" w:sz="4"/>
                    <w:right w:val="single" w:color="000000" w:sz="4"/>
                  </w:tcBorders>
                </w:tcPr>
                <w:p/>
              </w:tc>
              <w:tc>
                <w:tcPr>
                  <w:tcW w:type="dxa" w:w="513"/>
                  <w:vMerge/>
                  <w:tcBorders>
                    <w:top w:val="none" w:color="000000" w:sz="4"/>
                    <w:left w:val="none" w:color="000000" w:sz="4"/>
                    <w:bottom w:val="single" w:color="000000" w:sz="4"/>
                    <w:right w:val="single" w:color="000000" w:sz="4"/>
                  </w:tcBorders>
                </w:tcP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对训练场山坡上</w:t>
                  </w:r>
                </w:p>
                <w:p>
                  <w:pPr>
                    <w:jc w:val="center"/>
                  </w:pPr>
                  <w:r>
                    <w:rPr>
                      <w:color w:val="000000"/>
                      <w:sz w:val="21"/>
                    </w:rPr>
                    <w:t>受损铁网围墙更换</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约</w:t>
                  </w:r>
                  <w:r>
                    <w:rPr>
                      <w:color w:val="000000"/>
                      <w:sz w:val="21"/>
                    </w:rPr>
                    <w:t>160米</w:t>
                  </w:r>
                </w:p>
              </w:tc>
            </w:tr>
            <w:tr>
              <w:tc>
                <w:tcPr>
                  <w:tcW w:type="dxa" w:w="388"/>
                  <w:tcBorders>
                    <w:top w:val="none" w:color="000000" w:sz="4"/>
                    <w:left w:val="single" w:color="000000" w:sz="4"/>
                    <w:bottom w:val="single" w:color="000000" w:sz="4"/>
                    <w:right w:val="single" w:color="000000" w:sz="4"/>
                  </w:tcBorders>
                  <w:vAlign w:val="top"/>
                </w:tcPr>
                <w:p>
                  <w:pPr>
                    <w:jc w:val="center"/>
                  </w:pPr>
                </w:p>
                <w:p/>
                <w:p/>
                <w:p/>
                <w:p/>
                <w:p>
                  <w:pPr>
                    <w:jc w:val="center"/>
                  </w:pPr>
                  <w:r>
                    <w:rPr>
                      <w:color w:val="000000"/>
                      <w:sz w:val="21"/>
                    </w:rPr>
                    <w:t>六</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门窗修复及更换</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对行政楼食堂大门进行加固，须制作挡风板，安装插销</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8个对开门，一个门两扇</w:t>
                  </w: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七</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吊顶修复</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教学楼一楼、三楼卫生间等房间被吹坏的吊顶进行修复</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both"/>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破损</w:t>
                  </w:r>
                  <w:r>
                    <w:rPr>
                      <w:color w:val="000000"/>
                      <w:sz w:val="21"/>
                    </w:rPr>
                    <w:t>的吊顶进行修复</w:t>
                  </w:r>
                  <w:r>
                    <w:rPr>
                      <w:color w:val="000000"/>
                      <w:sz w:val="21"/>
                    </w:rPr>
                    <w:t>，</w:t>
                  </w:r>
                  <w:r>
                    <w:rPr>
                      <w:color w:val="000000"/>
                      <w:sz w:val="21"/>
                    </w:rPr>
                    <w:t>面积约</w:t>
                  </w:r>
                  <w:r>
                    <w:rPr>
                      <w:color w:val="000000"/>
                      <w:sz w:val="21"/>
                    </w:rPr>
                    <w:t>60</w:t>
                  </w:r>
                  <w:r>
                    <w:rPr>
                      <w:color w:val="000000"/>
                      <w:sz w:val="21"/>
                    </w:rPr>
                    <w:t>㎡</w:t>
                  </w:r>
                  <w:r>
                    <w:rPr>
                      <w:color w:val="000000"/>
                      <w:sz w:val="21"/>
                    </w:rPr>
                    <w:t>。</w:t>
                  </w: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八</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排水管道更换</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主要包括洗手间受损排水管阳台堵塞污水管疏通</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10</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个</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新管采用联塑</w:t>
                  </w:r>
                  <w:r>
                    <w:rPr>
                      <w:color w:val="000000"/>
                      <w:sz w:val="21"/>
                    </w:rPr>
                    <w:t>50管，长1.5米，共10根</w:t>
                  </w: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九</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污水口出口疏通改造</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行政楼</w:t>
                  </w:r>
                  <w:r>
                    <w:rPr>
                      <w:color w:val="000000"/>
                      <w:sz w:val="21"/>
                    </w:rPr>
                    <w:t>5楼阳台</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p>
              </w:tc>
            </w:tr>
            <w:tr>
              <w:tc>
                <w:tcPr>
                  <w:tcW w:type="dxa" w:w="388"/>
                  <w:tcBorders>
                    <w:top w:val="none" w:color="000000" w:sz="4"/>
                    <w:left w:val="single" w:color="000000" w:sz="4"/>
                    <w:bottom w:val="single" w:color="000000" w:sz="4"/>
                    <w:right w:val="single" w:color="000000" w:sz="4"/>
                  </w:tcBorders>
                  <w:vAlign w:val="top"/>
                </w:tcPr>
                <w:p>
                  <w:pPr>
                    <w:jc w:val="center"/>
                  </w:pPr>
                  <w:r>
                    <w:rPr>
                      <w:color w:val="000000"/>
                      <w:sz w:val="21"/>
                    </w:rPr>
                    <w:t>十</w:t>
                  </w:r>
                </w:p>
              </w:tc>
              <w:tc>
                <w:tcPr>
                  <w:tcW w:type="dxa" w:w="513"/>
                  <w:tcBorders>
                    <w:top w:val="none" w:color="000000" w:sz="4"/>
                    <w:left w:val="none" w:color="000000" w:sz="4"/>
                    <w:bottom w:val="single" w:color="000000" w:sz="4"/>
                    <w:right w:val="single" w:color="000000" w:sz="4"/>
                  </w:tcBorders>
                  <w:vAlign w:val="top"/>
                </w:tcPr>
                <w:p>
                  <w:pPr>
                    <w:jc w:val="center"/>
                  </w:pPr>
                  <w:r>
                    <w:rPr>
                      <w:color w:val="000000"/>
                      <w:sz w:val="21"/>
                    </w:rPr>
                    <w:t>更换窗户玻璃</w:t>
                  </w:r>
                </w:p>
              </w:tc>
              <w:tc>
                <w:tcPr>
                  <w:tcW w:type="dxa" w:w="885"/>
                  <w:tcBorders>
                    <w:top w:val="none" w:color="000000" w:sz="4"/>
                    <w:left w:val="none" w:color="000000" w:sz="4"/>
                    <w:bottom w:val="single" w:color="000000" w:sz="4"/>
                    <w:right w:val="single" w:color="000000" w:sz="4"/>
                  </w:tcBorders>
                  <w:vAlign w:val="top"/>
                </w:tcPr>
                <w:p>
                  <w:pPr>
                    <w:jc w:val="center"/>
                  </w:pPr>
                  <w:r>
                    <w:rPr>
                      <w:color w:val="000000"/>
                      <w:sz w:val="21"/>
                    </w:rPr>
                    <w:t>对受损破坏的窗户玻璃进行更换</w:t>
                  </w:r>
                </w:p>
              </w:tc>
              <w:tc>
                <w:tcPr>
                  <w:tcW w:type="dxa" w:w="390"/>
                  <w:tcBorders>
                    <w:top w:val="none" w:color="000000" w:sz="4"/>
                    <w:left w:val="none" w:color="000000" w:sz="4"/>
                    <w:bottom w:val="single" w:color="000000" w:sz="4"/>
                    <w:right w:val="single" w:color="000000" w:sz="4"/>
                  </w:tcBorders>
                  <w:vAlign w:val="top"/>
                </w:tcPr>
                <w:p>
                  <w:pPr>
                    <w:jc w:val="center"/>
                  </w:pPr>
                  <w:r>
                    <w:rPr>
                      <w:color w:val="000000"/>
                      <w:sz w:val="21"/>
                    </w:rPr>
                    <w:t>12</w:t>
                  </w:r>
                </w:p>
              </w:tc>
              <w:tc>
                <w:tcPr>
                  <w:tcW w:type="dxa" w:w="265"/>
                  <w:tcBorders>
                    <w:top w:val="none" w:color="000000" w:sz="4"/>
                    <w:left w:val="none" w:color="000000" w:sz="4"/>
                    <w:bottom w:val="single" w:color="000000" w:sz="4"/>
                    <w:right w:val="single" w:color="000000" w:sz="4"/>
                  </w:tcBorders>
                  <w:vAlign w:val="top"/>
                </w:tcPr>
                <w:p>
                  <w:pPr>
                    <w:jc w:val="center"/>
                  </w:pPr>
                  <w:r>
                    <w:rPr>
                      <w:color w:val="000000"/>
                      <w:sz w:val="21"/>
                    </w:rPr>
                    <w:t>块</w:t>
                  </w: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390"/>
                  <w:tcBorders>
                    <w:top w:val="none" w:color="000000" w:sz="4"/>
                    <w:left w:val="none" w:color="000000" w:sz="4"/>
                    <w:bottom w:val="single" w:color="000000" w:sz="4"/>
                    <w:right w:val="single" w:color="000000" w:sz="4"/>
                  </w:tcBorders>
                  <w:vAlign w:val="top"/>
                </w:tcPr>
                <w:p>
                  <w:pPr>
                    <w:jc w:val="center"/>
                  </w:pPr>
                </w:p>
              </w:tc>
              <w:tc>
                <w:tcPr>
                  <w:tcW w:type="dxa" w:w="2374"/>
                  <w:tcBorders>
                    <w:top w:val="none" w:color="000000" w:sz="4"/>
                    <w:left w:val="none" w:color="000000" w:sz="4"/>
                    <w:bottom w:val="single" w:color="000000" w:sz="4"/>
                    <w:right w:val="single" w:color="000000" w:sz="4"/>
                  </w:tcBorders>
                  <w:vAlign w:val="top"/>
                </w:tcPr>
                <w:p>
                  <w:pPr>
                    <w:jc w:val="center"/>
                  </w:pPr>
                  <w:r>
                    <w:rPr>
                      <w:color w:val="000000"/>
                      <w:sz w:val="21"/>
                    </w:rPr>
                    <w:t>钢化玻璃</w:t>
                  </w:r>
                </w:p>
              </w:tc>
            </w:tr>
          </w:tbl>
          <w:p>
            <w:r>
              <w:rPr/>
              <w:t xml:space="preserve"> </w:t>
            </w:r>
            <w:r>
              <w:rPr>
                <w:sz w:val="21"/>
              </w:rPr>
              <w:t>九、</w:t>
            </w:r>
            <w:r>
              <w:rPr>
                <w:sz w:val="21"/>
              </w:rPr>
              <w:t>附</w:t>
            </w:r>
            <w:r>
              <w:rPr>
                <w:sz w:val="21"/>
              </w:rPr>
              <w:t>件：实施地点平面图</w:t>
            </w:r>
          </w:p>
          <w:p>
            <w:r>
              <w:rPr/>
              <w:t xml:space="preserve"> </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广东省海上民兵训练基地</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采购机构代理服务收费标准：本项目的招标代理服务费收费标准以采购预算金额为计算基数参照国家计委颁布的（计价格【2002】1980号）及国家发改委颁布的（发改办价格【2003】857号）收取。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黎颖欣、吴秋娜</w:t>
      </w:r>
    </w:p>
    <w:p>
      <w:pPr>
        <w:ind w:firstLine="480"/>
      </w:pPr>
      <w:r>
        <w:rPr/>
        <w:t>电话：</w:t>
      </w:r>
      <w:r>
        <w:rPr/>
        <w:t>020-87688289、020-87684402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灾后重建设计施工一体化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采购包1（灾后重建设计施工一体化项目）：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采购包1（灾后重建设计施工一体化项目）：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为本项目提供整体设计、规范编制或者项目管理、监理、检测等服务的供应商，不得再参与本项目投标。 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1、响应供应商需具有工程设计综合甲级资质，或工程设计资质（市政行业设计丙级（或以上）资质），或风景园林工程设计专项乙级（或以上）资质。 2、响应供应商持有建设行政主管部门颁发的企业资质证书及安全生产许可证（在有效期内）。 3、响应供应商需具有市政公用工程施工总承包三级或以上资质。 4、响应供应商拟派任本工程项目负责人须具有市政公用工程专业二级或以上级别的注册建造师，并持有安全生产考核合格证（B类）或建筑施工企业项目负责人安全生产考核合格证书。 （注：根据《住房和城乡建设部办公厅关于全面实行一级建造师电子注册证书的通知》（建办市〔2021〕40号），自2022年1月1日起，一级建造师统一使用电子证书，纸质证书作废，具体操作流程可查阅《住房和城乡建设部一级建造师电子证照申领和使用手册》。根据广东省住建厅《关于明确二级建造师注册执业有关问题的通知》（粤建市函〔2023〕469号），二级建造师应在考试取得执业资格的省、自治区、直辖市申请注册，二级注册建造师可随注册企业在全国范围内执业。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专职安全员不为同一人。） 5、响应供应商拟派的专职安全人员须具有安全生产考核合格证（C类或C3类）或建筑施工企业专职安全生产管理人员安全生产考核合格证书。 6、本项目接受联合体参与，但只接受最多由2家单位（即设计单位1家、施工单位1家）组成的联合体，且应以承接施工任务一方为主办方，并签订联合体共同响应协议书。</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采购包1（灾后重建设计施工一体化项目）：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采购包1(灾后重建设计施工一体化项目):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技术部分60.0分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项目了解程度（一） (2.0分)</w:t>
            </w:r>
          </w:p>
        </w:tc>
        <w:tc>
          <w:tcPr>
            <w:tcW w:type="dxa" w:w="5076"/>
          </w:tcPr>
          <w:p>
            <w:pPr>
              <w:jc w:val="left"/>
            </w:pPr>
            <w:r>
              <w:rPr/>
              <w:t>磋商小组根据响应供应商提供的项目了解程度进行评审，包括以下几个方面（磋商响应文件中各项标题应以下列名称命名）： （1）对施工地点的了解； （2）对施工周围情况了解。 提供全部内容 得2分，每缺1项扣1分。</w:t>
            </w:r>
          </w:p>
        </w:tc>
      </w:tr>
      <w:tr>
        <w:tc>
          <w:tcPr>
            <w:tcW w:type="dxa" w:w="922"/>
            <w:gridSpan w:val="2"/>
            <w:vMerge/>
          </w:tcPr>
          <w:p/>
        </w:tc>
        <w:tc>
          <w:tcPr>
            <w:tcW w:type="dxa" w:w="2307"/>
          </w:tcPr>
          <w:p>
            <w:pPr>
              <w:jc w:val="left"/>
            </w:pPr>
            <w:r>
              <w:rPr/>
              <w:t>项目了解程度（二） (8.0分)</w:t>
            </w:r>
            <w:r>
              <w:rPr/>
              <w:t>，（等次分值选择：</w:t>
            </w:r>
            <w:r>
              <w:rPr/>
              <w:t>0.0;</w:t>
            </w:r>
            <w:r>
              <w:rPr/>
              <w:t>1.0;</w:t>
            </w:r>
            <w:r>
              <w:rPr/>
              <w:t>4.0;</w:t>
            </w:r>
            <w:r>
              <w:rPr/>
              <w:t>8.0;</w:t>
            </w:r>
            <w:r>
              <w:rPr/>
              <w:t>）</w:t>
            </w:r>
          </w:p>
        </w:tc>
        <w:tc>
          <w:tcPr>
            <w:tcW w:type="dxa" w:w="5076"/>
          </w:tcPr>
          <w:p>
            <w:pPr>
              <w:jc w:val="left"/>
            </w:pPr>
            <w:r>
              <w:rPr/>
              <w:t>磋商小组根据响应供应商提供的项目了解程度（一） 详细内容进行综合评审： （1）响应供应商对项目施工地点、周围情况了解全面具体，有效保障本项目实施，有利于实现施工效果，得8分； （2）响应供应商对项目施工地点、周围情况部分了解，基本保障本项目实施，基本满足施工效果，得4分； （3）响应供应商对项目施工地点、周围情况不了解，无法保障本项目实施，达不到施工效果，得1分； （4）没提供得0分。</w:t>
            </w:r>
          </w:p>
        </w:tc>
      </w:tr>
      <w:tr>
        <w:tc>
          <w:tcPr>
            <w:tcW w:type="dxa" w:w="922"/>
            <w:gridSpan w:val="2"/>
            <w:vMerge/>
          </w:tcPr>
          <w:p/>
        </w:tc>
        <w:tc>
          <w:tcPr>
            <w:tcW w:type="dxa" w:w="2307"/>
          </w:tcPr>
          <w:p>
            <w:pPr>
              <w:jc w:val="left"/>
            </w:pPr>
            <w:r>
              <w:rPr/>
              <w:t>项目进度及控制措施（一） (3.0分)</w:t>
            </w:r>
          </w:p>
        </w:tc>
        <w:tc>
          <w:tcPr>
            <w:tcW w:type="dxa" w:w="5076"/>
          </w:tcPr>
          <w:p>
            <w:pPr>
              <w:jc w:val="left"/>
            </w:pPr>
            <w:r>
              <w:rPr/>
              <w:t>磋商小组根据响应供应商提供的项目进度及控制措施进行评审，包括以下几个方面（磋商响应文件中各项标题应以下列名称命名）： （1）施工进度计划； （2）工期控制措施。 提供全部内容 得3分，每缺1项扣1.5分。</w:t>
            </w:r>
          </w:p>
        </w:tc>
      </w:tr>
      <w:tr>
        <w:tc>
          <w:tcPr>
            <w:tcW w:type="dxa" w:w="922"/>
            <w:gridSpan w:val="2"/>
            <w:vMerge/>
          </w:tcPr>
          <w:p/>
        </w:tc>
        <w:tc>
          <w:tcPr>
            <w:tcW w:type="dxa" w:w="2307"/>
          </w:tcPr>
          <w:p>
            <w:pPr>
              <w:jc w:val="left"/>
            </w:pPr>
            <w:r>
              <w:rPr/>
              <w:t>项目进度及控制措施（二） (12.0分)</w:t>
            </w:r>
            <w:r>
              <w:rPr/>
              <w:t>，（等次分值选择：</w:t>
            </w:r>
            <w:r>
              <w:rPr/>
              <w:t>0.0;</w:t>
            </w:r>
            <w:r>
              <w:rPr/>
              <w:t>4.0;</w:t>
            </w:r>
            <w:r>
              <w:rPr/>
              <w:t>8.0;</w:t>
            </w:r>
            <w:r>
              <w:rPr/>
              <w:t>12.0;</w:t>
            </w:r>
            <w:r>
              <w:rPr/>
              <w:t>）</w:t>
            </w:r>
          </w:p>
        </w:tc>
        <w:tc>
          <w:tcPr>
            <w:tcW w:type="dxa" w:w="5076"/>
          </w:tcPr>
          <w:p>
            <w:pPr>
              <w:jc w:val="left"/>
            </w:pPr>
            <w:r>
              <w:rPr/>
              <w:t>磋商小组会根据响应供应商提供项目进度及控制措施（一）的详细内容进行综合评审： （1）对本工程的项目的特点，从施工精度计划、工期保证安排等方面提出完善可行、合理有效的计划及措施，针对项目具体情况全面分析、细致响应，有效保障本项目实施，有利于实现服务效果，得12分； （2）对本工程项目的特定，从施工进度计划和工期保证安排方面提出合理可行但存在部分瑕疵的方案，但不影响方案实施的，总体上满足项目实施基本需求，基本保障本项目服务实施，基本满足服务效果，得8分； （3）没有对本项目具体分析，就本工程项目提出额施工进度计划和工期安排提出计划措施不合理或者没有针对性，方案措施难以执行的，无法保障本项目服务实施，达不到服务效果，得4分； （4）没提供的得0分。</w:t>
            </w:r>
          </w:p>
        </w:tc>
      </w:tr>
      <w:tr>
        <w:tc>
          <w:tcPr>
            <w:tcW w:type="dxa" w:w="922"/>
            <w:gridSpan w:val="2"/>
            <w:vMerge/>
          </w:tcPr>
          <w:p/>
        </w:tc>
        <w:tc>
          <w:tcPr>
            <w:tcW w:type="dxa" w:w="2307"/>
          </w:tcPr>
          <w:p>
            <w:pPr>
              <w:jc w:val="left"/>
            </w:pPr>
            <w:r>
              <w:rPr/>
              <w:t>本项目施工重点、难点分析和解决办法（一） (3.0分)</w:t>
            </w:r>
          </w:p>
        </w:tc>
        <w:tc>
          <w:tcPr>
            <w:tcW w:type="dxa" w:w="5076"/>
          </w:tcPr>
          <w:p>
            <w:pPr>
              <w:jc w:val="left"/>
            </w:pPr>
            <w:r>
              <w:rPr/>
              <w:t>磋商小组根据响应供应商提供的本项目施工重点、难点分析和解决办法进行评审，方案应包括（响应文件中方案标题应以下列方案名称命名）： （1）项目重点难点分析。 （2）设计重点、施工重点、难点处理措施。 （3）合理化建议。 提供全部内容得3分，每缺1项扣1分。</w:t>
            </w:r>
          </w:p>
        </w:tc>
      </w:tr>
      <w:tr>
        <w:tc>
          <w:tcPr>
            <w:tcW w:type="dxa" w:w="922"/>
            <w:gridSpan w:val="2"/>
            <w:vMerge/>
          </w:tcPr>
          <w:p/>
        </w:tc>
        <w:tc>
          <w:tcPr>
            <w:tcW w:type="dxa" w:w="2307"/>
          </w:tcPr>
          <w:p>
            <w:pPr>
              <w:jc w:val="left"/>
            </w:pPr>
            <w:r>
              <w:rPr/>
              <w:t>本项目设计重点、施工重点、难点分析和解决办法（二） (12.0分)</w:t>
            </w:r>
            <w:r>
              <w:rPr/>
              <w:t>，（等次分值选择：</w:t>
            </w:r>
            <w:r>
              <w:rPr/>
              <w:t>0.0;</w:t>
            </w:r>
            <w:r>
              <w:rPr/>
              <w:t>4.0;</w:t>
            </w:r>
            <w:r>
              <w:rPr/>
              <w:t>8.0;</w:t>
            </w:r>
            <w:r>
              <w:rPr/>
              <w:t>12.0;</w:t>
            </w:r>
            <w:r>
              <w:rPr/>
              <w:t>）</w:t>
            </w:r>
          </w:p>
        </w:tc>
        <w:tc>
          <w:tcPr>
            <w:tcW w:type="dxa" w:w="5076"/>
          </w:tcPr>
          <w:p>
            <w:pPr>
              <w:jc w:val="left"/>
            </w:pPr>
            <w:r>
              <w:rPr/>
              <w:t>磋商小组根据响应供应商提供的本项目设计重点、施工重点、难点分析和解决办法（一）详细内容进行综合评审： （1）响应供应商根据本项目的特点，对设计重点、施工的重点、难点分析合理，认识准确，并针对重点、难点分析情况提出可行、有效、经济、安全的处理措施的，得12分； （2）响应供应商根据本项目的特点，对设计重点、施工的重点、难点分析基本合理，认识基本准确，并针对重点、难点分析情况提出基本可行、有效、经济、安全的处理措施的，得8分； （3）响应供应商根据本项目的特点，对设计重点、施工的重点、难点分析部分到位，认识部分准确，并针对重点、难点分析情况提出部分可行、有效、经济、安全的处理措施的，得4分； （4）没提供得0分。</w:t>
            </w:r>
          </w:p>
        </w:tc>
      </w:tr>
      <w:tr>
        <w:tc>
          <w:tcPr>
            <w:tcW w:type="dxa" w:w="922"/>
            <w:gridSpan w:val="2"/>
            <w:vMerge/>
          </w:tcPr>
          <w:p/>
        </w:tc>
        <w:tc>
          <w:tcPr>
            <w:tcW w:type="dxa" w:w="2307"/>
          </w:tcPr>
          <w:p>
            <w:pPr>
              <w:jc w:val="left"/>
            </w:pPr>
            <w:r>
              <w:rPr/>
              <w:t>质量保障措施（一） (3.0分)</w:t>
            </w:r>
          </w:p>
        </w:tc>
        <w:tc>
          <w:tcPr>
            <w:tcW w:type="dxa" w:w="5076"/>
          </w:tcPr>
          <w:p>
            <w:pPr>
              <w:jc w:val="left"/>
            </w:pPr>
            <w:r>
              <w:rPr/>
              <w:t>磋商小组根据响应供应商提供的质量保障措施进行评审，包括以下几个方面（磋商响应文件中各项标题应以下列名称命名）： （1）质量保证体系； （2）材料的检测； （3）质量通病的防治。 提供全部内容得3分，每缺1项扣1分。</w:t>
            </w:r>
          </w:p>
        </w:tc>
      </w:tr>
      <w:tr>
        <w:tc>
          <w:tcPr>
            <w:tcW w:type="dxa" w:w="922"/>
            <w:gridSpan w:val="2"/>
            <w:vMerge/>
          </w:tcPr>
          <w:p/>
        </w:tc>
        <w:tc>
          <w:tcPr>
            <w:tcW w:type="dxa" w:w="2307"/>
          </w:tcPr>
          <w:p>
            <w:pPr>
              <w:jc w:val="left"/>
            </w:pPr>
            <w:r>
              <w:rPr/>
              <w:t>质量保障措施（二） (12.0分)</w:t>
            </w:r>
            <w:r>
              <w:rPr/>
              <w:t>，（等次分值选择：</w:t>
            </w:r>
            <w:r>
              <w:rPr/>
              <w:t>0.0;</w:t>
            </w:r>
            <w:r>
              <w:rPr/>
              <w:t>4.0;</w:t>
            </w:r>
            <w:r>
              <w:rPr/>
              <w:t>8.0;</w:t>
            </w:r>
            <w:r>
              <w:rPr/>
              <w:t>12.0;</w:t>
            </w:r>
            <w:r>
              <w:rPr/>
              <w:t>）</w:t>
            </w:r>
          </w:p>
        </w:tc>
        <w:tc>
          <w:tcPr>
            <w:tcW w:type="dxa" w:w="5076"/>
          </w:tcPr>
          <w:p>
            <w:pPr>
              <w:jc w:val="left"/>
            </w:pPr>
            <w:r>
              <w:rPr/>
              <w:t>磋商小组会根据响应供应商提供质量保障措施（二） 的详细内容进行综合评审： （1）对本工程的质量目标，项目的特点，从质量保证体系、材料的检测、质量通病的防治等方面提出完善的质量保证措施，针对项目具体情况全面分析、细致响应的，有效保障本项目实施，有利于实现服务效果，得12分； （2）对本工程的质量目标，项目的特点，从质量保证体系、材料的检测、质量通病的防治等方面提出的质量保证措施存在部分瑕疵，但不影响方案实施的，总体上能响应项目特点的，基本保障本项目服务实施，基本满足服务效果，得8分； （3）对本工程的质量目标，项目的特点，从质量保证体系、材料的检测、质量通病的防治等方面提出的质量保证措施不完善、有缺漏，或者没针对项目情况具体分析的，无法保障本项目服务实施，达不到服务效果，得4分； （4）没提供的得0分。</w:t>
            </w:r>
          </w:p>
        </w:tc>
      </w:tr>
      <w:tr>
        <w:tc>
          <w:tcPr>
            <w:tcW w:type="dxa" w:w="922"/>
            <w:gridSpan w:val="2"/>
            <w:vMerge/>
          </w:tcPr>
          <w:p/>
        </w:tc>
        <w:tc>
          <w:tcPr>
            <w:tcW w:type="dxa" w:w="2307"/>
          </w:tcPr>
          <w:p>
            <w:pPr>
              <w:jc w:val="left"/>
            </w:pPr>
            <w:r>
              <w:rPr/>
              <w:t>安全、文明施工、环保措施（一） (1.0分)</w:t>
            </w:r>
          </w:p>
        </w:tc>
        <w:tc>
          <w:tcPr>
            <w:tcW w:type="dxa" w:w="5076"/>
          </w:tcPr>
          <w:p>
            <w:pPr>
              <w:jc w:val="left"/>
            </w:pPr>
            <w:r>
              <w:rPr/>
              <w:t>磋商小组根据响应供应商提供的文明、环保施工保证措施进行评审，包括以下几个方面（磋商响应文件中各项标题应以下列名称命名）： （1）文明施工管理制度； （2）环境保护措施。 提供全部内容 得1分，每缺1项扣0.5分。</w:t>
            </w:r>
          </w:p>
        </w:tc>
      </w:tr>
      <w:tr>
        <w:tc>
          <w:tcPr>
            <w:tcW w:type="dxa" w:w="922"/>
            <w:gridSpan w:val="2"/>
            <w:vMerge/>
          </w:tcPr>
          <w:p/>
        </w:tc>
        <w:tc>
          <w:tcPr>
            <w:tcW w:type="dxa" w:w="2307"/>
          </w:tcPr>
          <w:p>
            <w:pPr>
              <w:jc w:val="left"/>
            </w:pPr>
            <w:r>
              <w:rPr/>
              <w:t>安全、文明施工、环保措施（二） (4.0分)</w:t>
            </w:r>
            <w:r>
              <w:rPr/>
              <w:t>，（等次分值选择：</w:t>
            </w:r>
            <w:r>
              <w:rPr/>
              <w:t>0.0;</w:t>
            </w:r>
            <w:r>
              <w:rPr/>
              <w:t>1.0;</w:t>
            </w:r>
            <w:r>
              <w:rPr/>
              <w:t>2.0;</w:t>
            </w:r>
            <w:r>
              <w:rPr/>
              <w:t>4.0;</w:t>
            </w:r>
            <w:r>
              <w:rPr/>
              <w:t>）</w:t>
            </w:r>
          </w:p>
        </w:tc>
        <w:tc>
          <w:tcPr>
            <w:tcW w:type="dxa" w:w="5076"/>
          </w:tcPr>
          <w:p>
            <w:pPr>
              <w:jc w:val="left"/>
            </w:pPr>
            <w:r>
              <w:rPr/>
              <w:t>磋商小组根据响应供应商提供的安全、文明施工、环保措施（一）详细内容进行综合评审： （1）对本工程的特点，从文明施工管理制度、环境保护等方面提出完善的文明、环保施工保证措施，针对项目具体情况全面分析、细致响应的，有效保障本项目实施，有利于实现服务效果，得4分； （2）对本工程的特点，从文明施工管理制度、环境保护等方面提出文明、环保施工保证措施存在部分瑕疵，但不影响方案实施的，总体上能响应项目特点的，基本保障本项目服务实施，基本满足服务效果，得2分； （3）对本工程的特点，从文明施工管理制度、环境保护等方面提出文明、环保施工保证措施不完善、有缺漏，或者没针对项目情况具体分析的，无法保障本项目服务实施，达不到服务效果，得1分； （4）没提供的得0分。</w:t>
            </w:r>
          </w:p>
        </w:tc>
      </w:tr>
      <w:tr>
        <w:tc>
          <w:tcPr>
            <w:tcW w:type="dxa" w:w="922"/>
            <w:gridSpan w:val="2"/>
            <w:vMerge w:val="restart"/>
          </w:tcPr>
          <w:p>
            <w:pPr>
              <w:jc w:val="center"/>
            </w:pPr>
            <w:r>
              <w:rPr/>
              <w:t>商务部分</w:t>
            </w:r>
          </w:p>
        </w:tc>
        <w:tc>
          <w:tcPr>
            <w:tcW w:type="dxa" w:w="2307"/>
          </w:tcPr>
          <w:p>
            <w:pPr>
              <w:jc w:val="left"/>
            </w:pPr>
            <w:r>
              <w:rPr/>
              <w:t>人员配置 (24.0分)</w:t>
            </w:r>
          </w:p>
        </w:tc>
        <w:tc>
          <w:tcPr>
            <w:tcW w:type="dxa" w:w="5076"/>
          </w:tcPr>
          <w:p>
            <w:pPr>
              <w:jc w:val="left"/>
            </w:pPr>
            <w:r>
              <w:rPr/>
              <w:t>根据响应供应商拟投入人员配置（不包含项目负责人和专职安全员）进行评审：  （1）具备工程相关的高级专业职称证书或以上，每提供一个，得8分，本小项满分24分； （2）具备工程相关的中级专业职称证书，每提供一个，得4分，本小项满分12分。 注：（1）和（2）最高得分为24分。 须提供人员相关证书复印件及供应商为其缴纳的近3个月内（不含磋商截止当月）任意一个月社保证明（或代缴个税证明）复印件加盖供应商公章，同一人提供多个证件只计一次分数。</w:t>
            </w:r>
          </w:p>
        </w:tc>
      </w:tr>
      <w:tr>
        <w:tc>
          <w:tcPr>
            <w:tcW w:type="dxa" w:w="922"/>
            <w:gridSpan w:val="2"/>
            <w:vMerge/>
          </w:tcPr>
          <w:p/>
        </w:tc>
        <w:tc>
          <w:tcPr>
            <w:tcW w:type="dxa" w:w="2307"/>
          </w:tcPr>
          <w:p>
            <w:pPr>
              <w:jc w:val="left"/>
            </w:pPr>
            <w:r>
              <w:rPr/>
              <w:t>项目业绩 (6.0分)</w:t>
            </w:r>
          </w:p>
        </w:tc>
        <w:tc>
          <w:tcPr>
            <w:tcW w:type="dxa" w:w="5076"/>
          </w:tcPr>
          <w:p>
            <w:pPr>
              <w:jc w:val="left"/>
            </w:pPr>
            <w:r>
              <w:rPr/>
              <w:t>对响应供应商自2020年1月1日至今的市政公用工程项目业绩进行评审，每个合同得2分，满分6分。 注：需提供合同复印件，以合同签订日期为准，未提供不得分。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满足招标文件要求且投标价格最低的响应报价为评标基准价。 响应报价得分=（评标基准价/响应报价）×价格分分值 评标过程中，不得去掉报价中的最高报价和最低报价。 因落实政府采购政策进行价格调整的，以调整后的价格计算评标基准价和响应报价。</w:t>
            </w:r>
          </w:p>
        </w:tc>
      </w:tr>
    </w:tbl>
    <w:p/>
    <w:p>
      <w:r>
        <w:rPr>
          <w:b/>
          <w:sz w:val="24"/>
        </w:rPr>
        <w:t>6.汇总、排序</w:t>
      </w:r>
    </w:p>
    <w:p>
      <w:pPr>
        <w:ind w:firstLine="480"/>
      </w:pPr>
    </w:p>
    <w:p/>
    <w:p>
      <w:r>
        <w:rPr/>
        <w:t>采购包1：</w:t>
      </w:r>
    </w:p>
    <w:p/>
    <w:p>
      <w:r>
        <w:rPr/>
        <w:t>评审结果按评审后总得分由高到低顺序排列。总得分相同的按响应报价由低到高顺序排列。得分且响应报价相同的，按照技术指标优劣顺序推荐。排名第一的响应供应商为第一成交候选人，排名第二的响应供应商为第二成交候选人，排名第三的响应供应商为第三成交候选人。评审得分相同的，由采购人或者采购人委托磋商小组会采取随机抽取方式确定，其他同品牌响应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b/>
          <w:sz w:val="21"/>
        </w:rPr>
        <w:t>2、</w:t>
      </w:r>
      <w:r>
        <w:rPr>
          <w:b/>
          <w:sz w:val="21"/>
        </w:rPr>
        <w:t>本项目合同为中小企业预留合同。</w:t>
      </w:r>
    </w:p>
    <w:p>
      <w:pPr>
        <w:jc w:val="left"/>
      </w:pPr>
    </w:p>
    <w:p>
      <w:pPr>
        <w:jc w:val="center"/>
      </w:pPr>
      <w:r>
        <w:rPr/>
        <w:t xml:space="preserve"> </w:t>
      </w:r>
    </w:p>
    <w:p>
      <w:pPr>
        <w:jc w:val="center"/>
      </w:pPr>
      <w:r>
        <w:rPr>
          <w:b/>
          <w:sz w:val="28"/>
        </w:rPr>
        <w:t>政府采购合同</w:t>
      </w:r>
    </w:p>
    <w:p>
      <w:pPr>
        <w:jc w:val="center"/>
      </w:pPr>
      <w:r>
        <w:rPr/>
        <w:t xml:space="preserve"> </w:t>
      </w:r>
    </w:p>
    <w:p>
      <w:pPr>
        <w:jc w:val="both"/>
      </w:pPr>
      <w:r>
        <w:rPr>
          <w:sz w:val="21"/>
        </w:rPr>
        <w:t>合同名称：</w:t>
      </w:r>
    </w:p>
    <w:p>
      <w:pPr>
        <w:jc w:val="both"/>
      </w:pPr>
      <w:r>
        <w:rPr>
          <w:sz w:val="21"/>
        </w:rPr>
        <w:t>合同编号：</w:t>
      </w:r>
    </w:p>
    <w:p>
      <w:pPr>
        <w:jc w:val="both"/>
      </w:pPr>
      <w:r>
        <w:rPr>
          <w:sz w:val="21"/>
        </w:rPr>
        <w:t>甲方：</w:t>
      </w:r>
      <w:r>
        <w:rPr>
          <w:sz w:val="21"/>
        </w:rPr>
        <w:t xml:space="preserve">            </w:t>
      </w:r>
    </w:p>
    <w:p>
      <w:pPr>
        <w:jc w:val="both"/>
      </w:pPr>
      <w:r>
        <w:rPr>
          <w:sz w:val="21"/>
        </w:rPr>
        <w:t>乙方：</w:t>
      </w:r>
    </w:p>
    <w:p>
      <w:pPr>
        <w:jc w:val="both"/>
      </w:pPr>
      <w:r>
        <w:rPr>
          <w:sz w:val="21"/>
        </w:rPr>
        <w:t>合同金额</w:t>
      </w:r>
      <w:r>
        <w:rPr>
          <w:sz w:val="21"/>
        </w:rPr>
        <w:t xml:space="preserve">(元)：              </w:t>
      </w:r>
      <w:r>
        <w:rPr>
          <w:sz w:val="21"/>
        </w:rPr>
        <w:t>人民币大写：</w:t>
      </w:r>
    </w:p>
    <w:p>
      <w:pPr>
        <w:ind w:firstLine="448"/>
        <w:jc w:val="both"/>
      </w:pPr>
      <w:r>
        <w:rPr>
          <w:sz w:val="21"/>
        </w:rPr>
        <w:t>根据《中华人民共和国民法典》、《中华人民共和国建筑法》及有关法律规定，遵循平等、自愿、公平和诚实信用的原则，双方就工程施工及有关事项协商一致，签订本合同，并共同遵守。</w:t>
      </w:r>
    </w:p>
    <w:p>
      <w:pPr>
        <w:ind w:firstLine="448"/>
        <w:jc w:val="both"/>
      </w:pPr>
      <w:r>
        <w:rPr>
          <w:sz w:val="21"/>
        </w:rPr>
        <w:t>1.工程概况</w:t>
      </w:r>
    </w:p>
    <w:p>
      <w:pPr>
        <w:ind w:firstLine="448"/>
        <w:jc w:val="both"/>
      </w:pPr>
      <w:r>
        <w:rPr>
          <w:sz w:val="21"/>
        </w:rPr>
        <w:t>1.1工程名称：</w:t>
      </w:r>
      <w:r>
        <w:rPr>
          <w:sz w:val="21"/>
        </w:rPr>
        <w:t>某基地灾后重建设计施工一体化项目</w:t>
      </w:r>
    </w:p>
    <w:p>
      <w:pPr>
        <w:ind w:firstLine="448"/>
        <w:jc w:val="both"/>
      </w:pPr>
      <w:r>
        <w:rPr>
          <w:sz w:val="21"/>
        </w:rPr>
        <w:t>1.2工程地点：</w:t>
      </w:r>
    </w:p>
    <w:p>
      <w:pPr>
        <w:ind w:firstLine="448"/>
        <w:jc w:val="both"/>
      </w:pPr>
      <w:r>
        <w:rPr>
          <w:sz w:val="21"/>
        </w:rPr>
        <w:t>1.5工期：整个工程应于</w:t>
      </w:r>
      <w:r>
        <w:rPr>
          <w:sz w:val="21"/>
          <w:u w:val="single"/>
        </w:rPr>
        <w:t xml:space="preserve">   </w:t>
      </w:r>
      <w:r>
        <w:rPr>
          <w:sz w:val="21"/>
        </w:rPr>
        <w:t>日历天内完成，开工日期以采购人发出的开工令为准。</w:t>
      </w:r>
    </w:p>
    <w:p>
      <w:pPr>
        <w:ind w:firstLine="448"/>
        <w:jc w:val="both"/>
      </w:pPr>
      <w:r>
        <w:rPr>
          <w:sz w:val="21"/>
        </w:rPr>
        <w:t>1.6工程质量：合格。</w:t>
      </w:r>
    </w:p>
    <w:p>
      <w:pPr>
        <w:ind w:firstLine="448"/>
        <w:jc w:val="both"/>
      </w:pPr>
      <w:r>
        <w:rPr>
          <w:sz w:val="21"/>
        </w:rPr>
        <w:t xml:space="preserve">1.7合同总价款（人民币小写）：              （人民币大写）：       </w:t>
      </w:r>
    </w:p>
    <w:p>
      <w:pPr>
        <w:ind w:firstLine="448"/>
        <w:jc w:val="both"/>
      </w:pPr>
      <w:r>
        <w:rPr>
          <w:sz w:val="21"/>
        </w:rPr>
        <w:t>合同总额包工、包料、包机械设备、包质量、包工期、包安全、包文明施工、包验收（合格或以上）、包资料移交（归档）、各项税费及合同实施过程中不可预见费用等。</w:t>
      </w:r>
    </w:p>
    <w:p>
      <w:pPr>
        <w:ind w:firstLine="448"/>
        <w:jc w:val="both"/>
      </w:pPr>
      <w:r>
        <w:rPr>
          <w:sz w:val="21"/>
        </w:rPr>
        <w:t>2.甲方工作</w:t>
      </w:r>
    </w:p>
    <w:p>
      <w:pPr>
        <w:ind w:firstLine="448"/>
        <w:jc w:val="both"/>
      </w:pPr>
      <w:r>
        <w:rPr>
          <w:sz w:val="21"/>
        </w:rPr>
        <w:t>2.1开工前确认乙方的设计施工图纸，并向乙方进行现场交底。全部腾空或部分腾空房屋，清除影响施工的障碍物。对只能部分腾空的房屋中所滞留的家具、陈设等采取保护措施。向乙方提供施工所需的水、电等设备，尽可能地提供电讯之便。协助办理施工所涉及的各种申请、批件等手续。</w:t>
      </w:r>
    </w:p>
    <w:p>
      <w:pPr>
        <w:ind w:firstLine="448"/>
        <w:jc w:val="both"/>
      </w:pPr>
      <w:r>
        <w:rPr>
          <w:sz w:val="21"/>
        </w:rPr>
        <w:t>2.2指派驻工地代表，负责合同履行。对工程质量、进度进行监督检查，办理验收。</w:t>
      </w:r>
    </w:p>
    <w:p>
      <w:pPr>
        <w:ind w:firstLine="448"/>
        <w:jc w:val="both"/>
      </w:pPr>
      <w:r>
        <w:rPr>
          <w:sz w:val="21"/>
        </w:rPr>
        <w:t>2.3如确实需要拆改原建筑物结构或设备管线，负责到有关部门办理相应审批手续。</w:t>
      </w:r>
    </w:p>
    <w:p>
      <w:pPr>
        <w:ind w:firstLine="448"/>
        <w:jc w:val="both"/>
      </w:pPr>
      <w:r>
        <w:rPr>
          <w:sz w:val="21"/>
        </w:rPr>
        <w:t>2.4协调有关部门做好现场保卫、消防等工作。</w:t>
      </w:r>
    </w:p>
    <w:p>
      <w:pPr>
        <w:ind w:firstLine="448"/>
        <w:jc w:val="both"/>
      </w:pPr>
      <w:r>
        <w:rPr>
          <w:sz w:val="21"/>
        </w:rPr>
        <w:t>3乙方工作</w:t>
      </w:r>
    </w:p>
    <w:p>
      <w:pPr>
        <w:ind w:firstLine="448"/>
        <w:jc w:val="both"/>
      </w:pPr>
      <w:r>
        <w:rPr>
          <w:sz w:val="21"/>
        </w:rPr>
        <w:t>3.1参加甲方组织的施工图纸设计及现场交底，于开工前3天提交施工方案、进度计划以及人员配备资料（包括专业技术人员、专业资格证书、项目负责人执业证书、安全考核合格证书等）和进度计划给甲方审定。</w:t>
      </w:r>
    </w:p>
    <w:p>
      <w:pPr>
        <w:ind w:firstLine="448"/>
        <w:jc w:val="both"/>
      </w:pPr>
      <w:r>
        <w:rPr>
          <w:sz w:val="21"/>
        </w:rPr>
        <w:t>3.2指派        为乙方驻工地代表，负责合同履行。按要求组织施工，保质、保量、按期完成施工任务，解决由乙方负责的各项事宜。</w:t>
      </w:r>
    </w:p>
    <w:p>
      <w:pPr>
        <w:ind w:firstLine="448"/>
        <w:jc w:val="both"/>
      </w:pPr>
      <w:r>
        <w:rPr>
          <w:sz w:val="21"/>
        </w:rPr>
        <w:t>3.3乙方必须严格遵守以下各项规定，如由于乙方的原因，致使由下述几点而产生的相关一切经济问题和法律责任全部由乙方承担：</w:t>
      </w:r>
    </w:p>
    <w:p>
      <w:pPr>
        <w:ind w:firstLine="448"/>
        <w:jc w:val="both"/>
      </w:pPr>
      <w:r>
        <w:rPr>
          <w:sz w:val="21"/>
        </w:rPr>
        <w:t>3.3.1严格执行施工规范、安全操作规程、防火安全规定、环境保护规定。严格按照图纸或做法说明进行施工，做好各项质量检查记录。参加竣工验收，编制工程结算。</w:t>
      </w:r>
    </w:p>
    <w:p>
      <w:pPr>
        <w:ind w:firstLine="448"/>
        <w:jc w:val="both"/>
      </w:pPr>
      <w:r>
        <w:rPr>
          <w:sz w:val="21"/>
        </w:rPr>
        <w:t>3.3.2遵守国家或地方政府及有关部门对施工现场管理的规定，妥善保护好施工现场周围建筑物、设备管线、古树名木不受损坏。处理好由于施工带来的扰民问题及与周围单位（住户）的关系。做好施工现场保卫和垃圾消纳等工作，并承担相应费用。</w:t>
      </w:r>
    </w:p>
    <w:p>
      <w:pPr>
        <w:ind w:firstLine="448"/>
        <w:jc w:val="both"/>
      </w:pPr>
      <w:r>
        <w:rPr>
          <w:sz w:val="21"/>
        </w:rPr>
        <w:t>3.3.3施工中未经甲方同意或有关部门批准，不得随意拆改原建筑物结构及各种设备管线。</w:t>
      </w:r>
    </w:p>
    <w:p>
      <w:pPr>
        <w:ind w:firstLine="448"/>
        <w:jc w:val="both"/>
      </w:pPr>
      <w:r>
        <w:rPr>
          <w:sz w:val="21"/>
        </w:rPr>
        <w:t>3.4工程竣工未移交甲方之前，负责对现场的一切设施和工程成品进行保护。</w:t>
      </w:r>
    </w:p>
    <w:p>
      <w:pPr>
        <w:ind w:firstLine="448"/>
        <w:jc w:val="both"/>
      </w:pPr>
      <w:r>
        <w:rPr>
          <w:sz w:val="21"/>
        </w:rPr>
        <w:t>3.5按附件签订《项目负责人驻场承诺书》，并自觉遵守承诺书条款。</w:t>
      </w:r>
    </w:p>
    <w:p>
      <w:pPr>
        <w:ind w:firstLine="448"/>
        <w:jc w:val="both"/>
      </w:pPr>
      <w:r>
        <w:rPr>
          <w:sz w:val="21"/>
        </w:rPr>
        <w:t>3.6按附件签订《专职安全管理人员驻场承诺书》，并自觉遵守承诺书条款。</w:t>
      </w:r>
    </w:p>
    <w:p>
      <w:pPr>
        <w:ind w:firstLine="448"/>
        <w:jc w:val="both"/>
      </w:pPr>
      <w:r>
        <w:rPr>
          <w:sz w:val="21"/>
        </w:rPr>
        <w:t>4关于工期的约定</w:t>
      </w:r>
    </w:p>
    <w:p>
      <w:pPr>
        <w:ind w:firstLine="448"/>
        <w:jc w:val="both"/>
      </w:pPr>
      <w:r>
        <w:rPr>
          <w:sz w:val="21"/>
        </w:rPr>
        <w:t>4.1甲方要求比合同约定的工期提前竣工时，应征得乙方同意，并支付乙方因赶工采取的措施费用。</w:t>
      </w:r>
    </w:p>
    <w:p>
      <w:pPr>
        <w:ind w:firstLine="448"/>
        <w:jc w:val="both"/>
      </w:pPr>
      <w:r>
        <w:rPr>
          <w:sz w:val="21"/>
        </w:rPr>
        <w:t>4.2因政府或有关部门的行为或不可抗力，导致无法动工、影响工期的，可根据具体情况顺延工期。</w:t>
      </w:r>
    </w:p>
    <w:p>
      <w:pPr>
        <w:ind w:firstLine="448"/>
        <w:jc w:val="both"/>
      </w:pPr>
      <w:r>
        <w:rPr>
          <w:sz w:val="21"/>
        </w:rPr>
        <w:t>4.3因乙方责任，不能按期开工或中途无故停工，影响工期，工期不顺延。</w:t>
      </w:r>
    </w:p>
    <w:p>
      <w:pPr>
        <w:ind w:firstLine="448"/>
        <w:jc w:val="both"/>
      </w:pPr>
      <w:r>
        <w:rPr>
          <w:sz w:val="21"/>
        </w:rPr>
        <w:t>4.4因设计变更或非乙方原因造成的停电、停水、停气及不可抗力因素影响，导致停工8小时以上（一周内累计计算），工期相应顺延。如发生上述所述情况，乙方应在事发后24小时内告知甲方，并提供足够证据予以证实，否则甲方将不接受乙方擅自顺延工期的做法。经甲方现场代表签证后，工期作相应顺延，并用书面形式确定顺延期限。</w:t>
      </w:r>
    </w:p>
    <w:p>
      <w:pPr>
        <w:ind w:firstLine="448"/>
        <w:jc w:val="both"/>
      </w:pPr>
      <w:r>
        <w:rPr>
          <w:sz w:val="21"/>
        </w:rPr>
        <w:t>5关于工程质量及验收的约定</w:t>
      </w:r>
    </w:p>
    <w:p>
      <w:pPr>
        <w:ind w:firstLine="448"/>
        <w:jc w:val="both"/>
      </w:pPr>
      <w:r>
        <w:rPr>
          <w:sz w:val="21"/>
        </w:rPr>
        <w:t>5.1本工程以施工图纸、设计变更和参照《建筑工程施工质量验收统一标准》（GB50300-2013）、《建筑装饰装修工程质量验收标准》（GB50210-2018）等国家制订的施工及验收规范为质量评定验收标准。并达到合格标准。</w:t>
      </w:r>
    </w:p>
    <w:p>
      <w:pPr>
        <w:ind w:firstLine="448"/>
        <w:jc w:val="both"/>
      </w:pPr>
      <w:r>
        <w:rPr>
          <w:sz w:val="21"/>
        </w:rPr>
        <w:t>5.2甲、乙双方应及时办理隐蔽工程和中间工程的检查与验收手续。乙方应于验收前24小时通知甲方，甲方代表接到通知后24小时内应到现场检验，认可签证后，方可进行下一道工序施工。若甲方要求复验时，乙方应按要求办理复验。若复验合格，甲方应承担复验费用，由此造成停工，工期顺延；若复验不合格，其复验及返工费用由乙方承担，但工期也不予顺延。</w:t>
      </w:r>
    </w:p>
    <w:p>
      <w:pPr>
        <w:ind w:firstLine="448"/>
        <w:jc w:val="both"/>
      </w:pPr>
      <w:r>
        <w:rPr>
          <w:sz w:val="21"/>
        </w:rPr>
        <w:t>5.3由于乙方原因造成质量事故，其返工费用由乙方承担，工期不顺延。</w:t>
      </w:r>
    </w:p>
    <w:p>
      <w:pPr>
        <w:ind w:firstLine="448"/>
        <w:jc w:val="both"/>
      </w:pPr>
      <w:r>
        <w:rPr>
          <w:sz w:val="21"/>
        </w:rPr>
        <w:t>5.4工程竣工后，乙方按规定整理提供完整的技术档案资料并发出竣工通知书经双方协商确定验收时间，甲方在双方确定的验收时间内组织验收，并办理验收、移交手续。如甲方在规定时间内未能组织验收，需及时通知乙方，另定验收日期。但甲方应承认竣工日期，并承担乙方的看管费用和相关费用。若验收不合格，乙方在甲方限定时间内修改后重新验收，并承担由于修改而产生的费用。工期不予顺延，竣工日期以最后检验合格的日期为准。</w:t>
      </w:r>
    </w:p>
    <w:p>
      <w:pPr>
        <w:ind w:firstLine="448"/>
        <w:jc w:val="both"/>
      </w:pPr>
      <w:r>
        <w:rPr>
          <w:sz w:val="21"/>
        </w:rPr>
        <w:t>5.5工程竣工验收，应以施工图纸、技术交底纪要、设计更改通知、国家颁发的施工验收规范和质量检验标准为依据。自工程移交甲方管理日起计算，修缮工程保修期为2年，在保修期内因施工造成的工程质量问题，甲方应书面通知乙方并约定时间进行修理。</w:t>
      </w:r>
    </w:p>
    <w:p>
      <w:pPr>
        <w:ind w:firstLine="448"/>
        <w:jc w:val="both"/>
      </w:pPr>
      <w:r>
        <w:rPr>
          <w:sz w:val="21"/>
        </w:rPr>
        <w:t>6关于工程价款支付及结算的约定</w:t>
      </w:r>
    </w:p>
    <w:p>
      <w:pPr>
        <w:ind w:firstLine="448"/>
        <w:jc w:val="both"/>
      </w:pPr>
      <w:r>
        <w:rPr>
          <w:sz w:val="21"/>
        </w:rPr>
        <w:t>6.1付款方式：</w:t>
      </w:r>
    </w:p>
    <w:p>
      <w:pPr>
        <w:ind w:firstLine="424"/>
        <w:jc w:val="both"/>
      </w:pPr>
      <w:r>
        <w:rPr>
          <w:sz w:val="21"/>
        </w:rPr>
        <w:t>1期：支付比例30%，合同生效后5个工作日，甲方向乙方支付合同总价的30%。</w:t>
      </w:r>
    </w:p>
    <w:p>
      <w:pPr>
        <w:ind w:firstLine="424"/>
        <w:jc w:val="both"/>
      </w:pPr>
      <w:r>
        <w:rPr>
          <w:sz w:val="21"/>
        </w:rPr>
        <w:t>2期：竣工验收后可支付到合同金额的90%，经财政审核后且收到乙方竣工资料及正式发票后10个工作日内甲方向乙方支付至合同总价的97%。</w:t>
      </w:r>
    </w:p>
    <w:p>
      <w:pPr>
        <w:ind w:firstLine="424"/>
        <w:jc w:val="both"/>
      </w:pPr>
      <w:r>
        <w:rPr>
          <w:sz w:val="21"/>
        </w:rPr>
        <w:t>3期：合同总价的3%作为质保金。质保期满后，甲方收到乙方的支付工程款项申请，经审核后10个工作日内无息支付。在保修期内因施工质量而造成返修，其费用由乙方负责，若乙方在质量保证期内未完全履行缺陷保修义务的，甲方有权扣除质量保证金，并保留进一步索赔的权利。</w:t>
      </w:r>
    </w:p>
    <w:p>
      <w:pPr>
        <w:ind w:firstLine="448"/>
        <w:jc w:val="both"/>
      </w:pPr>
      <w:r>
        <w:rPr>
          <w:sz w:val="21"/>
        </w:rPr>
        <w:t>6.2乙方申请工程款的同时，向甲方提供等值有效的工程发票。</w:t>
      </w:r>
    </w:p>
    <w:p>
      <w:pPr>
        <w:ind w:firstLine="448"/>
        <w:jc w:val="both"/>
      </w:pPr>
      <w:r>
        <w:rPr>
          <w:sz w:val="21"/>
        </w:rPr>
        <w:t>7合同价款的约定与调整</w:t>
      </w:r>
    </w:p>
    <w:p>
      <w:pPr>
        <w:ind w:firstLine="448"/>
        <w:jc w:val="both"/>
      </w:pPr>
      <w:r>
        <w:rPr>
          <w:sz w:val="21"/>
        </w:rPr>
        <w:t>7.1本合同价款采用固定总价合同，该合同价款包括了本项目工程量清单、施工图纸全部内容。</w:t>
      </w:r>
    </w:p>
    <w:p>
      <w:pPr>
        <w:ind w:firstLine="448"/>
        <w:jc w:val="both"/>
      </w:pPr>
      <w:r>
        <w:rPr>
          <w:sz w:val="21"/>
        </w:rPr>
        <w:t>7.2合同价款中包括的风险范围：</w:t>
      </w:r>
    </w:p>
    <w:p>
      <w:pPr>
        <w:ind w:firstLine="448"/>
        <w:jc w:val="both"/>
      </w:pPr>
      <w:r>
        <w:rPr>
          <w:sz w:val="21"/>
        </w:rPr>
        <w:t>7.2.1乙方所编写的综合单价及总价在合同期内，不因由于燃料、电费、运输费、任何税率、税种、货币汇率升降、工资、地方政府征收的有关费用、材料差价等引致的价格波动而调整，也不因交通管制、夜间施工、冬、雨季施工、二次搬运施工场地不足、成品保护、配合服务、临时赶工等情况可能引致的费用调整，并已充分考虑了其他可能因素影响施工所增加的费用。</w:t>
      </w:r>
    </w:p>
    <w:p>
      <w:pPr>
        <w:ind w:firstLine="448"/>
        <w:jc w:val="both"/>
      </w:pPr>
      <w:r>
        <w:rPr>
          <w:sz w:val="21"/>
        </w:rPr>
        <w:t>7.2.2乙方须负责报价的综合单价及总价的准确性及错误估计所引致的损失。乙方未报，但作为一个有经验的，尤其是有着与本工程相类似的工程施工经验的乙方应该从图纸或现场踏勘中、或实际情况中、或自身的工程施工实践中了解到、估计到或可能了解到、估计到的子目之费用应视为已摊到其它的子目单价或总价中去。任何报价时的估算错误和漏项，一律由乙方承担，合同价不会因乙方的设计问题、估算错误和漏项而做出调整。</w:t>
      </w:r>
    </w:p>
    <w:p>
      <w:pPr>
        <w:ind w:firstLine="448"/>
        <w:jc w:val="both"/>
      </w:pPr>
      <w:r>
        <w:rPr>
          <w:sz w:val="21"/>
        </w:rPr>
        <w:t>7.3合同价款的调整事件：</w:t>
      </w:r>
    </w:p>
    <w:p>
      <w:pPr>
        <w:ind w:firstLine="448"/>
        <w:jc w:val="both"/>
      </w:pPr>
      <w:r>
        <w:rPr>
          <w:sz w:val="21"/>
        </w:rPr>
        <w:t>7.3.1本合同属综合总价包干合同、工程量清单、施工图包干。</w:t>
      </w:r>
    </w:p>
    <w:p>
      <w:pPr>
        <w:ind w:firstLine="448"/>
        <w:jc w:val="both"/>
      </w:pPr>
      <w:r>
        <w:rPr>
          <w:sz w:val="21"/>
        </w:rPr>
        <w:t>7.3.2风险范围以外合同价款调整范围：</w:t>
      </w:r>
    </w:p>
    <w:p>
      <w:pPr>
        <w:ind w:firstLine="448"/>
        <w:jc w:val="both"/>
      </w:pPr>
      <w:r>
        <w:rPr>
          <w:sz w:val="21"/>
        </w:rPr>
        <w:t>（</w:t>
      </w:r>
      <w:r>
        <w:rPr>
          <w:sz w:val="21"/>
        </w:rPr>
        <w:t>1）设计变更和现场签证(暂估价项除外)增减经费经甲方和乙方双方确认后实施；</w:t>
      </w:r>
    </w:p>
    <w:p>
      <w:pPr>
        <w:ind w:firstLine="448"/>
        <w:jc w:val="both"/>
      </w:pPr>
      <w:r>
        <w:rPr>
          <w:sz w:val="21"/>
        </w:rPr>
        <w:t>（</w:t>
      </w:r>
      <w:r>
        <w:rPr>
          <w:sz w:val="21"/>
        </w:rPr>
        <w:t>2）甲方给定的以暂估价(项)形式列出的；</w:t>
      </w:r>
    </w:p>
    <w:p>
      <w:pPr>
        <w:ind w:firstLine="448"/>
        <w:jc w:val="both"/>
      </w:pPr>
      <w:r>
        <w:rPr>
          <w:sz w:val="21"/>
        </w:rPr>
        <w:t>（</w:t>
      </w:r>
      <w:r>
        <w:rPr>
          <w:sz w:val="21"/>
        </w:rPr>
        <w:t>3）金额在1000元以下的变更不做价款调整。</w:t>
      </w:r>
    </w:p>
    <w:p>
      <w:pPr>
        <w:ind w:firstLine="448"/>
        <w:jc w:val="both"/>
      </w:pPr>
      <w:r>
        <w:rPr>
          <w:sz w:val="21"/>
        </w:rPr>
        <w:t>7.4调整方法：</w:t>
      </w:r>
    </w:p>
    <w:p>
      <w:pPr>
        <w:ind w:firstLine="448"/>
        <w:jc w:val="both"/>
      </w:pPr>
      <w:r>
        <w:rPr>
          <w:sz w:val="21"/>
        </w:rPr>
        <w:t>7.4.1设计变更和现场签证由乙方提出经甲方确认后进行调整。任何变更洽商须有监理单位（如需）、甲方签字才能生效，乙方因没有遵守此条款引起的任何返工，其损失或工期延误都应由乙方负责。</w:t>
      </w:r>
    </w:p>
    <w:p>
      <w:pPr>
        <w:ind w:firstLine="448"/>
        <w:jc w:val="both"/>
      </w:pPr>
      <w:r>
        <w:rPr>
          <w:sz w:val="21"/>
        </w:rPr>
        <w:t>7.4.2甲方给定的以暂估价（项）形式列出的，按工程实施过程中的实际发生额由乙方提出经甲方确认后进行调整。</w:t>
      </w:r>
    </w:p>
    <w:p>
      <w:pPr>
        <w:ind w:firstLine="448"/>
        <w:jc w:val="both"/>
      </w:pPr>
      <w:r>
        <w:rPr>
          <w:sz w:val="21"/>
        </w:rPr>
        <w:t>7.5设计变更及设计外新增工程项目的结算方式</w:t>
      </w:r>
    </w:p>
    <w:p>
      <w:pPr>
        <w:ind w:firstLine="448"/>
        <w:jc w:val="both"/>
      </w:pPr>
      <w:r>
        <w:rPr>
          <w:sz w:val="21"/>
        </w:rPr>
        <w:t>7.5.1工程量清单有的项目，按照工程量清单报价进行结算；</w:t>
      </w:r>
    </w:p>
    <w:p>
      <w:pPr>
        <w:ind w:firstLine="448"/>
        <w:jc w:val="both"/>
      </w:pPr>
      <w:r>
        <w:rPr>
          <w:sz w:val="21"/>
        </w:rPr>
        <w:t>7.5.2工程量清单有类似的项目，按照工程量清单报价换算进行结算；</w:t>
      </w:r>
    </w:p>
    <w:p>
      <w:pPr>
        <w:ind w:firstLine="448"/>
        <w:jc w:val="both"/>
      </w:pPr>
      <w:r>
        <w:rPr>
          <w:sz w:val="21"/>
        </w:rPr>
        <w:t>7.5.3工程量清单没有相同或没有类似的项目，按照最新的中华人民共和国国家标准《建设工程工程量清单计价规范》、《广东省安装工程综合定额》、《广东省建筑及装饰工程综合定额》计价，总价给与下浮，下浮率=(1-成交价/最高限价)，其中人工、机械台班价格按施工当期项目所在地建设工程造价管理站相关文件发布的价格执行，材料设备价格按以下约定方式结算：</w:t>
      </w:r>
    </w:p>
    <w:p>
      <w:pPr>
        <w:ind w:firstLine="448"/>
        <w:jc w:val="both"/>
      </w:pPr>
      <w:r>
        <w:rPr>
          <w:sz w:val="21"/>
        </w:rPr>
        <w:t>（</w:t>
      </w:r>
      <w:r>
        <w:rPr>
          <w:sz w:val="21"/>
        </w:rPr>
        <w:t>1）工程量清单有的材料设备，按工程量清单报价进行结算；</w:t>
      </w:r>
    </w:p>
    <w:p>
      <w:pPr>
        <w:ind w:firstLine="448"/>
        <w:jc w:val="both"/>
      </w:pPr>
      <w:r>
        <w:rPr>
          <w:sz w:val="21"/>
        </w:rPr>
        <w:t>（</w:t>
      </w:r>
      <w:r>
        <w:rPr>
          <w:sz w:val="21"/>
        </w:rPr>
        <w:t>2）工程量清单没有的材料设备，有指导价的按照如下优先顺序确定设备材料价：</w:t>
      </w:r>
    </w:p>
    <w:p>
      <w:pPr>
        <w:ind w:firstLine="448"/>
        <w:jc w:val="both"/>
      </w:pPr>
      <w:r>
        <w:rPr>
          <w:sz w:val="21"/>
        </w:rPr>
        <w:t>Ⅰ、按施工当期项目所在地的工程造价信息相关文件对应材料的市场参考价及市场行情价较低者结算；</w:t>
      </w:r>
    </w:p>
    <w:p>
      <w:pPr>
        <w:ind w:firstLine="448"/>
        <w:jc w:val="both"/>
      </w:pPr>
      <w:r>
        <w:rPr>
          <w:sz w:val="21"/>
        </w:rPr>
        <w:t>Ⅱ、按施工当期项目所在地工程造价信息相关文件对应品牌材料设备的厂商信息价格下浮10%结算；</w:t>
      </w:r>
    </w:p>
    <w:p>
      <w:pPr>
        <w:ind w:firstLine="448"/>
        <w:jc w:val="both"/>
      </w:pPr>
      <w:r>
        <w:rPr>
          <w:sz w:val="21"/>
        </w:rPr>
        <w:t>Ⅲ、按施工当期项目所在地建设工程材料(设备)厂商价格信息相关文件对应品牌的材料、设备价格下浮10%结算。</w:t>
      </w:r>
    </w:p>
    <w:p>
      <w:pPr>
        <w:ind w:firstLine="448"/>
        <w:jc w:val="both"/>
      </w:pPr>
      <w:r>
        <w:rPr>
          <w:sz w:val="21"/>
        </w:rPr>
        <w:t>（</w:t>
      </w:r>
      <w:r>
        <w:rPr>
          <w:sz w:val="21"/>
        </w:rPr>
        <w:t>3）工程量清单和指导价都没有可参照的材料设备，由乙方按照市场报价，由甲方监理单位及甲方审定后作为结算依据。</w:t>
      </w:r>
    </w:p>
    <w:p>
      <w:pPr>
        <w:ind w:firstLine="448"/>
        <w:jc w:val="both"/>
      </w:pPr>
      <w:r>
        <w:rPr>
          <w:sz w:val="21"/>
        </w:rPr>
        <w:t>7.5.4工程量清单中没有相同或没有类似且无相关定额的项目，乙方按照施工当期的市场价格编制预算，送甲方/监理单位审定后作为结算依据。措施项目费不另计。</w:t>
      </w:r>
    </w:p>
    <w:p>
      <w:pPr>
        <w:ind w:firstLine="448"/>
        <w:jc w:val="both"/>
      </w:pPr>
      <w:r>
        <w:rPr>
          <w:sz w:val="21"/>
        </w:rPr>
        <w:t>7.5.6其他</w:t>
      </w:r>
    </w:p>
    <w:p>
      <w:pPr>
        <w:ind w:firstLine="448"/>
        <w:jc w:val="both"/>
      </w:pPr>
      <w:r>
        <w:rPr>
          <w:sz w:val="21"/>
        </w:rPr>
        <w:t>（</w:t>
      </w:r>
      <w:r>
        <w:rPr>
          <w:sz w:val="21"/>
        </w:rPr>
        <w:t>1）乙方因拖欠外包队、分包人(自有分包人)及材料设备乙方费用而发生的债务纠纷， 由乙方自行解决，甲方不承担任何责任，也不负责协商解决。</w:t>
      </w:r>
    </w:p>
    <w:p>
      <w:pPr>
        <w:ind w:firstLine="448"/>
        <w:jc w:val="both"/>
      </w:pPr>
      <w:r>
        <w:rPr>
          <w:sz w:val="21"/>
        </w:rPr>
        <w:t>（</w:t>
      </w:r>
      <w:r>
        <w:rPr>
          <w:sz w:val="21"/>
        </w:rPr>
        <w:t>2）安全文明施工措施费。乙方应按规定读取安全文明施工费用，并列入工程造价，在竞标时不得删减。其他的措施项目可根据施工组织设计自行计算。</w:t>
      </w:r>
    </w:p>
    <w:p>
      <w:pPr>
        <w:ind w:firstLine="448"/>
        <w:jc w:val="both"/>
      </w:pPr>
      <w:r>
        <w:rPr>
          <w:sz w:val="21"/>
        </w:rPr>
        <w:t>（</w:t>
      </w:r>
      <w:r>
        <w:rPr>
          <w:sz w:val="21"/>
        </w:rPr>
        <w:t>3）规费和税金。规费是指政府和有关职能部门规定必须缴纳的费用，包括工程排污费、社会保障费、住房公积金、危险作业意外伤害保险等；税金按规定计取。</w:t>
      </w:r>
    </w:p>
    <w:p>
      <w:pPr>
        <w:ind w:firstLine="448"/>
        <w:jc w:val="both"/>
      </w:pPr>
      <w:r>
        <w:rPr>
          <w:sz w:val="21"/>
        </w:rPr>
        <w:t>（</w:t>
      </w:r>
      <w:r>
        <w:rPr>
          <w:sz w:val="21"/>
        </w:rPr>
        <w:t>4）技术规范要求的费用应包括在报价中。</w:t>
      </w:r>
    </w:p>
    <w:p>
      <w:pPr>
        <w:ind w:firstLine="448"/>
        <w:jc w:val="both"/>
      </w:pPr>
      <w:r>
        <w:rPr>
          <w:sz w:val="21"/>
        </w:rPr>
        <w:t>（</w:t>
      </w:r>
      <w:r>
        <w:rPr>
          <w:sz w:val="21"/>
        </w:rPr>
        <w:t>5）乙方应在考察施工场地的基础上，结合本工程实际工程量及自身劳动力安排，充分考虑如施工人员(含管理人员)的食宿以及材料加工场地、人员及材料的运输等与此相关的费用，并将此部分费用纳入报价中，结算时不做调整。</w:t>
      </w:r>
    </w:p>
    <w:p>
      <w:pPr>
        <w:ind w:firstLine="448"/>
        <w:jc w:val="both"/>
      </w:pPr>
      <w:r>
        <w:rPr>
          <w:sz w:val="21"/>
        </w:rPr>
        <w:t>（</w:t>
      </w:r>
      <w:r>
        <w:rPr>
          <w:sz w:val="21"/>
        </w:rPr>
        <w:t>6）计日工核算，乙方必须在发生计日工24小时内，向监理人和甲方提交现场签证，否则不予计量。</w:t>
      </w:r>
    </w:p>
    <w:p>
      <w:pPr>
        <w:ind w:firstLine="420"/>
        <w:jc w:val="both"/>
      </w:pPr>
      <w:r>
        <w:rPr>
          <w:sz w:val="21"/>
        </w:rPr>
        <w:t>（</w:t>
      </w:r>
      <w:r>
        <w:rPr>
          <w:sz w:val="21"/>
        </w:rPr>
        <w:t>7）安全文明施工费的划拨应根据采购人和监理单位或安监机构对施工现场安全文明施工检查的结果确定，达到合格的，由监理单位初审，采购人审批后在一周内划拨给成交供应商。成交供应商不按规定使用安全防护、文明施工措施费或安全文明措施落实不到位，由采购人、监理单位或安监机构责令其改正，若拒不改正的，采购人和监理单位有权停止拨付安全防护、文明施工措施费，并责令承包人停工，由此造成的工期延误的费用由成交供应商全部承担。</w:t>
      </w:r>
    </w:p>
    <w:p>
      <w:pPr>
        <w:ind w:firstLine="448"/>
        <w:jc w:val="both"/>
      </w:pPr>
      <w:r>
        <w:rPr>
          <w:sz w:val="21"/>
        </w:rPr>
        <w:t>8关于材料供应的约定</w:t>
      </w:r>
    </w:p>
    <w:p>
      <w:pPr>
        <w:ind w:firstLine="448"/>
        <w:jc w:val="both"/>
      </w:pPr>
      <w:r>
        <w:rPr>
          <w:sz w:val="21"/>
        </w:rPr>
        <w:t>8.1工程所需材料，需经甲方管理人员、监理人员（如有）验收合格后方能使用。材料及设备由乙方采购供应至施工场地。</w:t>
      </w:r>
    </w:p>
    <w:p>
      <w:pPr>
        <w:ind w:firstLine="448"/>
        <w:jc w:val="both"/>
      </w:pPr>
      <w:r>
        <w:rPr>
          <w:sz w:val="21"/>
        </w:rPr>
        <w:t>8.2材料设备应附有出厂合格证明。如甲方对材料、设备有异议，应进行检验，检验费用由采购方承担。</w:t>
      </w:r>
    </w:p>
    <w:p>
      <w:pPr>
        <w:ind w:firstLine="448"/>
        <w:jc w:val="both"/>
      </w:pPr>
      <w:r>
        <w:rPr>
          <w:sz w:val="21"/>
        </w:rPr>
        <w:t>8.3材料设备和设备差价的处理方法：如遇材料涨价， 甲方不再另外调整。</w:t>
      </w:r>
    </w:p>
    <w:p>
      <w:pPr>
        <w:ind w:firstLine="448"/>
        <w:jc w:val="both"/>
      </w:pPr>
      <w:r>
        <w:rPr>
          <w:sz w:val="21"/>
        </w:rPr>
        <w:t>9有关安全生产和防火的约定</w:t>
      </w:r>
    </w:p>
    <w:p>
      <w:pPr>
        <w:ind w:firstLine="448"/>
        <w:jc w:val="both"/>
      </w:pPr>
      <w:r>
        <w:rPr>
          <w:sz w:val="21"/>
        </w:rPr>
        <w:t>9.1乙方在施工期间应严格遵守《建筑安装工程安全技术规程》、《建筑安装工人安全操作规程》、《中华人民共和国消防条例》和其它相关的法规、规范。</w:t>
      </w:r>
    </w:p>
    <w:p>
      <w:pPr>
        <w:ind w:firstLine="448"/>
        <w:jc w:val="both"/>
      </w:pPr>
      <w:r>
        <w:rPr>
          <w:sz w:val="21"/>
        </w:rPr>
        <w:t>9.2由于乙方在施工生产过程中违反有关安全操作规程、消防条例，导致发生安全或火灾事故，乙方应承担由此引发的一切经济损失，现场所有的安全责任由乙方负责。</w:t>
      </w:r>
    </w:p>
    <w:p>
      <w:pPr>
        <w:ind w:firstLine="448"/>
        <w:jc w:val="both"/>
      </w:pPr>
      <w:r>
        <w:rPr>
          <w:sz w:val="21"/>
        </w:rPr>
        <w:t>9.3乙方负责施工场地的平整，施工范围内的用水、用电、临时设施等设备、材料的提供及施工。</w:t>
      </w:r>
    </w:p>
    <w:p>
      <w:pPr>
        <w:ind w:firstLine="448"/>
        <w:jc w:val="both"/>
      </w:pPr>
      <w:r>
        <w:rPr>
          <w:sz w:val="21"/>
        </w:rPr>
        <w:t>10奖励和违约责任</w:t>
      </w:r>
    </w:p>
    <w:p>
      <w:pPr>
        <w:ind w:firstLine="448"/>
        <w:jc w:val="both"/>
      </w:pPr>
      <w:r>
        <w:rPr>
          <w:sz w:val="21"/>
        </w:rPr>
        <w:t>10.1乙方应妥善保护甲方提供的设备及现场堆放的家具、陈设和工程成品，如造成损失，应照价赔偿。</w:t>
      </w:r>
    </w:p>
    <w:p>
      <w:pPr>
        <w:ind w:firstLine="448"/>
        <w:jc w:val="both"/>
      </w:pPr>
      <w:r>
        <w:rPr>
          <w:sz w:val="21"/>
        </w:rPr>
        <w:t>10.2甲方未办理任何手续，擅自同意拆改原有建筑物结构或设备管线， 由此发生的损失或事故（包括罚款）， 由甲方负责并承担损失。</w:t>
      </w:r>
    </w:p>
    <w:p>
      <w:pPr>
        <w:ind w:firstLine="448"/>
        <w:jc w:val="both"/>
      </w:pPr>
      <w:r>
        <w:rPr>
          <w:sz w:val="21"/>
        </w:rPr>
        <w:t>10.3本工程所有设计更改，必须经过甲方书面确认后乙方才可实施，否则视为无效；若乙方未经甲方书面确认而单方面更改设计并实施，则被视为乙方违约，乙方负责修复至原约定的设计，并且承担由此造成的所有费用及损失；</w:t>
      </w:r>
    </w:p>
    <w:p>
      <w:pPr>
        <w:ind w:firstLine="448"/>
        <w:jc w:val="both"/>
      </w:pPr>
      <w:r>
        <w:rPr>
          <w:sz w:val="21"/>
        </w:rPr>
        <w:t>10.4未经甲方同意，乙方擅自拆改原建筑物结构或设备管线，由此发生的损失或事故（包括罚款），由乙方负责并承担损失。</w:t>
      </w:r>
    </w:p>
    <w:p>
      <w:pPr>
        <w:ind w:firstLine="448"/>
        <w:jc w:val="both"/>
      </w:pPr>
      <w:r>
        <w:rPr>
          <w:sz w:val="21"/>
        </w:rPr>
        <w:t>10.5未办理验收手续，甲方擅自动用，造成损失由甲方负责。如甲方确需提前使用，可与乙方就现场情况确认及记录有关资料。</w:t>
      </w:r>
    </w:p>
    <w:p>
      <w:pPr>
        <w:ind w:firstLine="448"/>
        <w:jc w:val="both"/>
      </w:pPr>
      <w:r>
        <w:rPr>
          <w:sz w:val="21"/>
        </w:rPr>
        <w:t>10.6因一方原因，合同无法继续履行时，应通知对方，办理合同终止协议，并由责任方赔偿对方由此造成的经济损失。</w:t>
      </w:r>
    </w:p>
    <w:p>
      <w:pPr>
        <w:ind w:firstLine="448"/>
        <w:jc w:val="both"/>
      </w:pPr>
      <w:r>
        <w:rPr>
          <w:sz w:val="21"/>
        </w:rPr>
        <w:t>10.7乙方发生下列条款的任何一条，甲方有权声明终止本合同的全部或一部分：</w:t>
      </w:r>
    </w:p>
    <w:p>
      <w:pPr>
        <w:ind w:firstLine="448"/>
        <w:jc w:val="both"/>
      </w:pPr>
      <w:r>
        <w:rPr>
          <w:sz w:val="21"/>
        </w:rPr>
        <w:t>（</w:t>
      </w:r>
      <w:r>
        <w:rPr>
          <w:sz w:val="21"/>
        </w:rPr>
        <w:t>1）依照国家有关法律、法规的规定，宣告破产、倒闭，与债权人达成协议；</w:t>
      </w:r>
    </w:p>
    <w:p>
      <w:pPr>
        <w:ind w:firstLine="448"/>
        <w:jc w:val="both"/>
      </w:pPr>
      <w:r>
        <w:rPr>
          <w:sz w:val="21"/>
        </w:rPr>
        <w:t>（</w:t>
      </w:r>
      <w:r>
        <w:rPr>
          <w:sz w:val="21"/>
        </w:rPr>
        <w:t>2）办理清算；</w:t>
      </w:r>
    </w:p>
    <w:p>
      <w:pPr>
        <w:ind w:firstLine="448"/>
        <w:jc w:val="both"/>
      </w:pPr>
      <w:r>
        <w:rPr>
          <w:sz w:val="21"/>
        </w:rPr>
        <w:t>（</w:t>
      </w:r>
      <w:r>
        <w:rPr>
          <w:sz w:val="21"/>
        </w:rPr>
        <w:t>3）办理公司的重整；</w:t>
      </w:r>
    </w:p>
    <w:p>
      <w:pPr>
        <w:ind w:firstLine="448"/>
        <w:jc w:val="both"/>
      </w:pPr>
      <w:r>
        <w:rPr>
          <w:sz w:val="21"/>
        </w:rPr>
        <w:t>（</w:t>
      </w:r>
      <w:r>
        <w:rPr>
          <w:sz w:val="21"/>
        </w:rPr>
        <w:t>4）与其他公司进行合并；</w:t>
      </w:r>
    </w:p>
    <w:p>
      <w:pPr>
        <w:ind w:firstLine="448"/>
        <w:jc w:val="both"/>
      </w:pPr>
      <w:r>
        <w:rPr>
          <w:sz w:val="21"/>
        </w:rPr>
        <w:t>（</w:t>
      </w:r>
      <w:r>
        <w:rPr>
          <w:sz w:val="21"/>
        </w:rPr>
        <w:t>5）经甲方确认已经丧失偿还债务的能力；</w:t>
      </w:r>
    </w:p>
    <w:p>
      <w:pPr>
        <w:ind w:firstLine="448"/>
        <w:jc w:val="both"/>
      </w:pPr>
      <w:r>
        <w:rPr>
          <w:sz w:val="21"/>
        </w:rPr>
        <w:t>（</w:t>
      </w:r>
      <w:r>
        <w:rPr>
          <w:sz w:val="21"/>
        </w:rPr>
        <w:t>6）严重违反合同重要条款约定。</w:t>
      </w:r>
    </w:p>
    <w:p>
      <w:pPr>
        <w:ind w:firstLine="448"/>
        <w:jc w:val="both"/>
      </w:pPr>
      <w:r>
        <w:rPr>
          <w:sz w:val="21"/>
        </w:rPr>
        <w:t>10.8本合同依照合同规定而全部或一部分终止后，乙方应在收到甲方书面通知后，在规定时间内撤走所有人员与工具及器械等。否则乙方放在工地上的工具、器械等将被认为废弃物，甲方有权处理，处理费用由乙方支付。</w:t>
      </w:r>
    </w:p>
    <w:p>
      <w:pPr>
        <w:ind w:firstLine="448"/>
        <w:jc w:val="both"/>
      </w:pPr>
      <w:r>
        <w:rPr>
          <w:sz w:val="21"/>
        </w:rPr>
        <w:t>11保密</w:t>
      </w:r>
    </w:p>
    <w:p>
      <w:pPr>
        <w:ind w:firstLine="448"/>
        <w:jc w:val="both"/>
      </w:pPr>
      <w:r>
        <w:rPr>
          <w:sz w:val="21"/>
        </w:rPr>
        <w:t>11.1甲乙双方在订立合同、合同履约过程中，知悉的商业秘密或者其他应当保密的信息，不得泄露或者不正当地使用；泄露、不正当地使用该商业秘密或者信息，造成对方损失的，应当承担赔偿责任。</w:t>
      </w:r>
    </w:p>
    <w:p>
      <w:pPr>
        <w:ind w:firstLine="448"/>
        <w:jc w:val="both"/>
      </w:pPr>
      <w:r>
        <w:rPr>
          <w:sz w:val="21"/>
        </w:rPr>
        <w:t>12争议或纠纷处理</w:t>
      </w:r>
    </w:p>
    <w:p>
      <w:pPr>
        <w:ind w:firstLine="448"/>
        <w:jc w:val="both"/>
      </w:pPr>
      <w:r>
        <w:rPr>
          <w:sz w:val="21"/>
        </w:rPr>
        <w:t>12.1因本合同引起的争议，甲乙双方应首先通过友好协商解决。如果协商或调解不能解决争议，则双方当事人同意向工程所在地人民法院起诉 。</w:t>
      </w:r>
    </w:p>
    <w:p>
      <w:pPr>
        <w:ind w:firstLine="448"/>
        <w:jc w:val="both"/>
      </w:pPr>
      <w:r>
        <w:rPr>
          <w:sz w:val="21"/>
        </w:rPr>
        <w:t>13不可抗力</w:t>
      </w:r>
    </w:p>
    <w:p>
      <w:pPr>
        <w:ind w:firstLine="448"/>
        <w:jc w:val="both"/>
      </w:pPr>
      <w:r>
        <w:rPr>
          <w:sz w:val="21"/>
        </w:rPr>
        <w:t>13.1甲乙双方的任何一方因不可抗力不能履行合同时。应及时向对方书面通知不能部分履行或不能完全履行的理由，取得对方同意后，允许延期履行、部分履行或者不履行合同，并根据具体实际情况可部分或全部免除承担违约责任。</w:t>
      </w:r>
    </w:p>
    <w:p>
      <w:pPr>
        <w:ind w:firstLine="448"/>
        <w:jc w:val="both"/>
      </w:pPr>
      <w:r>
        <w:rPr>
          <w:sz w:val="21"/>
        </w:rPr>
        <w:t>14其它约定</w:t>
      </w:r>
    </w:p>
    <w:p>
      <w:pPr>
        <w:ind w:firstLine="448"/>
        <w:jc w:val="both"/>
      </w:pPr>
      <w:r>
        <w:rPr>
          <w:sz w:val="21"/>
        </w:rPr>
        <w:t>14.1本合同自双方盖章之日起开始生效， 甲乙双方不得单方面变更和解除合约。在合同有效期内，合同的变更需征得双方的同意并以书面的形式确认变更的内容，经双方盖章的合同变更内容与本合同具有同等法律效力。</w:t>
      </w:r>
    </w:p>
    <w:p>
      <w:pPr>
        <w:ind w:firstLine="448"/>
        <w:jc w:val="both"/>
      </w:pPr>
      <w:r>
        <w:rPr>
          <w:sz w:val="21"/>
        </w:rPr>
        <w:t>14.2.本合同一式    份， 由甲乙双方盖章即生效，具有同等法律效力。</w:t>
      </w:r>
    </w:p>
    <w:p>
      <w:pPr>
        <w:jc w:val="center"/>
      </w:pPr>
      <w:r>
        <w:rPr>
          <w:sz w:val="21"/>
        </w:rPr>
        <w:t>(以下无正文)</w:t>
      </w:r>
    </w:p>
    <w:p>
      <w:pPr>
        <w:jc w:val="both"/>
      </w:pPr>
    </w:p>
    <w:p>
      <w:pPr>
        <w:jc w:val="both"/>
      </w:pPr>
    </w:p>
    <w:p>
      <w:pPr>
        <w:jc w:val="both"/>
      </w:pPr>
    </w:p>
    <w:p>
      <w:pPr>
        <w:jc w:val="both"/>
      </w:pPr>
      <w:r>
        <w:rPr>
          <w:sz w:val="21"/>
        </w:rPr>
        <w:t>甲方</w:t>
      </w:r>
      <w:r>
        <w:rPr>
          <w:sz w:val="21"/>
        </w:rPr>
        <w:t xml:space="preserve">(盖章)：             </w:t>
      </w:r>
    </w:p>
    <w:p>
      <w:pPr>
        <w:jc w:val="both"/>
      </w:pPr>
      <w:r>
        <w:rPr>
          <w:sz w:val="21"/>
        </w:rPr>
        <w:t>甲方联系人：</w:t>
      </w:r>
    </w:p>
    <w:p>
      <w:pPr>
        <w:jc w:val="both"/>
      </w:pPr>
      <w:r>
        <w:rPr>
          <w:sz w:val="21"/>
        </w:rPr>
        <w:t>联系电话：</w:t>
      </w:r>
    </w:p>
    <w:p>
      <w:pPr>
        <w:jc w:val="both"/>
      </w:pPr>
      <w:r>
        <w:rPr>
          <w:sz w:val="21"/>
        </w:rPr>
        <w:t>合同签订日期：</w:t>
      </w:r>
    </w:p>
    <w:p>
      <w:pPr>
        <w:jc w:val="both"/>
      </w:pPr>
      <w:r>
        <w:rPr>
          <w:sz w:val="21"/>
        </w:rPr>
        <w:t>合同履约开始日期：</w:t>
      </w:r>
    </w:p>
    <w:p>
      <w:pPr>
        <w:jc w:val="both"/>
      </w:pPr>
      <w:r>
        <w:rPr>
          <w:sz w:val="21"/>
        </w:rPr>
        <w:t>合同履约截止日期：</w:t>
      </w:r>
    </w:p>
    <w:p>
      <w:pPr>
        <w:jc w:val="both"/>
      </w:pPr>
    </w:p>
    <w:p>
      <w:pPr>
        <w:jc w:val="both"/>
      </w:pPr>
    </w:p>
    <w:p>
      <w:pPr>
        <w:jc w:val="both"/>
      </w:pPr>
      <w:r>
        <w:rPr>
          <w:sz w:val="21"/>
        </w:rPr>
        <w:t>乙方</w:t>
      </w:r>
      <w:r>
        <w:rPr>
          <w:sz w:val="21"/>
        </w:rPr>
        <w:t>(盖章)：</w:t>
      </w:r>
    </w:p>
    <w:p>
      <w:pPr>
        <w:jc w:val="both"/>
      </w:pPr>
      <w:r>
        <w:rPr>
          <w:sz w:val="21"/>
        </w:rPr>
        <w:t>开户银行：</w:t>
      </w:r>
    </w:p>
    <w:p>
      <w:pPr>
        <w:jc w:val="both"/>
      </w:pPr>
      <w:r>
        <w:rPr>
          <w:sz w:val="21"/>
        </w:rPr>
        <w:t>银行账号：</w:t>
      </w:r>
    </w:p>
    <w:p>
      <w:pPr>
        <w:jc w:val="both"/>
      </w:pPr>
      <w:r>
        <w:rPr>
          <w:sz w:val="21"/>
        </w:rPr>
        <w:t>乙方联系人：</w:t>
      </w:r>
    </w:p>
    <w:p>
      <w:pPr>
        <w:jc w:val="both"/>
      </w:pPr>
      <w:r>
        <w:rPr>
          <w:sz w:val="21"/>
        </w:rPr>
        <w:t>联系电话：</w:t>
      </w:r>
    </w:p>
    <w:p>
      <w:pPr>
        <w:jc w:val="both"/>
      </w:pPr>
      <w:r>
        <w:rPr>
          <w:sz w:val="21"/>
        </w:rPr>
        <w:t>合同签订日期：</w:t>
      </w:r>
    </w:p>
    <w:p>
      <w:pPr>
        <w:jc w:val="both"/>
      </w:pPr>
    </w:p>
    <w:p/>
    <w:p>
      <w:r>
        <w:rPr>
          <w:b/>
          <w:sz w:val="21"/>
        </w:rPr>
        <w:t>附件</w:t>
      </w:r>
      <w:r>
        <w:rPr>
          <w:b/>
          <w:sz w:val="21"/>
        </w:rPr>
        <w:t>1</w:t>
      </w:r>
    </w:p>
    <w:p>
      <w:r>
        <w:rPr/>
        <w:t xml:space="preserve"> </w:t>
      </w:r>
    </w:p>
    <w:p>
      <w:pPr>
        <w:jc w:val="both"/>
      </w:pPr>
    </w:p>
    <w:p>
      <w:pPr>
        <w:jc w:val="center"/>
      </w:pPr>
      <w:r>
        <w:rPr>
          <w:b/>
          <w:sz w:val="32"/>
        </w:rPr>
        <w:t>项目负责人驻场承诺书</w:t>
      </w:r>
    </w:p>
    <w:p>
      <w:pPr>
        <w:jc w:val="both"/>
      </w:pPr>
    </w:p>
    <w:p>
      <w:pPr>
        <w:jc w:val="both"/>
      </w:pPr>
    </w:p>
    <w:p>
      <w:pPr>
        <w:jc w:val="both"/>
      </w:pPr>
      <w:r>
        <w:rPr>
          <w:sz w:val="21"/>
        </w:rPr>
        <w:t>致：</w:t>
      </w:r>
      <w:r>
        <w:rPr>
          <w:sz w:val="21"/>
          <w:u w:val="single"/>
        </w:rPr>
        <w:t xml:space="preserve">             </w:t>
      </w:r>
    </w:p>
    <w:p>
      <w:pPr>
        <w:ind w:firstLine="336"/>
        <w:jc w:val="both"/>
      </w:pPr>
      <w:r>
        <w:rPr>
          <w:sz w:val="21"/>
        </w:rPr>
        <w:t>本人</w:t>
      </w:r>
      <w:r>
        <w:rPr>
          <w:sz w:val="21"/>
          <w:u w:val="single"/>
        </w:rPr>
        <w:t xml:space="preserve">       </w:t>
      </w:r>
      <w:r>
        <w:rPr>
          <w:sz w:val="21"/>
        </w:rPr>
        <w:t>，居民身份证号：</w:t>
      </w:r>
      <w:r>
        <w:rPr>
          <w:sz w:val="21"/>
          <w:u w:val="single"/>
        </w:rPr>
        <w:t xml:space="preserve">                         </w:t>
      </w:r>
      <w:r>
        <w:rPr>
          <w:sz w:val="21"/>
        </w:rPr>
        <w:t>（项目负责人建造师证书注册编号：</w:t>
      </w:r>
      <w:r>
        <w:rPr>
          <w:sz w:val="21"/>
          <w:u w:val="single"/>
        </w:rPr>
        <w:t xml:space="preserve">                    </w:t>
      </w:r>
      <w:r>
        <w:rPr>
          <w:sz w:val="21"/>
          <w:u w:val="single"/>
        </w:rPr>
        <w:t>）</w:t>
      </w:r>
      <w:r>
        <w:rPr>
          <w:sz w:val="21"/>
        </w:rPr>
        <w:t>受</w:t>
      </w:r>
      <w:r>
        <w:rPr>
          <w:sz w:val="21"/>
          <w:u w:val="single"/>
        </w:rPr>
        <w:t xml:space="preserve">                 </w:t>
      </w:r>
      <w:r>
        <w:rPr>
          <w:sz w:val="21"/>
        </w:rPr>
        <w:t>委派，拟在广东省海上民兵训练基地</w:t>
      </w:r>
      <w:r>
        <w:rPr>
          <w:sz w:val="21"/>
        </w:rPr>
        <w:t xml:space="preserve">            </w:t>
      </w:r>
      <w:r>
        <w:rPr>
          <w:sz w:val="21"/>
        </w:rPr>
        <w:t>装修工程</w:t>
      </w:r>
      <w:r>
        <w:rPr>
          <w:sz w:val="21"/>
        </w:rPr>
        <w:t xml:space="preserve">               </w:t>
      </w:r>
      <w:r>
        <w:rPr>
          <w:sz w:val="21"/>
        </w:rPr>
        <w:t>担任项目负责人一职。为加强本项目管理，保证我</w:t>
      </w:r>
      <w:r>
        <w:rPr>
          <w:sz w:val="21"/>
        </w:rPr>
        <w:t>公司履行与采购人签订的工程定点采购合同，圆满完成本工程，我愿就此作出以下承诺；</w:t>
      </w:r>
    </w:p>
    <w:p>
      <w:pPr>
        <w:ind w:firstLine="342"/>
        <w:jc w:val="both"/>
      </w:pPr>
      <w:r>
        <w:rPr>
          <w:sz w:val="21"/>
        </w:rPr>
        <w:t>1．本人作为我公司选派的本项目的项目负责人，保证自即日起至</w:t>
      </w:r>
      <w:r>
        <w:rPr>
          <w:sz w:val="21"/>
        </w:rPr>
        <w:t>项目竣工并通过验收之日止，自始至终全过程常驻工地现场，代表我</w:t>
      </w:r>
      <w:r>
        <w:rPr>
          <w:sz w:val="21"/>
        </w:rPr>
        <w:t>公司全面负责本工程现场组织，指挥，管理，协调等工作。并承诺在本项目完成后的合同责任保修期内，根据项</w:t>
      </w:r>
      <w:r>
        <w:rPr>
          <w:sz w:val="21"/>
        </w:rPr>
        <w:t>目实际保修工作需要也能随</w:t>
      </w:r>
      <w:r>
        <w:rPr>
          <w:sz w:val="21"/>
        </w:rPr>
        <w:t>时到场负责指挥，安排应做的保修工作。</w:t>
      </w:r>
    </w:p>
    <w:p>
      <w:pPr>
        <w:ind w:firstLine="452"/>
        <w:jc w:val="both"/>
      </w:pPr>
      <w:r>
        <w:rPr>
          <w:sz w:val="21"/>
        </w:rPr>
        <w:t>2．本人承诺在工程签订合同之日起至工程竣工</w:t>
      </w:r>
      <w:r>
        <w:rPr>
          <w:sz w:val="21"/>
        </w:rPr>
        <w:t>验收完成期间只担任此工程的项目经理，不参加其他任何工程的报名和任何工作，不在</w:t>
      </w:r>
      <w:r>
        <w:rPr>
          <w:sz w:val="21"/>
        </w:rPr>
        <w:t>其他任何工程担任职务，如有则由采购人按相关法律法规处理，严重影响本工程的，采购人有权提出更换项目负责人。</w:t>
      </w:r>
    </w:p>
    <w:p>
      <w:pPr>
        <w:ind w:firstLine="452"/>
        <w:jc w:val="both"/>
      </w:pPr>
      <w:r>
        <w:rPr>
          <w:sz w:val="21"/>
        </w:rPr>
        <w:t>3．除非征得采购人的书面批准，否则如果违背</w:t>
      </w:r>
      <w:r>
        <w:rPr>
          <w:sz w:val="21"/>
        </w:rPr>
        <w:t>以上承诺，不能常驻施工现场，本人自愿接受采购人给予本人的批评和处罚，并同意采</w:t>
      </w:r>
      <w:r>
        <w:rPr>
          <w:sz w:val="21"/>
        </w:rPr>
        <w:t>购人就此作为我个人的不良记录进一步上报有关部门处理。</w:t>
      </w:r>
    </w:p>
    <w:p>
      <w:pPr>
        <w:jc w:val="both"/>
      </w:pPr>
    </w:p>
    <w:p>
      <w:pPr>
        <w:jc w:val="both"/>
      </w:pPr>
      <w:r>
        <w:rPr>
          <w:sz w:val="21"/>
        </w:rPr>
        <w:t>供应商：（盖章）</w:t>
      </w:r>
    </w:p>
    <w:p>
      <w:pPr>
        <w:jc w:val="both"/>
      </w:pPr>
      <w:r>
        <w:rPr>
          <w:sz w:val="21"/>
        </w:rPr>
        <w:t>项目负责人（签名）：</w:t>
      </w:r>
    </w:p>
    <w:p>
      <w:pPr>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Pr>
        <w:jc w:val="both"/>
      </w:pPr>
    </w:p>
    <w:p>
      <w:pPr>
        <w:jc w:val="both"/>
      </w:pPr>
    </w:p>
    <w:p>
      <w:pPr>
        <w:jc w:val="both"/>
      </w:pPr>
    </w:p>
    <w:p>
      <w:pPr>
        <w:jc w:val="both"/>
      </w:pPr>
    </w:p>
    <w:p/>
    <w:p/>
    <w:p>
      <w:r>
        <w:rPr/>
        <w:t xml:space="preserve"> </w:t>
      </w:r>
    </w:p>
    <w:p>
      <w:pPr>
        <w:jc w:val="both"/>
      </w:pPr>
      <w:r>
        <w:rPr>
          <w:b/>
          <w:sz w:val="21"/>
        </w:rPr>
        <w:t>附件</w:t>
      </w:r>
      <w:r>
        <w:rPr>
          <w:b/>
          <w:sz w:val="21"/>
        </w:rPr>
        <w:t>2</w:t>
      </w:r>
    </w:p>
    <w:p>
      <w:pPr>
        <w:jc w:val="center"/>
      </w:pPr>
      <w:r>
        <w:rPr>
          <w:b/>
          <w:sz w:val="32"/>
        </w:rPr>
        <w:t>专职安全管理人员驻场承诺书</w:t>
      </w:r>
    </w:p>
    <w:p>
      <w:pPr>
        <w:jc w:val="both"/>
      </w:pPr>
    </w:p>
    <w:p>
      <w:pPr>
        <w:jc w:val="both"/>
      </w:pPr>
    </w:p>
    <w:p>
      <w:pPr>
        <w:jc w:val="both"/>
      </w:pPr>
      <w:r>
        <w:rPr>
          <w:sz w:val="21"/>
        </w:rPr>
        <w:t>致：</w:t>
      </w:r>
      <w:r>
        <w:rPr>
          <w:sz w:val="21"/>
          <w:u w:val="single"/>
        </w:rPr>
        <w:t xml:space="preserve">             </w:t>
      </w:r>
    </w:p>
    <w:p>
      <w:pPr>
        <w:ind w:firstLine="448"/>
        <w:jc w:val="both"/>
      </w:pPr>
      <w:r>
        <w:rPr>
          <w:sz w:val="21"/>
        </w:rPr>
        <w:t>本人</w:t>
      </w:r>
      <w:r>
        <w:rPr>
          <w:sz w:val="21"/>
          <w:u w:val="single"/>
        </w:rPr>
        <w:t xml:space="preserve">      </w:t>
      </w:r>
      <w:r>
        <w:rPr>
          <w:sz w:val="21"/>
        </w:rPr>
        <w:t>，居民身份证号：</w:t>
      </w:r>
      <w:r>
        <w:rPr>
          <w:sz w:val="21"/>
          <w:u w:val="single"/>
        </w:rPr>
        <w:t xml:space="preserve">                              </w:t>
      </w:r>
      <w:r>
        <w:rPr>
          <w:sz w:val="21"/>
        </w:rPr>
        <w:t>（安全生产考核合格证编号：</w:t>
      </w:r>
      <w:r>
        <w:rPr>
          <w:sz w:val="21"/>
          <w:u w:val="single"/>
        </w:rPr>
        <w:t xml:space="preserve">                        </w:t>
      </w:r>
      <w:r>
        <w:rPr>
          <w:sz w:val="21"/>
        </w:rPr>
        <w:t>）受</w:t>
      </w:r>
      <w:r>
        <w:rPr>
          <w:sz w:val="21"/>
          <w:u w:val="single"/>
        </w:rPr>
        <w:t xml:space="preserve">             </w:t>
      </w:r>
      <w:r>
        <w:rPr>
          <w:sz w:val="21"/>
        </w:rPr>
        <w:t>委派，拟在广东省海上民兵训练基地</w:t>
      </w:r>
      <w:r>
        <w:rPr>
          <w:sz w:val="21"/>
        </w:rPr>
        <w:t xml:space="preserve">            </w:t>
      </w:r>
      <w:r>
        <w:rPr>
          <w:sz w:val="21"/>
        </w:rPr>
        <w:t>装修工程</w:t>
      </w:r>
      <w:r>
        <w:rPr>
          <w:sz w:val="21"/>
        </w:rPr>
        <w:t xml:space="preserve">               </w:t>
      </w:r>
      <w:r>
        <w:rPr>
          <w:sz w:val="21"/>
        </w:rPr>
        <w:t>担任项目专职安全</w:t>
      </w:r>
      <w:r>
        <w:rPr>
          <w:sz w:val="21"/>
        </w:rPr>
        <w:t>管理人员一职。为加强本项目安全生产管理，保证</w:t>
      </w:r>
      <w:r>
        <w:rPr>
          <w:sz w:val="21"/>
        </w:rPr>
        <w:t>我公司履行与采购人签订的工程定点采购合同，圆满</w:t>
      </w:r>
      <w:r>
        <w:rPr>
          <w:sz w:val="21"/>
        </w:rPr>
        <w:t>完成本工程，我愿就此作出以下承诺；</w:t>
      </w:r>
    </w:p>
    <w:p>
      <w:pPr>
        <w:ind w:firstLine="448"/>
        <w:jc w:val="both"/>
      </w:pPr>
      <w:r>
        <w:rPr>
          <w:sz w:val="21"/>
        </w:rPr>
        <w:t>1．本人作为我公司选派的本项目的专职安全管理人员，保</w:t>
      </w:r>
      <w:r>
        <w:rPr>
          <w:sz w:val="21"/>
        </w:rPr>
        <w:t>证自即日起至项目竣工并通过验收之日止，自始至终全过程常驻工地现场，代表我公司全面负责本工程现场安全生产管理工作。</w:t>
      </w:r>
    </w:p>
    <w:p>
      <w:pPr>
        <w:ind w:firstLine="452"/>
        <w:jc w:val="both"/>
      </w:pPr>
      <w:r>
        <w:rPr>
          <w:sz w:val="21"/>
        </w:rPr>
        <w:t>2．本人承诺在工程签订合同之日起至工程竣工</w:t>
      </w:r>
      <w:r>
        <w:rPr>
          <w:sz w:val="21"/>
        </w:rPr>
        <w:t>验收完成期间只担任此工程的专职安全管理人员，不参加其他任何工程的报名和任何工作，不在其他任何工程担任职务。</w:t>
      </w:r>
    </w:p>
    <w:p>
      <w:pPr>
        <w:ind w:firstLine="452"/>
        <w:jc w:val="both"/>
      </w:pPr>
      <w:r>
        <w:rPr>
          <w:sz w:val="21"/>
        </w:rPr>
        <w:t>3．除非征得采购人的书面批准，否则如果违背</w:t>
      </w:r>
      <w:r>
        <w:rPr>
          <w:sz w:val="21"/>
        </w:rPr>
        <w:t>以上承诺，不能常驻施工现场，本人自愿接受采购人给予本人的批评和处罚，并同意采购人就此作为我个人的不良记录进一步上报有关部门处理。</w:t>
      </w:r>
    </w:p>
    <w:p>
      <w:pPr>
        <w:jc w:val="both"/>
      </w:pPr>
    </w:p>
    <w:p>
      <w:pPr>
        <w:jc w:val="both"/>
      </w:pPr>
    </w:p>
    <w:p>
      <w:pPr>
        <w:jc w:val="both"/>
      </w:pPr>
      <w:r>
        <w:rPr>
          <w:sz w:val="21"/>
        </w:rPr>
        <w:t>供应商（盖章）：</w:t>
      </w:r>
    </w:p>
    <w:p>
      <w:pPr>
        <w:jc w:val="both"/>
      </w:pPr>
      <w:r>
        <w:rPr>
          <w:sz w:val="21"/>
        </w:rPr>
        <w:t>专职安全管理人员（签名）：</w:t>
      </w:r>
    </w:p>
    <w:p>
      <w:pPr>
        <w:jc w:val="both"/>
      </w:pPr>
      <w:r>
        <w:rPr>
          <w:sz w:val="21"/>
        </w:rPr>
        <w:t xml:space="preserve">      </w:t>
      </w:r>
      <w:r>
        <w:rPr>
          <w:sz w:val="21"/>
        </w:rPr>
        <w:t>年</w:t>
      </w:r>
      <w:r>
        <w:rPr>
          <w:sz w:val="21"/>
        </w:rPr>
        <w:t xml:space="preserve">   </w:t>
      </w:r>
      <w:r>
        <w:rPr>
          <w:sz w:val="21"/>
        </w:rPr>
        <w:t>月</w:t>
      </w:r>
      <w:r>
        <w:rPr>
          <w:sz w:val="21"/>
        </w:rPr>
        <w:t xml:space="preserve">   </w:t>
      </w:r>
      <w:r>
        <w:rPr>
          <w:sz w:val="21"/>
        </w:rPr>
        <w:t>日</w:t>
      </w:r>
    </w:p>
    <w:p>
      <w:pPr>
        <w:jc w:val="both"/>
      </w:pPr>
    </w:p>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440001-2023-58896</w:t>
      </w:r>
    </w:p>
    <w:p>
      <w:pPr>
        <w:jc w:val="center"/>
      </w:pPr>
      <w:r>
        <w:rPr>
          <w:b/>
          <w:sz w:val="24"/>
        </w:rPr>
        <w:t>采购项目编号：</w:t>
      </w:r>
      <w:r>
        <w:rPr>
          <w:b/>
          <w:sz w:val="24"/>
        </w:rPr>
        <w:t>GZGK23P272B0895C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某基地灾后重建设计施工一体化项目</w:t>
      </w:r>
      <w:r>
        <w:rPr>
          <w:u w:val="single"/>
        </w:rPr>
        <w:t>”</w:t>
      </w:r>
      <w:r>
        <w:rPr/>
        <w:t>项目的竞争性磋商[采购项目编号为：</w:t>
      </w:r>
      <w:r>
        <w:rPr>
          <w:u w:val="single"/>
        </w:rPr>
        <w:t>GZGK23P272B0895C</w:t>
      </w:r>
      <w:r>
        <w:rPr/>
        <w:t>]，我方愿参与响应。</w:t>
      </w:r>
    </w:p>
    <w:p>
      <w:pPr>
        <w:ind w:firstLine="480"/>
      </w:pPr>
      <w:r>
        <w:rPr/>
        <w:t>我方确认收到贵方提供的</w:t>
      </w:r>
      <w:r>
        <w:rPr>
          <w:u w:val="single"/>
        </w:rPr>
        <w:t>“</w:t>
      </w:r>
      <w:r>
        <w:rPr>
          <w:u w:val="single"/>
        </w:rPr>
        <w:t>某基地灾后重建设计施工一体化项目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某基地灾后重建设计施工一体化项目</w:t>
      </w:r>
      <w:r>
        <w:rPr/>
        <w:t>”项目采购[采购项目编号为</w:t>
      </w:r>
      <w:r>
        <w:rPr/>
        <w:t>GZGK23P272B0895C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广东省海上民兵训练基地</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某基地灾后重建设计施工一体化项目</w:t>
      </w:r>
      <w:r>
        <w:rPr/>
        <w:t>（采购项目编号：</w:t>
      </w:r>
      <w:r>
        <w:rPr/>
        <w:t>GZGK23P272B0895C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某基地灾后重建设计施工一体化项目</w:t>
      </w:r>
      <w:r>
        <w:rPr/>
        <w:t>”项目（采购项目编号：</w:t>
      </w:r>
      <w:r>
        <w:rPr/>
        <w:t>GZGK23P272B0895C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