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440001-2023-23651</w:t>
      </w:r>
    </w:p>
    <w:p>
      <w:pPr>
        <w:jc w:val="center"/>
      </w:pPr>
      <w:r>
        <w:rPr>
          <w:b/>
          <w:sz w:val="24"/>
        </w:rPr>
        <w:t>采购项目编号：</w:t>
      </w:r>
      <w:r>
        <w:rPr>
          <w:b/>
          <w:sz w:val="24"/>
        </w:rPr>
        <w:t>GZGK23P085C0294Z</w:t>
      </w:r>
    </w:p>
    <w:p>
      <w:pPr>
        <w:jc w:val="center"/>
      </w:pPr>
      <w:r>
        <w:rPr>
          <w:b/>
          <w:sz w:val="24"/>
        </w:rPr>
        <w:t>项目名称：</w:t>
      </w:r>
      <w:r>
        <w:rPr>
          <w:b/>
          <w:sz w:val="24"/>
        </w:rPr>
        <w:t>广东省科学院测试分析研究所（中国广州分析测试中心）业务用车租赁服务采购项目</w:t>
      </w:r>
    </w:p>
    <w:p>
      <w:pPr>
        <w:jc w:val="center"/>
      </w:pPr>
      <w:r>
        <w:rPr>
          <w:b/>
          <w:sz w:val="24"/>
        </w:rPr>
        <w:t>采购人：</w:t>
      </w:r>
      <w:r>
        <w:rPr>
          <w:b/>
          <w:sz w:val="24"/>
        </w:rPr>
        <w:t>广东省科学院测试分析研究所（中国广州分析测试中心）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广东省科学院测试分析研究所（中国广州分析测试中心）</w:t>
      </w:r>
      <w:r>
        <w:rPr/>
        <w:t>的委托，采用</w:t>
      </w:r>
      <w:r>
        <w:rPr/>
        <w:t>公开招标</w:t>
      </w:r>
      <w:r>
        <w:rPr/>
        <w:t>方式组织采购</w:t>
      </w:r>
      <w:r>
        <w:rPr/>
        <w:t>广东省科学院测试分析研究所（中国广州分析测试中心）业务用车租赁服务采购项目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广东省科学院测试分析研究所（中国广州分析测试中心）业务用车租赁服务采购项目</w:t>
      </w:r>
    </w:p>
    <w:p>
      <w:pPr>
        <w:ind w:firstLine="480"/>
      </w:pPr>
      <w:r>
        <w:rPr/>
        <w:t>采购计划编号：</w:t>
      </w:r>
      <w:r>
        <w:rPr/>
        <w:t>440001-2023-23651</w:t>
      </w:r>
    </w:p>
    <w:p>
      <w:pPr>
        <w:ind w:firstLine="480"/>
      </w:pPr>
      <w:r>
        <w:rPr/>
        <w:t>采购项目编号：</w:t>
      </w:r>
      <w:r>
        <w:rPr/>
        <w:t>GZGK23P085C0294Z</w:t>
      </w:r>
    </w:p>
    <w:p>
      <w:pPr>
        <w:ind w:firstLine="480"/>
      </w:pPr>
      <w:r>
        <w:rPr/>
        <w:t>采购方式：</w:t>
      </w:r>
      <w:r>
        <w:rPr/>
        <w:t>公开招标</w:t>
      </w:r>
    </w:p>
    <w:p>
      <w:pPr>
        <w:ind w:firstLine="480"/>
      </w:pPr>
      <w:r>
        <w:rPr/>
        <w:t>预算金额：</w:t>
      </w:r>
      <w:r>
        <w:rPr/>
        <w:t>3,900,000.00</w:t>
      </w:r>
      <w:r>
        <w:rPr/>
        <w:t>元</w:t>
      </w:r>
    </w:p>
    <w:p>
      <w:r>
        <w:rPr>
          <w:b/>
          <w:sz w:val="24"/>
        </w:rPr>
        <w:t>2.项目内容及需求情况（采购项目技术规格、参数及要求）</w:t>
      </w:r>
    </w:p>
    <w:p>
      <w:pPr>
        <w:ind w:firstLine="480"/>
      </w:pPr>
    </w:p>
    <w:p/>
    <w:p>
      <w:r>
        <w:rPr/>
        <w:t>采购包1(业务用车租赁服务采购项目-本部):</w:t>
      </w:r>
    </w:p>
    <w:p>
      <w:r>
        <w:rPr/>
        <w:t>采购包预算金额：2,500,000.00元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业务用车租赁服务采购项目-本部</w:t>
            </w:r>
          </w:p>
        </w:tc>
        <w:tc>
          <w:tcPr>
            <w:tcW w:type="dxa" w:w="977"/>
          </w:tcPr>
          <w:p>
            <w:r>
              <w:rPr/>
              <w:t>1(年)</w:t>
            </w:r>
          </w:p>
        </w:tc>
        <w:tc>
          <w:tcPr>
            <w:tcW w:type="dxa" w:w="977"/>
          </w:tcPr>
          <w:p>
            <w:r>
              <w:rPr/>
              <w:t>详见第二章</w:t>
            </w:r>
          </w:p>
        </w:tc>
        <w:tc>
          <w:tcPr>
            <w:tcW w:type="dxa" w:w="977"/>
          </w:tcPr>
          <w:p>
            <w:r>
              <w:rPr/>
              <w:t>2,500,000.00</w:t>
            </w:r>
          </w:p>
        </w:tc>
        <w:tc>
          <w:tcPr>
            <w:tcW w:type="dxa" w:w="977"/>
          </w:tcPr>
          <w:p>
            <w:r>
              <w:rPr/>
              <w:t>否</w:t>
            </w:r>
          </w:p>
        </w:tc>
      </w:tr>
    </w:tbl>
    <w:p/>
    <w:p>
      <w:r>
        <w:rPr/>
        <w:t>本采购包不接受联合体投标</w:t>
      </w:r>
    </w:p>
    <w:p/>
    <w:p>
      <w:r>
        <w:rPr/>
        <w:t>合同履行期限：见“标的提供时间”要求。</w:t>
      </w:r>
    </w:p>
    <w:p/>
    <w:p>
      <w:r>
        <w:rPr/>
        <w:t>采购包2(业务用车租赁服务采购项目-南沙):</w:t>
      </w:r>
    </w:p>
    <w:p>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车辆及其他运输机械租赁服务</w:t>
            </w:r>
          </w:p>
        </w:tc>
        <w:tc>
          <w:tcPr>
            <w:tcW w:type="dxa" w:w="2052"/>
          </w:tcPr>
          <w:p>
            <w:r>
              <w:rPr/>
              <w:t>业务用车租赁服务采购项目-南沙</w:t>
            </w:r>
          </w:p>
        </w:tc>
        <w:tc>
          <w:tcPr>
            <w:tcW w:type="dxa" w:w="977"/>
          </w:tcPr>
          <w:p>
            <w:r>
              <w:rPr/>
              <w:t>3(年)</w:t>
            </w:r>
          </w:p>
        </w:tc>
        <w:tc>
          <w:tcPr>
            <w:tcW w:type="dxa" w:w="977"/>
          </w:tcPr>
          <w:p>
            <w:r>
              <w:rPr/>
              <w:t>详见第二章</w:t>
            </w:r>
          </w:p>
        </w:tc>
        <w:tc>
          <w:tcPr>
            <w:tcW w:type="dxa" w:w="977"/>
          </w:tcPr>
          <w:p>
            <w:r>
              <w:rPr/>
              <w:t>900,000.00</w:t>
            </w:r>
          </w:p>
        </w:tc>
        <w:tc>
          <w:tcPr>
            <w:tcW w:type="dxa" w:w="977"/>
          </w:tcPr>
          <w:p>
            <w:r>
              <w:rPr/>
              <w:t>否</w:t>
            </w:r>
          </w:p>
        </w:tc>
      </w:tr>
    </w:tbl>
    <w:p/>
    <w:p>
      <w:r>
        <w:rPr/>
        <w:t>本采购包不接受联合体投标</w:t>
      </w:r>
    </w:p>
    <w:p/>
    <w:p>
      <w:r>
        <w:rPr/>
        <w:t>合同履行期限：见“标的提供时间”要求。</w:t>
      </w:r>
    </w:p>
    <w:p/>
    <w:p>
      <w:r>
        <w:rPr/>
        <w:t>采购包3(业务用车租赁服务采购项目-中山):</w:t>
      </w:r>
    </w:p>
    <w:p>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车辆及其他运输机械租赁服务</w:t>
            </w:r>
          </w:p>
        </w:tc>
        <w:tc>
          <w:tcPr>
            <w:tcW w:type="dxa" w:w="2052"/>
          </w:tcPr>
          <w:p>
            <w:r>
              <w:rPr/>
              <w:t>业务用车租赁服务采购项目-中山</w:t>
            </w:r>
          </w:p>
        </w:tc>
        <w:tc>
          <w:tcPr>
            <w:tcW w:type="dxa" w:w="977"/>
          </w:tcPr>
          <w:p>
            <w:r>
              <w:rPr/>
              <w:t>1(年)</w:t>
            </w:r>
          </w:p>
        </w:tc>
        <w:tc>
          <w:tcPr>
            <w:tcW w:type="dxa" w:w="977"/>
          </w:tcPr>
          <w:p>
            <w:r>
              <w:rPr/>
              <w:t>详见第二章</w:t>
            </w:r>
          </w:p>
        </w:tc>
        <w:tc>
          <w:tcPr>
            <w:tcW w:type="dxa" w:w="977"/>
          </w:tcPr>
          <w:p>
            <w:r>
              <w:rPr/>
              <w:t>500,000.00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4）履行合同所必需的设备和专业技术能力：提供书面承诺声明函（格式自拟）或具有履行合同所必须的设备和专业技术能力的其他证明材料投标。</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采购包1（业务用车租赁服务采购项目-本部）：</w:t>
      </w:r>
      <w:r>
        <w:rPr/>
        <w:t>采购包整体专门面向小微企业，服务的承接商须为小微企业或监狱企业或残疾人福利性单位。</w:t>
      </w:r>
    </w:p>
    <w:p>
      <w:pPr>
        <w:jc w:val="left"/>
      </w:pPr>
    </w:p>
    <w:p>
      <w:r>
        <w:rPr/>
        <w:t>采购包2（业务用车租赁服务采购项目-南沙）：</w:t>
      </w:r>
      <w:r>
        <w:rPr/>
        <w:t>采购包整体专门面向小微企业，服务的承接商须为小微企业或监狱企业或残疾人福利性单位。</w:t>
      </w:r>
    </w:p>
    <w:p>
      <w:pPr>
        <w:jc w:val="left"/>
      </w:pPr>
    </w:p>
    <w:p>
      <w:r>
        <w:rPr/>
        <w:t>采购包3（业务用车租赁服务采购项目-中山）：</w:t>
      </w:r>
      <w:r>
        <w:rPr/>
        <w:t>采购包整体专门面向小微企业，服务的承接商须为小微企业或监狱企业或残疾人福利性单位。</w:t>
      </w:r>
    </w:p>
    <w:p/>
    <w:p>
      <w:r>
        <w:rPr>
          <w:b/>
          <w:sz w:val="24"/>
        </w:rPr>
        <w:t>3.本项目特定的资格要求：</w:t>
      </w:r>
    </w:p>
    <w:p>
      <w:pPr>
        <w:ind w:firstLine="480"/>
      </w:pPr>
    </w:p>
    <w:p/>
    <w:p>
      <w:r>
        <w:rPr/>
        <w:t>采购包1（业务用车租赁服务采购项目-本部）：</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采购包2（业务用车租赁服务采购项目-南沙）：</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采购包3（业务用车租赁服务采购项目-中山）：</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广东省科学院测试分析研究所（中国广州分析测试中心）</w:t>
      </w:r>
    </w:p>
    <w:p>
      <w:pPr>
        <w:ind w:firstLine="480"/>
      </w:pPr>
      <w:r>
        <w:rPr/>
        <w:t>地址：</w:t>
      </w:r>
      <w:r>
        <w:rPr/>
        <w:t>广州市先烈中路100号大院34号</w:t>
      </w:r>
    </w:p>
    <w:p>
      <w:pPr>
        <w:ind w:firstLine="480"/>
      </w:pPr>
      <w:r>
        <w:rPr/>
        <w:t>联系方式：</w:t>
      </w:r>
      <w:r>
        <w:rPr/>
        <w:t>020-87684512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020-37656571、020-87687056</w:t>
      </w:r>
    </w:p>
    <w:p>
      <w:r>
        <w:rPr>
          <w:b/>
          <w:sz w:val="24"/>
        </w:rPr>
        <w:t>3.项目联系方式</w:t>
      </w:r>
    </w:p>
    <w:p>
      <w:pPr>
        <w:ind w:firstLine="480"/>
      </w:pPr>
      <w:r>
        <w:rPr/>
        <w:t>项目联系人：</w:t>
      </w:r>
      <w:r>
        <w:rPr/>
        <w:t>张智钊、梁诗琦</w:t>
      </w:r>
    </w:p>
    <w:p>
      <w:pPr>
        <w:ind w:firstLine="480"/>
      </w:pPr>
      <w:r>
        <w:rPr/>
        <w:t>电话：</w:t>
      </w:r>
      <w:r>
        <w:rPr/>
        <w:t>020-37656571、020-87687056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GZGK23P085C0294Z</w:t>
      </w:r>
    </w:p>
    <w:p>
      <w:pPr>
        <w:jc w:val="both"/>
      </w:pPr>
      <w:r>
        <w:rPr>
          <w:b/>
          <w:sz w:val="21"/>
        </w:rPr>
        <w:t>（二）</w:t>
      </w:r>
      <w:r>
        <w:rPr>
          <w:b/>
          <w:sz w:val="21"/>
        </w:rPr>
        <w:t>项目名称：</w:t>
      </w:r>
      <w:r>
        <w:rPr>
          <w:sz w:val="21"/>
        </w:rPr>
        <w:t>广东省科学院测试分析研究所（中国广州分析测试中心）业务用车租赁服务采购项目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投标人没有在投标文件中注明偏离（文字说明或在响应表注明）的参数、配置、条款视为被投标人完全接受。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不允许中标供应商</w:t>
      </w:r>
      <w:r>
        <w:rPr>
          <w:sz w:val="21"/>
        </w:rPr>
        <w:t>转包、分包项目（中标采购包的）内容</w:t>
      </w:r>
      <w:r>
        <w:rPr>
          <w:sz w:val="21"/>
        </w:rPr>
        <w:t>。</w:t>
      </w:r>
    </w:p>
    <w:p>
      <w:pPr>
        <w:jc w:val="both"/>
      </w:pPr>
      <w:r>
        <w:rPr>
          <w:sz w:val="21"/>
        </w:rPr>
        <w:t>7、</w:t>
      </w:r>
      <w:r>
        <w:rPr>
          <w:sz w:val="21"/>
        </w:rPr>
        <w:t>小型和微型企业、监狱企业和残疾人福利性单位必须按照招标（采购）文件第三章内容提供相应的资料。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1</w:t>
      </w:r>
      <w:r>
        <w:rPr>
          <w:sz w:val="21"/>
        </w:rPr>
        <w:t>.</w:t>
      </w:r>
      <w:r>
        <w:rPr>
          <w:sz w:val="21"/>
        </w:rPr>
        <w:t>投标报价包括：车辆使用费、司机费用（如采购包中需提供司机）、保管费、营运费、车辆维修保养费、油费（按采购包中约定）、消洗费、发票税、车船税、司机住宿费（如采购包中需提供司机）、司机误餐费（如采购包中需提供司机）、年审养路费、保险费、各项税费及合同实施过程中不可预见费用等。（在车辆使用过程中产生的路桥费、停车费由中标供应商垫付，每月支付服务费时由采购人按实结算。）</w:t>
      </w:r>
    </w:p>
    <w:p>
      <w:pPr>
        <w:ind w:firstLine="420"/>
        <w:jc w:val="both"/>
      </w:pPr>
      <w:r>
        <w:rPr>
          <w:sz w:val="21"/>
        </w:rPr>
        <w:t>2</w:t>
      </w:r>
      <w:r>
        <w:rPr>
          <w:sz w:val="21"/>
        </w:rPr>
        <w:t>.本项目各采购包的执行的结束时间以“采购金额累计达到项目各采购包预算金额”或“合同履约期限”先到者结束。结算金额不得超出对应采购包的预算金额。</w:t>
      </w:r>
    </w:p>
    <w:p>
      <w:pPr>
        <w:ind w:firstLine="420"/>
        <w:jc w:val="both"/>
      </w:pPr>
      <w:r>
        <w:rPr>
          <w:sz w:val="21"/>
        </w:rPr>
        <w:t>3</w:t>
      </w:r>
      <w:r>
        <w:rPr>
          <w:sz w:val="21"/>
        </w:rPr>
        <w:t>.响应供应商必须清楚理解：本服务采购项目的取得并不意味着必然获得本项目服务的机会，采购人无法预计也无法保证中标供应商所能获得的服务项目数量。在服务期内中标供应商不得因采购人实际委托项目数量的减少或增加而要求提供任何形式的补偿或者赔偿。响应供应商需充分考虑响应的风险。</w:t>
      </w:r>
    </w:p>
    <w:p>
      <w:pPr>
        <w:ind w:firstLine="422"/>
        <w:jc w:val="both"/>
      </w:pPr>
      <w:r>
        <w:rPr>
          <w:b/>
          <w:sz w:val="21"/>
        </w:rPr>
        <w:t>4</w:t>
      </w:r>
      <w:r>
        <w:rPr>
          <w:b/>
          <w:sz w:val="21"/>
        </w:rPr>
        <w:t>.本项目各采购包的投标报价以折扣率的形式报出，所有车型均采用同一个中标折扣率；</w:t>
      </w:r>
    </w:p>
    <w:p>
      <w:pPr>
        <w:ind w:firstLine="420"/>
        <w:jc w:val="both"/>
      </w:pPr>
      <w:r>
        <w:rPr>
          <w:sz w:val="21"/>
        </w:rPr>
        <w:t>5</w:t>
      </w:r>
      <w:r>
        <w:rPr>
          <w:sz w:val="21"/>
        </w:rPr>
        <w:t>.投标折扣率＝（结算价格÷</w:t>
      </w:r>
      <w:r>
        <w:rPr>
          <w:sz w:val="21"/>
        </w:rPr>
        <w:t>采购限价</w:t>
      </w:r>
      <w:r>
        <w:rPr>
          <w:sz w:val="21"/>
        </w:rPr>
        <w:t>）</w:t>
      </w:r>
      <w:r>
        <w:rPr>
          <w:sz w:val="21"/>
        </w:rPr>
        <w:t>×100.00％。投标折扣率在0.00%-100.00%范围内取值，若报价超出此范围则响应无效。投标折扣率必须为固定报价，不接受区间报价。例如，某车型的</w:t>
      </w:r>
      <w:r>
        <w:rPr>
          <w:sz w:val="21"/>
        </w:rPr>
        <w:t>采购限价</w:t>
      </w:r>
      <w:r>
        <w:rPr>
          <w:sz w:val="21"/>
        </w:rPr>
        <w:t>为</w:t>
      </w:r>
      <w:r>
        <w:rPr>
          <w:sz w:val="21"/>
        </w:rPr>
        <w:t>100.00 元，响应供应商的实际结算价为80.00 元，拟优惠20.00元，则其投标折扣率为（80.00/100.00）×100%=</w:t>
      </w:r>
      <w:r>
        <w:rPr>
          <w:sz w:val="21"/>
        </w:rPr>
        <w:t>8</w:t>
      </w:r>
      <w:r>
        <w:rPr>
          <w:sz w:val="21"/>
        </w:rPr>
        <w:t>0.00%。</w:t>
      </w:r>
    </w:p>
    <w:p>
      <w:pPr>
        <w:jc w:val="both"/>
      </w:pPr>
      <w:r>
        <w:rPr>
          <w:b/>
          <w:sz w:val="21"/>
        </w:rPr>
        <w:t>（六）</w:t>
      </w:r>
      <w:r>
        <w:rPr>
          <w:b/>
          <w:sz w:val="21"/>
        </w:rPr>
        <w:t>实现的目标</w:t>
      </w:r>
    </w:p>
    <w:p>
      <w:pPr>
        <w:ind w:firstLine="420"/>
        <w:jc w:val="both"/>
      </w:pPr>
      <w:r>
        <w:rPr>
          <w:sz w:val="21"/>
        </w:rPr>
        <w:t>采购包</w:t>
      </w:r>
      <w:r>
        <w:rPr>
          <w:sz w:val="21"/>
        </w:rPr>
        <w:t>1至采购包3：为采购人提供业务用车租赁服务。</w:t>
      </w:r>
    </w:p>
    <w:p>
      <w:pPr>
        <w:jc w:val="both"/>
      </w:pPr>
      <w:r>
        <w:rPr>
          <w:b/>
          <w:sz w:val="21"/>
        </w:rPr>
        <w:t>（七）</w:t>
      </w:r>
      <w:r>
        <w:rPr>
          <w:b/>
          <w:sz w:val="21"/>
        </w:rPr>
        <w:t>需执行国家相关标准、行业标准、地方标准或者其他标准、规范</w:t>
      </w:r>
    </w:p>
    <w:p/>
    <w:p>
      <w:pPr>
        <w:ind w:firstLine="480"/>
      </w:pPr>
    </w:p>
    <w:p/>
    <w:p>
      <w:r>
        <w:rPr/>
        <w:t>采购包1（业务用车租赁服务采购项目-本部）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自合同签订之日起1年或结算金额累计达到本包组1年的采购预算，以先到者为准。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1期：支付比例30%,自合同签订之日起，采购人在5个工作日内支付合同总金额30%的服务费给中标供应商作为预付款。</w:t>
            </w:r>
          </w:p>
          <w:p/>
          <w:p>
            <w:r>
              <w:rPr/>
              <w:t>2期：支付比例70%,因本项目为以实际发生的项目服务费结算，当实际发生的项目服务费累计达到预付款（合同总金额的30%）后，按月结算，结算计算公式：租车服务费＝车辆数量×单日租赁费采购限价×租赁天数×中标折扣率；双方应于每月前五个工作日内安排完成上月结算工作，中标供应商应提供结算相关费用票据、单据、凭证，服务方按结算金额开具正规发票，采购人收到发票之日起2周内付清相关款项。</w:t>
            </w:r>
          </w:p>
        </w:tc>
      </w:tr>
      <w:tr>
        <w:tc>
          <w:tcPr>
            <w:tcW w:type="dxa" w:w="4153"/>
          </w:tcPr>
          <w:p>
            <w:r>
              <w:rPr/>
              <w:t>验收要求</w:t>
            </w:r>
          </w:p>
        </w:tc>
        <w:tc>
          <w:tcPr>
            <w:tcW w:type="dxa" w:w="4153"/>
          </w:tcPr>
          <w:p/>
          <w:p/>
          <w:p/>
          <w:p>
            <w:r>
              <w:rPr/>
              <w:t>1期：按国家有关规定以及采购文件的要求、中标供应商的投标文件与承诺及本项目合同约定标准进行验收，其他未尽事宜按照《财政部关于进一步加强政府采购需求和履约验收管理的指导意见》(财库〔2016〕205号)的要求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业务用车租赁服务采购项目-本部</w:t>
            </w:r>
          </w:p>
        </w:tc>
        <w:tc>
          <w:tcPr>
            <w:tcW w:type="dxa" w:w="831"/>
          </w:tcPr>
          <w:p>
            <w:pPr>
              <w:jc w:val="left"/>
            </w:pPr>
            <w:r>
              <w:rPr/>
              <w:t>年</w:t>
            </w:r>
          </w:p>
        </w:tc>
        <w:tc>
          <w:tcPr>
            <w:tcW w:type="dxa" w:w="831"/>
          </w:tcPr>
          <w:p>
            <w:pPr>
              <w:jc w:val="right"/>
            </w:pPr>
            <w:r>
              <w:rPr/>
              <w:t>1.00</w:t>
            </w:r>
          </w:p>
        </w:tc>
        <w:tc>
          <w:tcPr>
            <w:tcW w:type="dxa" w:w="831"/>
          </w:tcPr>
          <w:p>
            <w:pPr>
              <w:jc w:val="right"/>
            </w:pPr>
            <w:r>
              <w:rPr/>
              <w:t>2,500,000.00</w:t>
            </w:r>
          </w:p>
        </w:tc>
        <w:tc>
          <w:tcPr>
            <w:tcW w:type="dxa" w:w="831"/>
          </w:tcPr>
          <w:p>
            <w:pPr>
              <w:jc w:val="right"/>
            </w:pPr>
            <w:r>
              <w:rPr/>
              <w:t>2,500,000.00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业务用车租赁服务采购项目-本部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一、采购车辆及服务配置要求</w:t>
            </w:r>
          </w:p>
          <w:tbl>
            <w:tblPr>
              <w:tblBorders>
                <w:top w:val="none" w:color="000000" w:sz="4"/>
                <w:left w:val="none" w:color="000000" w:sz="4"/>
                <w:bottom w:val="none" w:color="000000" w:sz="4"/>
                <w:right w:val="none" w:color="000000" w:sz="4"/>
                <w:insideH w:val="none"/>
                <w:insideV w:val="none"/>
              </w:tblBorders>
            </w:tblPr>
            <w:tblGrid>
              <w:gridCol w:w="1440"/>
              <w:gridCol w:w="1608"/>
              <w:gridCol w:w="1243"/>
              <w:gridCol w:w="1306"/>
            </w:tblGrid>
            <w:tr>
              <w:tc>
                <w:tcPr>
                  <w:tcW w:type="dxa" w:w="1440"/>
                  <w:tcBorders>
                    <w:top w:val="single" w:color="000000" w:sz="4"/>
                    <w:left w:val="single" w:color="000000" w:sz="4"/>
                    <w:bottom w:val="single" w:color="000000" w:sz="4"/>
                    <w:right w:val="single" w:color="000000" w:sz="4"/>
                  </w:tcBorders>
                  <w:vAlign w:val="top"/>
                </w:tcPr>
                <w:p>
                  <w:pPr>
                    <w:jc w:val="center"/>
                  </w:pPr>
                  <w:r>
                    <w:rPr>
                      <w:b/>
                      <w:sz w:val="21"/>
                    </w:rPr>
                    <w:t>车型要求</w:t>
                  </w:r>
                </w:p>
              </w:tc>
              <w:tc>
                <w:tcPr>
                  <w:tcW w:type="dxa" w:w="1608"/>
                  <w:tcBorders>
                    <w:top w:val="single" w:color="000000" w:sz="4"/>
                    <w:left w:val="single" w:color="000000" w:sz="4"/>
                    <w:bottom w:val="single" w:color="000000" w:sz="4"/>
                    <w:right w:val="single" w:color="000000" w:sz="4"/>
                  </w:tcBorders>
                  <w:vAlign w:val="top"/>
                </w:tcPr>
                <w:p>
                  <w:pPr>
                    <w:jc w:val="center"/>
                  </w:pPr>
                  <w:r>
                    <w:rPr>
                      <w:b/>
                      <w:sz w:val="21"/>
                    </w:rPr>
                    <w:t>主要使用地</w:t>
                  </w:r>
                </w:p>
              </w:tc>
              <w:tc>
                <w:tcPr>
                  <w:tcW w:type="dxa" w:w="1243"/>
                  <w:tcBorders>
                    <w:top w:val="single" w:color="000000" w:sz="4"/>
                    <w:left w:val="single" w:color="000000" w:sz="4"/>
                    <w:bottom w:val="single" w:color="000000" w:sz="4"/>
                    <w:right w:val="single" w:color="000000" w:sz="4"/>
                  </w:tcBorders>
                  <w:vAlign w:val="top"/>
                </w:tcPr>
                <w:p>
                  <w:pPr>
                    <w:jc w:val="center"/>
                  </w:pPr>
                  <w:r>
                    <w:rPr>
                      <w:b/>
                      <w:sz w:val="21"/>
                    </w:rPr>
                    <w:t>保险要求</w:t>
                  </w:r>
                </w:p>
              </w:tc>
              <w:tc>
                <w:tcPr>
                  <w:tcW w:type="dxa" w:w="1306"/>
                  <w:tcBorders>
                    <w:top w:val="single" w:color="000000" w:sz="4"/>
                    <w:left w:val="single" w:color="000000" w:sz="4"/>
                    <w:bottom w:val="single" w:color="000000" w:sz="4"/>
                    <w:right w:val="single" w:color="000000" w:sz="4"/>
                  </w:tcBorders>
                  <w:vAlign w:val="top"/>
                </w:tcPr>
                <w:p>
                  <w:pPr>
                    <w:jc w:val="center"/>
                  </w:pPr>
                  <w:r>
                    <w:rPr>
                      <w:b/>
                      <w:sz w:val="21"/>
                    </w:rPr>
                    <w:t>车辆要求</w:t>
                  </w:r>
                </w:p>
              </w:tc>
            </w:tr>
            <w:tr>
              <w:tc>
                <w:tcPr>
                  <w:tcW w:type="dxa" w:w="1440"/>
                  <w:tcBorders>
                    <w:top w:val="none" w:color="000000" w:sz="4"/>
                    <w:left w:val="single" w:color="000000" w:sz="4"/>
                    <w:bottom w:val="single" w:color="000000" w:sz="4"/>
                    <w:right w:val="single" w:color="000000" w:sz="4"/>
                  </w:tcBorders>
                  <w:vAlign w:val="top"/>
                </w:tcPr>
                <w:p>
                  <w:pPr>
                    <w:jc w:val="center"/>
                  </w:pPr>
                  <w:r>
                    <w:rPr>
                      <w:sz w:val="21"/>
                    </w:rPr>
                    <w:t>5</w:t>
                  </w:r>
                  <w:r>
                    <w:rPr>
                      <w:sz w:val="21"/>
                    </w:rPr>
                    <w:t>座商务车、</w:t>
                  </w:r>
                  <w:r>
                    <w:rPr>
                      <w:sz w:val="21"/>
                    </w:rPr>
                    <w:t>7座商务车、2</w:t>
                  </w:r>
                  <w:r>
                    <w:rPr>
                      <w:sz w:val="21"/>
                    </w:rPr>
                    <w:t>0</w:t>
                  </w:r>
                  <w:r>
                    <w:rPr>
                      <w:sz w:val="21"/>
                    </w:rPr>
                    <w:t>座中巴、</w:t>
                  </w:r>
                  <w:r>
                    <w:rPr>
                      <w:sz w:val="21"/>
                    </w:rPr>
                    <w:t>冷链车</w:t>
                  </w:r>
                </w:p>
              </w:tc>
              <w:tc>
                <w:tcPr>
                  <w:tcW w:type="dxa" w:w="1608"/>
                  <w:tcBorders>
                    <w:top w:val="none" w:color="000000" w:sz="4"/>
                    <w:left w:val="single" w:color="000000" w:sz="4"/>
                    <w:bottom w:val="single" w:color="000000" w:sz="4"/>
                    <w:right w:val="single" w:color="000000" w:sz="4"/>
                  </w:tcBorders>
                  <w:vAlign w:val="top"/>
                </w:tcPr>
                <w:p>
                  <w:pPr>
                    <w:jc w:val="center"/>
                  </w:pPr>
                  <w:r>
                    <w:rPr>
                      <w:sz w:val="21"/>
                    </w:rPr>
                    <w:t>主要服务范围在广东省内</w:t>
                  </w:r>
                </w:p>
              </w:tc>
              <w:tc>
                <w:tcPr>
                  <w:tcW w:type="dxa" w:w="1243"/>
                  <w:tcBorders>
                    <w:top w:val="none" w:color="000000" w:sz="4"/>
                    <w:left w:val="single" w:color="000000" w:sz="4"/>
                    <w:bottom w:val="single" w:color="000000" w:sz="4"/>
                    <w:right w:val="single" w:color="000000" w:sz="4"/>
                  </w:tcBorders>
                  <w:vAlign w:val="top"/>
                </w:tcPr>
                <w:p>
                  <w:pPr>
                    <w:jc w:val="center"/>
                  </w:pPr>
                  <w:r>
                    <w:rPr>
                      <w:sz w:val="21"/>
                    </w:rPr>
                    <w:t>车辆第三者责任险</w:t>
                  </w:r>
                  <w:r>
                    <w:rPr>
                      <w:sz w:val="21"/>
                    </w:rPr>
                    <w:t>1</w:t>
                  </w:r>
                  <w:r>
                    <w:rPr>
                      <w:sz w:val="21"/>
                    </w:rPr>
                    <w:t>00</w:t>
                  </w:r>
                  <w:r>
                    <w:rPr>
                      <w:sz w:val="21"/>
                    </w:rPr>
                    <w:t>万元以上</w:t>
                  </w:r>
                </w:p>
              </w:tc>
              <w:tc>
                <w:tcPr>
                  <w:tcW w:type="dxa" w:w="1306"/>
                  <w:tcBorders>
                    <w:top w:val="none" w:color="000000" w:sz="4"/>
                    <w:left w:val="single" w:color="000000" w:sz="4"/>
                    <w:bottom w:val="single" w:color="000000" w:sz="4"/>
                    <w:right w:val="single" w:color="000000" w:sz="4"/>
                  </w:tcBorders>
                  <w:vAlign w:val="top"/>
                </w:tcPr>
                <w:p>
                  <w:pPr>
                    <w:jc w:val="center"/>
                  </w:pPr>
                  <w:r>
                    <w:rPr>
                      <w:sz w:val="21"/>
                    </w:rPr>
                    <w:t>配备专职驾驶员</w:t>
                  </w:r>
                </w:p>
              </w:tc>
            </w:tr>
          </w:tbl>
          <w:p>
            <w:pPr>
              <w:jc w:val="left"/>
            </w:pPr>
            <w:r>
              <w:rPr>
                <w:b/>
                <w:sz w:val="21"/>
              </w:rPr>
              <w:t>二、</w:t>
            </w:r>
            <w:r>
              <w:rPr>
                <w:b/>
                <w:sz w:val="21"/>
              </w:rPr>
              <w:t>采购限价</w:t>
            </w:r>
            <w:r>
              <w:rPr>
                <w:b/>
                <w:sz w:val="21"/>
              </w:rPr>
              <w:t>说明</w:t>
            </w:r>
          </w:p>
          <w:tbl>
            <w:tblPr>
              <w:tblBorders>
                <w:top w:val="none" w:color="000000" w:sz="4"/>
                <w:left w:val="none" w:color="000000" w:sz="4"/>
                <w:bottom w:val="none" w:color="000000" w:sz="4"/>
                <w:right w:val="none" w:color="000000" w:sz="4"/>
                <w:insideH w:val="none"/>
                <w:insideV w:val="none"/>
              </w:tblBorders>
            </w:tblPr>
            <w:tblGrid>
              <w:gridCol w:w="1422"/>
              <w:gridCol w:w="2206"/>
              <w:gridCol w:w="1970"/>
            </w:tblGrid>
            <w:tr>
              <w:tc>
                <w:tcPr>
                  <w:tcW w:type="dxa" w:w="1422"/>
                  <w:tcBorders>
                    <w:top w:val="single" w:color="000000" w:sz="4"/>
                    <w:left w:val="single" w:color="000000" w:sz="4"/>
                    <w:bottom w:val="single" w:color="000000" w:sz="4"/>
                    <w:right w:val="single" w:color="000000" w:sz="4"/>
                  </w:tcBorders>
                  <w:vAlign w:val="top"/>
                </w:tcPr>
                <w:p>
                  <w:pPr>
                    <w:jc w:val="center"/>
                  </w:pPr>
                  <w:r>
                    <w:rPr>
                      <w:b/>
                      <w:sz w:val="21"/>
                    </w:rPr>
                    <w:t>车辆类型</w:t>
                  </w:r>
                </w:p>
              </w:tc>
              <w:tc>
                <w:tcPr>
                  <w:tcW w:type="dxa" w:w="2206"/>
                  <w:tcBorders>
                    <w:top w:val="single" w:color="000000" w:sz="4"/>
                    <w:left w:val="none" w:color="000000" w:sz="4"/>
                    <w:bottom w:val="single" w:color="000000" w:sz="4"/>
                    <w:right w:val="single" w:color="000000" w:sz="4"/>
                  </w:tcBorders>
                  <w:vAlign w:val="top"/>
                </w:tcPr>
                <w:p>
                  <w:pPr>
                    <w:jc w:val="center"/>
                  </w:pPr>
                  <w:r>
                    <w:rPr>
                      <w:b/>
                      <w:sz w:val="21"/>
                    </w:rPr>
                    <w:t>基础价格</w:t>
                  </w:r>
                  <w:r>
                    <w:rPr>
                      <w:b/>
                      <w:sz w:val="21"/>
                    </w:rPr>
                    <w:t>（元</w:t>
                  </w:r>
                  <w:r>
                    <w:rPr>
                      <w:b/>
                      <w:sz w:val="21"/>
                    </w:rPr>
                    <w:t>/台/天）</w:t>
                  </w:r>
                </w:p>
                <w:p>
                  <w:pPr>
                    <w:jc w:val="center"/>
                  </w:pPr>
                  <w:r>
                    <w:rPr>
                      <w:b/>
                      <w:sz w:val="21"/>
                    </w:rPr>
                    <w:t>（用车</w:t>
                  </w:r>
                  <w:r>
                    <w:rPr>
                      <w:b/>
                      <w:sz w:val="21"/>
                    </w:rPr>
                    <w:t>≤4小时为</w:t>
                  </w:r>
                  <w:r>
                    <w:rPr>
                      <w:b/>
                      <w:sz w:val="21"/>
                    </w:rPr>
                    <w:t>基础价格</w:t>
                  </w:r>
                  <w:r>
                    <w:rPr>
                      <w:b/>
                      <w:sz w:val="21"/>
                    </w:rPr>
                    <w:t>一半）</w:t>
                  </w:r>
                </w:p>
              </w:tc>
              <w:tc>
                <w:tcPr>
                  <w:tcW w:type="dxa" w:w="1970"/>
                  <w:tcBorders>
                    <w:top w:val="single" w:color="000000" w:sz="4"/>
                    <w:left w:val="none" w:color="000000" w:sz="4"/>
                    <w:bottom w:val="single" w:color="000000" w:sz="4"/>
                    <w:right w:val="single" w:color="000000" w:sz="4"/>
                  </w:tcBorders>
                  <w:vAlign w:val="top"/>
                </w:tcPr>
                <w:p>
                  <w:pPr>
                    <w:jc w:val="center"/>
                  </w:pPr>
                  <w:r>
                    <w:rPr>
                      <w:b/>
                      <w:sz w:val="21"/>
                    </w:rPr>
                    <w:t>里程费用价格</w:t>
                  </w:r>
                </w:p>
              </w:tc>
            </w:tr>
            <w:tr>
              <w:tc>
                <w:tcPr>
                  <w:tcW w:type="dxa" w:w="1422"/>
                  <w:tcBorders>
                    <w:top w:val="none" w:color="000000" w:sz="4"/>
                    <w:left w:val="single" w:color="000000" w:sz="4"/>
                    <w:bottom w:val="single" w:color="000000" w:sz="4"/>
                    <w:right w:val="single" w:color="000000" w:sz="4"/>
                  </w:tcBorders>
                  <w:vAlign w:val="top"/>
                </w:tcPr>
                <w:p>
                  <w:pPr>
                    <w:jc w:val="center"/>
                  </w:pPr>
                  <w:r>
                    <w:rPr>
                      <w:sz w:val="21"/>
                    </w:rPr>
                    <w:t>5座小轿车</w:t>
                  </w:r>
                </w:p>
              </w:tc>
              <w:tc>
                <w:tcPr>
                  <w:tcW w:type="dxa" w:w="2206"/>
                  <w:tcBorders>
                    <w:top w:val="none" w:color="000000" w:sz="4"/>
                    <w:left w:val="none" w:color="000000" w:sz="4"/>
                    <w:bottom w:val="single" w:color="000000" w:sz="4"/>
                    <w:right w:val="single" w:color="000000" w:sz="4"/>
                  </w:tcBorders>
                  <w:vAlign w:val="top"/>
                </w:tcPr>
                <w:p>
                  <w:pPr>
                    <w:jc w:val="center"/>
                  </w:pPr>
                  <w:r>
                    <w:rPr>
                      <w:sz w:val="21"/>
                    </w:rPr>
                    <w:t>500</w:t>
                  </w:r>
                </w:p>
              </w:tc>
              <w:tc>
                <w:tcPr>
                  <w:tcW w:type="dxa" w:w="1970"/>
                  <w:tcBorders>
                    <w:top w:val="none" w:color="000000" w:sz="4"/>
                    <w:left w:val="none" w:color="000000" w:sz="4"/>
                    <w:bottom w:val="single" w:color="000000" w:sz="4"/>
                    <w:right w:val="single" w:color="000000" w:sz="4"/>
                  </w:tcBorders>
                  <w:vAlign w:val="top"/>
                </w:tcPr>
                <w:p>
                  <w:pPr>
                    <w:jc w:val="center"/>
                  </w:pPr>
                  <w:r>
                    <w:rPr>
                      <w:sz w:val="21"/>
                    </w:rPr>
                    <w:t>0.9元/公里</w:t>
                  </w:r>
                </w:p>
              </w:tc>
            </w:tr>
            <w:tr>
              <w:tc>
                <w:tcPr>
                  <w:tcW w:type="dxa" w:w="1422"/>
                  <w:tcBorders>
                    <w:top w:val="none" w:color="000000" w:sz="4"/>
                    <w:left w:val="single" w:color="000000" w:sz="4"/>
                    <w:bottom w:val="single" w:color="000000" w:sz="4"/>
                    <w:right w:val="single" w:color="000000" w:sz="4"/>
                  </w:tcBorders>
                  <w:vAlign w:val="top"/>
                </w:tcPr>
                <w:p>
                  <w:pPr>
                    <w:jc w:val="center"/>
                  </w:pPr>
                  <w:r>
                    <w:rPr>
                      <w:sz w:val="21"/>
                    </w:rPr>
                    <w:t>7座商务车</w:t>
                  </w:r>
                </w:p>
              </w:tc>
              <w:tc>
                <w:tcPr>
                  <w:tcW w:type="dxa" w:w="2206"/>
                  <w:tcBorders>
                    <w:top w:val="none" w:color="000000" w:sz="4"/>
                    <w:left w:val="none" w:color="000000" w:sz="4"/>
                    <w:bottom w:val="single" w:color="000000" w:sz="4"/>
                    <w:right w:val="single" w:color="000000" w:sz="4"/>
                  </w:tcBorders>
                  <w:vAlign w:val="top"/>
                </w:tcPr>
                <w:p>
                  <w:pPr>
                    <w:jc w:val="center"/>
                  </w:pPr>
                  <w:r>
                    <w:rPr>
                      <w:sz w:val="21"/>
                    </w:rPr>
                    <w:t>650</w:t>
                  </w:r>
                </w:p>
              </w:tc>
              <w:tc>
                <w:tcPr>
                  <w:tcW w:type="dxa" w:w="1970"/>
                  <w:tcBorders>
                    <w:top w:val="none" w:color="000000" w:sz="4"/>
                    <w:left w:val="none" w:color="000000" w:sz="4"/>
                    <w:bottom w:val="single" w:color="000000" w:sz="4"/>
                    <w:right w:val="single" w:color="000000" w:sz="4"/>
                  </w:tcBorders>
                  <w:vAlign w:val="top"/>
                </w:tcPr>
                <w:p>
                  <w:pPr>
                    <w:jc w:val="center"/>
                  </w:pPr>
                  <w:r>
                    <w:rPr>
                      <w:sz w:val="21"/>
                    </w:rPr>
                    <w:t>1.1元/公里</w:t>
                  </w:r>
                </w:p>
              </w:tc>
            </w:tr>
            <w:tr>
              <w:tc>
                <w:tcPr>
                  <w:tcW w:type="dxa" w:w="1422"/>
                  <w:tcBorders>
                    <w:top w:val="none" w:color="000000" w:sz="4"/>
                    <w:left w:val="single" w:color="000000" w:sz="4"/>
                    <w:bottom w:val="single" w:color="000000" w:sz="4"/>
                    <w:right w:val="single" w:color="000000" w:sz="4"/>
                  </w:tcBorders>
                  <w:vAlign w:val="top"/>
                </w:tcPr>
                <w:p>
                  <w:pPr>
                    <w:jc w:val="center"/>
                  </w:pPr>
                  <w:r>
                    <w:rPr>
                      <w:sz w:val="21"/>
                    </w:rPr>
                    <w:t>20座中巴</w:t>
                  </w:r>
                </w:p>
              </w:tc>
              <w:tc>
                <w:tcPr>
                  <w:tcW w:type="dxa" w:w="2206"/>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1970"/>
                  <w:tcBorders>
                    <w:top w:val="none" w:color="000000" w:sz="4"/>
                    <w:left w:val="none" w:color="000000" w:sz="4"/>
                    <w:bottom w:val="single" w:color="000000" w:sz="4"/>
                    <w:right w:val="single" w:color="000000" w:sz="4"/>
                  </w:tcBorders>
                  <w:vAlign w:val="top"/>
                </w:tcPr>
                <w:p>
                  <w:pPr>
                    <w:jc w:val="center"/>
                  </w:pPr>
                  <w:r>
                    <w:rPr>
                      <w:sz w:val="21"/>
                    </w:rPr>
                    <w:t>2元/公里</w:t>
                  </w:r>
                </w:p>
              </w:tc>
            </w:tr>
            <w:tr>
              <w:tc>
                <w:tcPr>
                  <w:tcW w:type="dxa" w:w="1422"/>
                  <w:tcBorders>
                    <w:top w:val="none" w:color="000000" w:sz="4"/>
                    <w:left w:val="single" w:color="000000" w:sz="4"/>
                    <w:bottom w:val="single" w:color="000000" w:sz="4"/>
                    <w:right w:val="single" w:color="000000" w:sz="4"/>
                  </w:tcBorders>
                  <w:vAlign w:val="top"/>
                </w:tcPr>
                <w:p>
                  <w:pPr>
                    <w:jc w:val="center"/>
                  </w:pPr>
                  <w:r>
                    <w:rPr>
                      <w:sz w:val="21"/>
                    </w:rPr>
                    <w:t>冷链车</w:t>
                  </w:r>
                </w:p>
              </w:tc>
              <w:tc>
                <w:tcPr>
                  <w:tcW w:type="dxa" w:w="2206"/>
                  <w:tcBorders>
                    <w:top w:val="none" w:color="000000" w:sz="4"/>
                    <w:left w:val="none" w:color="000000" w:sz="4"/>
                    <w:bottom w:val="single" w:color="000000" w:sz="4"/>
                    <w:right w:val="single" w:color="000000" w:sz="4"/>
                  </w:tcBorders>
                  <w:vAlign w:val="top"/>
                </w:tcPr>
                <w:p>
                  <w:pPr>
                    <w:jc w:val="center"/>
                  </w:pPr>
                  <w:r>
                    <w:rPr>
                      <w:sz w:val="21"/>
                    </w:rPr>
                    <w:t>800</w:t>
                  </w:r>
                </w:p>
              </w:tc>
              <w:tc>
                <w:tcPr>
                  <w:tcW w:type="dxa" w:w="1970"/>
                  <w:tcBorders>
                    <w:top w:val="none" w:color="000000" w:sz="4"/>
                    <w:left w:val="none" w:color="000000" w:sz="4"/>
                    <w:bottom w:val="single" w:color="000000" w:sz="4"/>
                    <w:right w:val="single" w:color="000000" w:sz="4"/>
                  </w:tcBorders>
                  <w:vAlign w:val="top"/>
                </w:tcPr>
                <w:p>
                  <w:pPr>
                    <w:jc w:val="center"/>
                  </w:pPr>
                  <w:r>
                    <w:rPr>
                      <w:sz w:val="21"/>
                    </w:rPr>
                    <w:t>2元/公里</w:t>
                  </w:r>
                </w:p>
              </w:tc>
            </w:tr>
          </w:tbl>
          <w:p>
            <w:pPr>
              <w:ind w:firstLine="420"/>
              <w:jc w:val="both"/>
            </w:pPr>
            <w:r>
              <w:rPr>
                <w:sz w:val="21"/>
              </w:rPr>
              <w:t>1</w:t>
            </w:r>
            <w:r>
              <w:rPr>
                <w:sz w:val="21"/>
              </w:rPr>
              <w:t>.</w:t>
            </w:r>
            <w:r>
              <w:rPr>
                <w:sz w:val="21"/>
              </w:rPr>
              <w:t>采购限价由基础价格</w:t>
            </w:r>
            <w:r>
              <w:rPr>
                <w:sz w:val="21"/>
              </w:rPr>
              <w:t>+里程费用价格组成。</w:t>
            </w:r>
          </w:p>
          <w:p>
            <w:pPr>
              <w:ind w:firstLine="420"/>
              <w:jc w:val="both"/>
            </w:pPr>
            <w:r>
              <w:rPr>
                <w:sz w:val="21"/>
              </w:rPr>
              <w:t>2</w:t>
            </w:r>
            <w:r>
              <w:rPr>
                <w:sz w:val="21"/>
              </w:rPr>
              <w:t>.车辆使用过程中产生的路桥费、停车费、以及驾驶员住宿费由采购人承担；燃油费、其他费用如驾驶员伙食补贴、差旅补贴等费用由中标人承担。</w:t>
            </w:r>
          </w:p>
          <w:p>
            <w:pPr>
              <w:jc w:val="both"/>
            </w:pPr>
            <w:r>
              <w:rPr>
                <w:b/>
                <w:sz w:val="21"/>
              </w:rPr>
              <w:t>三、服务要求</w:t>
            </w:r>
          </w:p>
          <w:p>
            <w:pPr>
              <w:ind w:firstLine="420"/>
              <w:jc w:val="both"/>
            </w:pPr>
            <w:r>
              <w:rPr>
                <w:sz w:val="21"/>
              </w:rPr>
              <w:t>1.租赁车辆免收押金；</w:t>
            </w:r>
          </w:p>
          <w:p>
            <w:pPr>
              <w:ind w:firstLine="420"/>
              <w:jc w:val="both"/>
            </w:pPr>
            <w:r>
              <w:rPr>
                <w:sz w:val="21"/>
              </w:rPr>
              <w:t>2.根据采购人用车需求安排用车，每月租车费用按照实际使用天数结算；</w:t>
            </w:r>
          </w:p>
          <w:p>
            <w:pPr>
              <w:ind w:firstLine="420"/>
              <w:jc w:val="both"/>
            </w:pPr>
            <w:r>
              <w:rPr>
                <w:sz w:val="21"/>
              </w:rPr>
              <w:t>3.车辆使用过程中须提供紧急救援服务；</w:t>
            </w:r>
          </w:p>
          <w:p>
            <w:pPr>
              <w:ind w:firstLine="420"/>
              <w:jc w:val="both"/>
            </w:pPr>
            <w:r>
              <w:rPr>
                <w:sz w:val="21"/>
              </w:rPr>
              <w:t>4.投标人按照采购人规定的时间、规定的地点出车，作业时间、作业地点听从采购人安排（投标时提供承诺函，格式自拟）</w:t>
            </w:r>
          </w:p>
          <w:p>
            <w:pPr>
              <w:ind w:firstLine="420"/>
              <w:jc w:val="both"/>
            </w:pPr>
            <w:r>
              <w:rPr>
                <w:sz w:val="21"/>
              </w:rPr>
              <w:t>5</w:t>
            </w:r>
            <w:r>
              <w:rPr>
                <w:sz w:val="21"/>
              </w:rPr>
              <w:t>.</w:t>
            </w:r>
            <w:r>
              <w:rPr>
                <w:sz w:val="21"/>
              </w:rPr>
              <w:t>因广州市交通限行（开四停四），故需</w:t>
            </w:r>
            <w:r>
              <w:rPr>
                <w:sz w:val="21"/>
              </w:rPr>
              <w:t>所有投入服务车辆需为粤</w:t>
            </w:r>
            <w:r>
              <w:rPr>
                <w:sz w:val="21"/>
              </w:rPr>
              <w:t>A车牌（冷链车除外）。</w:t>
            </w:r>
          </w:p>
          <w:p>
            <w:pPr>
              <w:ind w:firstLine="210"/>
              <w:jc w:val="both"/>
            </w:pPr>
            <w:r>
              <w:rPr>
                <w:sz w:val="21"/>
              </w:rPr>
              <w:t>★</w:t>
            </w:r>
            <w:r>
              <w:rPr>
                <w:sz w:val="21"/>
              </w:rPr>
              <w:t>6</w:t>
            </w:r>
            <w:r>
              <w:rPr>
                <w:sz w:val="21"/>
              </w:rPr>
              <w:t>.中标供应商接到采购人的用车单，应在30分钟内回复车牌、驾驶员信息。（投标时提供承诺函，格式自拟）</w:t>
            </w:r>
          </w:p>
          <w:p>
            <w:pPr>
              <w:ind w:firstLine="210"/>
              <w:jc w:val="both"/>
            </w:pPr>
            <w:r>
              <w:rPr>
                <w:sz w:val="21"/>
              </w:rPr>
              <w:t>★</w:t>
            </w:r>
            <w:r>
              <w:rPr>
                <w:sz w:val="21"/>
              </w:rPr>
              <w:t>7</w:t>
            </w:r>
            <w:r>
              <w:rPr>
                <w:sz w:val="21"/>
              </w:rPr>
              <w:t>.在租赁期间发生交通事故或发生机械故障时，中标供应商在3小时内安排车辆转接，如不能及时安排转接车辆到达现场时，采购人有权转乘其他交通工具保证工作顺利开展，所产生的费用由中标供应商负责（不予结算）。（投标时提供承诺函，格式自拟）</w:t>
            </w:r>
          </w:p>
          <w:p>
            <w:pPr>
              <w:ind w:firstLine="420"/>
              <w:jc w:val="both"/>
            </w:pPr>
            <w:r>
              <w:rPr>
                <w:sz w:val="21"/>
              </w:rPr>
              <w:t>8</w:t>
            </w:r>
            <w:r>
              <w:rPr>
                <w:sz w:val="21"/>
              </w:rPr>
              <w:t>.</w:t>
            </w:r>
            <w:r>
              <w:rPr>
                <w:sz w:val="21"/>
              </w:rPr>
              <w:t>中标供应商如没有依时完成合同规定任务或服务质量达不到要求，如经采购人累计三次提出书面批评整改要求意见后，中标供应商仍无改进或改进不力的，采购人有权单方面终止合同</w:t>
            </w:r>
            <w:r>
              <w:rPr>
                <w:sz w:val="21"/>
              </w:rPr>
              <w:t>。</w:t>
            </w:r>
          </w:p>
          <w:p>
            <w:pPr>
              <w:jc w:val="both"/>
            </w:pPr>
            <w:r>
              <w:rPr>
                <w:b/>
                <w:sz w:val="21"/>
              </w:rPr>
              <w:t>四、其他要求</w:t>
            </w:r>
          </w:p>
          <w:p>
            <w:pPr>
              <w:ind w:firstLine="420"/>
              <w:jc w:val="both"/>
            </w:pPr>
            <w:r>
              <w:rPr>
                <w:sz w:val="21"/>
              </w:rPr>
              <w:t>1.</w:t>
            </w:r>
            <w:r>
              <w:rPr>
                <w:sz w:val="21"/>
              </w:rPr>
              <w:t>中标供应商拟投入本项目的驾驶员，需具备丰富的驾驶经验，</w:t>
            </w:r>
            <w:r>
              <w:rPr>
                <w:sz w:val="21"/>
              </w:rPr>
              <w:t>5年以内无重大交通事故记录、5年以上驾龄、年龄为25～55周岁、熟悉交通道路。</w:t>
            </w:r>
          </w:p>
          <w:p>
            <w:pPr>
              <w:ind w:firstLine="420"/>
              <w:jc w:val="both"/>
            </w:pPr>
            <w:r>
              <w:rPr>
                <w:sz w:val="21"/>
              </w:rPr>
              <w:t>2</w:t>
            </w:r>
            <w:r>
              <w:rPr>
                <w:sz w:val="21"/>
              </w:rPr>
              <w:t>.</w:t>
            </w:r>
            <w:r>
              <w:rPr>
                <w:sz w:val="21"/>
              </w:rPr>
              <w:t>车况方面要求</w:t>
            </w:r>
          </w:p>
          <w:p>
            <w:pPr>
              <w:ind w:firstLine="420"/>
              <w:jc w:val="both"/>
            </w:pPr>
            <w:r>
              <w:rPr>
                <w:sz w:val="21"/>
              </w:rPr>
              <w:t>2</w:t>
            </w:r>
            <w:r>
              <w:rPr>
                <w:sz w:val="21"/>
              </w:rPr>
              <w:t>.1投标人的车辆必须配置合格的安全带。</w:t>
            </w:r>
          </w:p>
          <w:p>
            <w:pPr>
              <w:ind w:firstLine="420"/>
              <w:jc w:val="both"/>
            </w:pPr>
            <w:r>
              <w:rPr>
                <w:sz w:val="21"/>
              </w:rPr>
              <w:t>2</w:t>
            </w:r>
            <w:r>
              <w:rPr>
                <w:sz w:val="21"/>
              </w:rPr>
              <w:t>.2投标人的车辆车况良好，安全性能较高，并符合公安部门及交委的相关要求。</w:t>
            </w:r>
          </w:p>
          <w:p>
            <w:pPr>
              <w:ind w:firstLine="420"/>
              <w:jc w:val="both"/>
            </w:pPr>
            <w:r>
              <w:rPr>
                <w:sz w:val="21"/>
              </w:rPr>
              <w:t>2</w:t>
            </w:r>
            <w:r>
              <w:rPr>
                <w:sz w:val="21"/>
              </w:rPr>
              <w:t>.3投标人的车辆车容要求“三洁”--车头清洁、车身光洁、车厢和座位干净整洁无异味。</w:t>
            </w:r>
          </w:p>
          <w:p>
            <w:pPr>
              <w:ind w:firstLine="420"/>
              <w:jc w:val="both"/>
            </w:pPr>
            <w:r>
              <w:rPr>
                <w:sz w:val="21"/>
              </w:rPr>
              <w:t>3.</w:t>
            </w:r>
            <w:r>
              <w:rPr>
                <w:sz w:val="21"/>
              </w:rPr>
              <w:t>保险方面</w:t>
            </w:r>
          </w:p>
          <w:p>
            <w:pPr>
              <w:ind w:firstLine="420"/>
              <w:jc w:val="both"/>
            </w:pPr>
            <w:r>
              <w:rPr>
                <w:sz w:val="21"/>
              </w:rPr>
              <w:t>3</w:t>
            </w:r>
            <w:r>
              <w:rPr>
                <w:sz w:val="21"/>
              </w:rPr>
              <w:t>.1车辆都必须投保机动车交通事故责任强制保险。</w:t>
            </w:r>
          </w:p>
          <w:p>
            <w:pPr>
              <w:ind w:firstLine="420"/>
              <w:jc w:val="both"/>
            </w:pPr>
            <w:r>
              <w:rPr>
                <w:sz w:val="21"/>
              </w:rPr>
              <w:t>3</w:t>
            </w:r>
            <w:r>
              <w:rPr>
                <w:sz w:val="21"/>
              </w:rPr>
              <w:t>.2投标人拟投入本项目的所有车辆都必须投保第三者责任保险，且第三者责任险不得低于人民币</w:t>
            </w:r>
            <w:r>
              <w:rPr>
                <w:sz w:val="21"/>
              </w:rPr>
              <w:t>100</w:t>
            </w:r>
            <w:r>
              <w:rPr>
                <w:sz w:val="21"/>
              </w:rPr>
              <w:t>万元（含人民币</w:t>
            </w:r>
            <w:r>
              <w:rPr>
                <w:sz w:val="21"/>
              </w:rPr>
              <w:t>100</w:t>
            </w:r>
            <w:r>
              <w:rPr>
                <w:sz w:val="21"/>
              </w:rPr>
              <w:t>万元）。</w:t>
            </w:r>
          </w:p>
          <w:p>
            <w:pPr>
              <w:ind w:firstLine="420"/>
              <w:jc w:val="both"/>
            </w:pPr>
            <w:r>
              <w:rPr>
                <w:sz w:val="21"/>
              </w:rPr>
              <w:t>4</w:t>
            </w:r>
            <w:r>
              <w:rPr>
                <w:sz w:val="21"/>
              </w:rPr>
              <w:t>.</w:t>
            </w:r>
            <w:r>
              <w:rPr>
                <w:sz w:val="21"/>
              </w:rPr>
              <w:t>如因中标供应商的疏忽造成行车途中发生交通事故（责任鉴定以交管部门或其指定的第三方机构的意见为准），造成人员伤亡、采购人专业设备及物品的缺损或车辆损坏，由中标供应商承担所有责任并负责赔偿采购人的损失。</w:t>
            </w:r>
          </w:p>
          <w:p>
            <w:pPr>
              <w:ind w:firstLine="420"/>
              <w:jc w:val="both"/>
            </w:pPr>
            <w:r>
              <w:rPr>
                <w:sz w:val="21"/>
              </w:rPr>
              <w:t>5.承运要求</w:t>
            </w:r>
          </w:p>
          <w:p>
            <w:pPr>
              <w:ind w:firstLine="420"/>
              <w:jc w:val="both"/>
            </w:pPr>
            <w:r>
              <w:rPr>
                <w:sz w:val="21"/>
              </w:rPr>
              <w:t>5.1 中标供应商承租的车辆必须严格按照采购人规定的时间、线路将采购人的工作人员安全、准时、舒适地送到目的地。</w:t>
            </w:r>
          </w:p>
          <w:p>
            <w:pPr>
              <w:ind w:firstLine="420"/>
              <w:jc w:val="both"/>
            </w:pPr>
            <w:r>
              <w:rPr>
                <w:sz w:val="21"/>
              </w:rPr>
              <w:t>5.2 中标供应商承租的车辆必须满足采购人的合理用车要求，严格执行采购人制定的行车和管理制度，采购人有权终止合同且不承担任何违约责任，中标供应商须同时退还违规收取的租赁费，并支付本年度以来所收取租赁费总额的20%作为赔偿。</w:t>
            </w:r>
          </w:p>
          <w:p>
            <w:pPr>
              <w:ind w:firstLine="420"/>
              <w:jc w:val="both"/>
            </w:pPr>
            <w:r>
              <w:rPr>
                <w:sz w:val="21"/>
              </w:rPr>
              <w:t>5.3 中标供应商应做到专人、专车。中标供应商的车辆在租赁期间如因维修或保养，必须调派同等条件、车况的车辆，并至少提前1个工作日知会采购人，经确认同意后方可正常工作。</w:t>
            </w:r>
          </w:p>
          <w:p>
            <w:pPr>
              <w:ind w:firstLine="420"/>
              <w:jc w:val="both"/>
            </w:pPr>
            <w:r>
              <w:rPr>
                <w:sz w:val="21"/>
              </w:rPr>
              <w:t>5.4 合同执行期间：</w:t>
            </w:r>
          </w:p>
          <w:p>
            <w:pPr>
              <w:ind w:firstLine="420"/>
              <w:jc w:val="both"/>
            </w:pPr>
            <w:r>
              <w:rPr>
                <w:sz w:val="21"/>
              </w:rPr>
              <w:t>5.4.1中标供应商的驾驶员在行车载客时必须遵守交通法规，不得超载、疲劳驾驶等等，确保乘客和车上物品的安全。</w:t>
            </w:r>
          </w:p>
          <w:p>
            <w:pPr>
              <w:ind w:firstLine="420"/>
              <w:jc w:val="both"/>
            </w:pPr>
            <w:r>
              <w:rPr>
                <w:sz w:val="21"/>
              </w:rPr>
              <w:t>5.4.2采购人及中标供应商均应积极配合事故调查及相关手续的办理。</w:t>
            </w:r>
          </w:p>
          <w:p>
            <w:pPr>
              <w:ind w:firstLine="420"/>
              <w:jc w:val="both"/>
            </w:pPr>
            <w:r>
              <w:rPr>
                <w:sz w:val="21"/>
              </w:rPr>
              <w:t>5.5中标供应商提供的车辆必须符合国家规定安全、环保等要求，车辆在使用期间如确需维修、保养或年审、季审、接受定期检审及其它经采购人认可的合理因素而造成需要暂停运行时，中标供应商必须调派同等条件的车辆供采购人使用。</w:t>
            </w:r>
          </w:p>
          <w:p>
            <w:pPr>
              <w:jc w:val="left"/>
            </w:pPr>
          </w:p>
          <w:p>
            <w:pPr>
              <w:jc w:val="left"/>
            </w:pPr>
            <w:r>
              <w:rPr/>
              <w:t xml:space="preserve"> </w:t>
            </w:r>
          </w:p>
          <w:p>
            <w:pPr>
              <w:jc w:val="left"/>
            </w:pPr>
            <w:r>
              <w:rPr/>
              <w:t xml:space="preserve"> </w:t>
            </w:r>
          </w:p>
          <w:p>
            <w:pPr>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采购包2（业务用车租赁服务采购项目-南沙）</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自合同签订之日起3年或结算金额累计达到本包组3年的采购预算，以先到者为准。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1期：支付比例30%,自合同签订之日起，采购人在5个工作日内支付合同总金额30%的服务费给中标供应商作为预付款。</w:t>
            </w:r>
          </w:p>
          <w:p/>
          <w:p>
            <w:r>
              <w:rPr/>
              <w:t>2期：支付比例70%,1.因本项目为以实际发生的项目服务费结算，当实际发生的项目服务费累计达到预付款（合同总金额的30%）后，按月结算，中标供应商每月15号前开出有效发票给采购人，采购人收到正式发票之日起15天内支付上月度的费用。 2.采购人凭以下文件支付合同款：1）合同；2）中标通知书；3）中标供应商开具的有效发票；4)实际使用车辆结算单及其他费用统计资料。 3.结算计算公式：租车服务费＝车辆数量×各类型车辆的单辆车每月的租金×中标折扣率。</w:t>
            </w:r>
          </w:p>
        </w:tc>
      </w:tr>
      <w:tr>
        <w:tc>
          <w:tcPr>
            <w:tcW w:type="dxa" w:w="4153"/>
          </w:tcPr>
          <w:p>
            <w:r>
              <w:rPr/>
              <w:t>验收要求</w:t>
            </w:r>
          </w:p>
        </w:tc>
        <w:tc>
          <w:tcPr>
            <w:tcW w:type="dxa" w:w="4153"/>
          </w:tcPr>
          <w:p/>
          <w:p/>
          <w:p/>
          <w:p>
            <w:r>
              <w:rPr/>
              <w:t>1期：按国家有关规定以及采购文件的要求、中标供应商的投标文件与承诺及本项目合同约定标准进行验收，其他未尽事宜按照《财政部关于进一步加强政府采购需求和履约验收管理的指导意见》(财库〔2016〕205号)的要求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业务用车租赁服务采购项目-南沙</w:t>
            </w:r>
          </w:p>
        </w:tc>
        <w:tc>
          <w:tcPr>
            <w:tcW w:type="dxa" w:w="831"/>
          </w:tcPr>
          <w:p>
            <w:pPr>
              <w:jc w:val="left"/>
            </w:pPr>
            <w:r>
              <w:rPr/>
              <w:t>年</w:t>
            </w:r>
          </w:p>
        </w:tc>
        <w:tc>
          <w:tcPr>
            <w:tcW w:type="dxa" w:w="831"/>
          </w:tcPr>
          <w:p>
            <w:pPr>
              <w:jc w:val="right"/>
            </w:pPr>
            <w:r>
              <w:rPr/>
              <w:t>3.00</w:t>
            </w:r>
          </w:p>
        </w:tc>
        <w:tc>
          <w:tcPr>
            <w:tcW w:type="dxa" w:w="831"/>
          </w:tcPr>
          <w:p>
            <w:pPr>
              <w:jc w:val="right"/>
            </w:pPr>
            <w:r>
              <w:rPr/>
              <w:t>300,000.00</w:t>
            </w:r>
          </w:p>
        </w:tc>
        <w:tc>
          <w:tcPr>
            <w:tcW w:type="dxa" w:w="831"/>
          </w:tcPr>
          <w:p>
            <w:pPr>
              <w:jc w:val="right"/>
            </w:pPr>
            <w:r>
              <w:rPr/>
              <w:t>900,000.00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业务用车租赁服务采购项目-南沙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一、采购限价：</w:t>
            </w:r>
          </w:p>
          <w:tbl>
            <w:tblPr>
              <w:tblBorders>
                <w:top w:val="none" w:color="000000" w:sz="4"/>
                <w:left w:val="none" w:color="000000" w:sz="4"/>
                <w:bottom w:val="none" w:color="000000" w:sz="4"/>
                <w:right w:val="none" w:color="000000" w:sz="4"/>
                <w:insideH w:val="none"/>
                <w:insideV w:val="none"/>
              </w:tblBorders>
            </w:tblPr>
            <w:tblGrid>
              <w:gridCol w:w="345"/>
              <w:gridCol w:w="1459"/>
              <w:gridCol w:w="1410"/>
              <w:gridCol w:w="1243"/>
              <w:gridCol w:w="1140"/>
            </w:tblGrid>
            <w:tr>
              <w:tc>
                <w:tcPr>
                  <w:tcW w:type="dxa" w:w="1804"/>
                  <w:gridSpan w:val="2"/>
                  <w:tcBorders>
                    <w:top w:val="single" w:color="000000" w:sz="4"/>
                    <w:left w:val="single" w:color="000000" w:sz="4"/>
                    <w:bottom w:val="single" w:color="000000" w:sz="4"/>
                    <w:right w:val="single" w:color="000000" w:sz="4"/>
                  </w:tcBorders>
                  <w:vAlign w:val="top"/>
                </w:tcPr>
                <w:p>
                  <w:pPr>
                    <w:jc w:val="center"/>
                  </w:pPr>
                  <w:r>
                    <w:rPr>
                      <w:b/>
                      <w:sz w:val="21"/>
                    </w:rPr>
                    <w:t>车辆种类</w:t>
                  </w:r>
                  <w:r>
                    <w:rPr>
                      <w:b/>
                      <w:sz w:val="21"/>
                    </w:rPr>
                    <w:t>选型意向</w:t>
                  </w:r>
                </w:p>
              </w:tc>
              <w:tc>
                <w:tcPr>
                  <w:tcW w:type="dxa" w:w="1410"/>
                  <w:tcBorders>
                    <w:top w:val="single" w:color="000000" w:sz="4"/>
                    <w:left w:val="single" w:color="000000" w:sz="4"/>
                    <w:bottom w:val="single" w:color="000000" w:sz="4"/>
                    <w:right w:val="single" w:color="000000" w:sz="4"/>
                  </w:tcBorders>
                  <w:vAlign w:val="top"/>
                </w:tcPr>
                <w:p>
                  <w:pPr>
                    <w:jc w:val="center"/>
                  </w:pPr>
                  <w:r>
                    <w:rPr>
                      <w:b/>
                      <w:sz w:val="21"/>
                    </w:rPr>
                    <w:t>服务期</w:t>
                  </w:r>
                </w:p>
              </w:tc>
              <w:tc>
                <w:tcPr>
                  <w:tcW w:type="dxa" w:w="1243"/>
                  <w:tcBorders>
                    <w:top w:val="single" w:color="000000" w:sz="4"/>
                    <w:left w:val="single" w:color="000000" w:sz="4"/>
                    <w:bottom w:val="single" w:color="000000" w:sz="4"/>
                    <w:right w:val="single" w:color="000000" w:sz="4"/>
                  </w:tcBorders>
                  <w:vAlign w:val="top"/>
                </w:tcPr>
                <w:p>
                  <w:pPr>
                    <w:jc w:val="center"/>
                  </w:pPr>
                  <w:r>
                    <w:rPr>
                      <w:b/>
                      <w:sz w:val="21"/>
                    </w:rPr>
                    <w:t>各类型车辆的单辆车每月的租金</w:t>
                  </w:r>
                </w:p>
                <w:p>
                  <w:pPr>
                    <w:jc w:val="center"/>
                  </w:pPr>
                  <w:r>
                    <w:rPr>
                      <w:b/>
                      <w:sz w:val="21"/>
                    </w:rPr>
                    <w:t>（</w:t>
                  </w:r>
                  <w:r>
                    <w:rPr>
                      <w:b/>
                      <w:sz w:val="21"/>
                    </w:rPr>
                    <w:t>采购限价</w:t>
                  </w:r>
                  <w:r>
                    <w:rPr>
                      <w:b/>
                      <w:sz w:val="21"/>
                    </w:rPr>
                    <w:t>）</w:t>
                  </w:r>
                </w:p>
              </w:tc>
              <w:tc>
                <w:tcPr>
                  <w:tcW w:type="dxa" w:w="1140"/>
                  <w:tcBorders>
                    <w:top w:val="single" w:color="000000" w:sz="4"/>
                    <w:left w:val="single" w:color="000000" w:sz="4"/>
                    <w:bottom w:val="single" w:color="000000" w:sz="4"/>
                    <w:right w:val="single" w:color="000000" w:sz="4"/>
                  </w:tcBorders>
                  <w:vAlign w:val="top"/>
                </w:tcPr>
                <w:p>
                  <w:pPr>
                    <w:jc w:val="center"/>
                  </w:pPr>
                  <w:r>
                    <w:rPr>
                      <w:b/>
                      <w:sz w:val="21"/>
                    </w:rPr>
                    <w:t>预算总</w:t>
                  </w:r>
                  <w:r>
                    <w:rPr>
                      <w:b/>
                      <w:sz w:val="21"/>
                    </w:rPr>
                    <w:t>限</w:t>
                  </w:r>
                  <w:r>
                    <w:rPr>
                      <w:b/>
                      <w:sz w:val="21"/>
                    </w:rPr>
                    <w:t>金额</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第一类</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七</w:t>
                  </w:r>
                  <w:r>
                    <w:rPr>
                      <w:sz w:val="21"/>
                    </w:rPr>
                    <w:t>座</w:t>
                  </w:r>
                  <w:r>
                    <w:rPr>
                      <w:sz w:val="21"/>
                    </w:rPr>
                    <w:t>或六座</w:t>
                  </w:r>
                  <w:r>
                    <w:rPr>
                      <w:sz w:val="21"/>
                    </w:rPr>
                    <w:t>自动挡小客车</w:t>
                  </w:r>
                  <w:r>
                    <w:rPr>
                      <w:sz w:val="21"/>
                    </w:rPr>
                    <w:t>（新能源、一手全新）不带司机</w:t>
                  </w:r>
                </w:p>
              </w:tc>
              <w:tc>
                <w:tcPr>
                  <w:tcW w:type="dxa" w:w="1410"/>
                  <w:vMerge w:val="restart"/>
                  <w:tcBorders>
                    <w:top w:val="none" w:color="000000" w:sz="4"/>
                    <w:left w:val="single" w:color="000000" w:sz="4"/>
                    <w:bottom w:val="single" w:color="000000" w:sz="4"/>
                    <w:right w:val="single" w:color="000000" w:sz="4"/>
                  </w:tcBorders>
                  <w:vAlign w:val="top"/>
                </w:tcPr>
                <w:p>
                  <w:pPr>
                    <w:jc w:val="center"/>
                  </w:pPr>
                  <w:r>
                    <w:rPr>
                      <w:sz w:val="21"/>
                    </w:rPr>
                    <w:t>自合同签订之日起</w:t>
                  </w:r>
                  <w:r>
                    <w:rPr>
                      <w:sz w:val="21"/>
                    </w:rPr>
                    <w:t>3年。中标供应商须在合同约定日期提供全部车辆交付使用。如无法按时提供所有车辆供采购人使用的，采购人有权解除合同。</w:t>
                  </w:r>
                </w:p>
              </w:tc>
              <w:tc>
                <w:tcPr>
                  <w:tcW w:type="dxa" w:w="1243"/>
                  <w:tcBorders>
                    <w:top w:val="none" w:color="000000" w:sz="4"/>
                    <w:left w:val="single" w:color="000000" w:sz="4"/>
                    <w:bottom w:val="single" w:color="000000" w:sz="4"/>
                    <w:right w:val="single" w:color="000000" w:sz="4"/>
                  </w:tcBorders>
                  <w:vAlign w:val="top"/>
                </w:tcPr>
                <w:p>
                  <w:pPr>
                    <w:jc w:val="center"/>
                  </w:pPr>
                  <w:r>
                    <w:rPr>
                      <w:sz w:val="21"/>
                    </w:rPr>
                    <w:t>9000元/</w:t>
                  </w:r>
                  <w:r>
                    <w:rPr>
                      <w:sz w:val="21"/>
                    </w:rPr>
                    <w:t>月</w:t>
                  </w:r>
                </w:p>
              </w:tc>
              <w:tc>
                <w:tcPr>
                  <w:tcW w:type="dxa" w:w="1140"/>
                  <w:vMerge w:val="restart"/>
                  <w:tcBorders>
                    <w:top w:val="single" w:color="000000" w:sz="4"/>
                    <w:left w:val="single" w:color="000000" w:sz="4"/>
                    <w:bottom w:val="single" w:color="000000" w:sz="4"/>
                    <w:right w:val="single" w:color="000000" w:sz="4"/>
                  </w:tcBorders>
                  <w:vAlign w:val="top"/>
                </w:tcPr>
                <w:p>
                  <w:pPr>
                    <w:jc w:val="center"/>
                  </w:pPr>
                  <w:r>
                    <w:rPr>
                      <w:sz w:val="21"/>
                    </w:rPr>
                    <w:t>人民币</w:t>
                  </w:r>
                  <w:r>
                    <w:rPr>
                      <w:sz w:val="21"/>
                    </w:rPr>
                    <w:t>900,000.00元</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第二类</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七</w:t>
                  </w:r>
                  <w:r>
                    <w:rPr>
                      <w:sz w:val="21"/>
                    </w:rPr>
                    <w:t>座</w:t>
                  </w:r>
                  <w:r>
                    <w:rPr>
                      <w:sz w:val="21"/>
                    </w:rPr>
                    <w:t>或六座</w:t>
                  </w:r>
                  <w:r>
                    <w:rPr>
                      <w:sz w:val="21"/>
                    </w:rPr>
                    <w:t>自动挡小客车</w:t>
                  </w:r>
                  <w:r>
                    <w:rPr>
                      <w:sz w:val="21"/>
                    </w:rPr>
                    <w:t>（燃油版、一手全新）不带司机</w:t>
                  </w:r>
                </w:p>
              </w:tc>
              <w:tc>
                <w:tcPr>
                  <w:tcW w:type="dxa" w:w="1410"/>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center"/>
                  </w:pPr>
                  <w:r>
                    <w:rPr>
                      <w:sz w:val="21"/>
                    </w:rPr>
                    <w:t>9000</w:t>
                  </w:r>
                  <w:r>
                    <w:rPr>
                      <w:sz w:val="21"/>
                    </w:rPr>
                    <w:t>元</w:t>
                  </w:r>
                  <w:r>
                    <w:rPr>
                      <w:sz w:val="21"/>
                    </w:rPr>
                    <w:t>/月</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第三类</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根据采购人需求提供相应车辆，如五座自动档小型轿车（燃油车或新能源车）不带司机</w:t>
                  </w:r>
                </w:p>
              </w:tc>
              <w:tc>
                <w:tcPr>
                  <w:tcW w:type="dxa" w:w="1410"/>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center"/>
                  </w:pPr>
                  <w:r>
                    <w:rPr>
                      <w:sz w:val="21"/>
                    </w:rPr>
                    <w:t>7000</w:t>
                  </w:r>
                  <w:r>
                    <w:rPr>
                      <w:sz w:val="21"/>
                    </w:rPr>
                    <w:t>元</w:t>
                  </w:r>
                  <w:r>
                    <w:rPr>
                      <w:sz w:val="21"/>
                    </w:rPr>
                    <w:t>/月</w:t>
                  </w:r>
                </w:p>
              </w:tc>
            </w:tr>
          </w:tbl>
          <w:p>
            <w:pPr>
              <w:jc w:val="both"/>
            </w:pPr>
            <w:r>
              <w:rPr>
                <w:sz w:val="21"/>
              </w:rPr>
              <w:t>备注：</w:t>
            </w:r>
            <w:r>
              <w:rPr>
                <w:sz w:val="21"/>
              </w:rPr>
              <w:t>车辆需求量未最终确定，根据采购人当期业务情况而定。</w:t>
            </w:r>
          </w:p>
          <w:p>
            <w:pPr>
              <w:jc w:val="both"/>
            </w:pPr>
            <w:r>
              <w:rPr>
                <w:b/>
                <w:sz w:val="21"/>
              </w:rPr>
              <w:t>二</w:t>
            </w:r>
            <w:r>
              <w:rPr>
                <w:b/>
                <w:sz w:val="21"/>
              </w:rPr>
              <w:t>、费用承担</w:t>
            </w:r>
          </w:p>
          <w:p>
            <w:pPr>
              <w:ind w:firstLine="422"/>
              <w:jc w:val="both"/>
            </w:pPr>
            <w:r>
              <w:rPr>
                <w:b/>
                <w:sz w:val="21"/>
              </w:rPr>
              <w:t>1.采购人承担的费用：</w:t>
            </w:r>
            <w:r>
              <w:rPr>
                <w:sz w:val="21"/>
              </w:rPr>
              <w:t>租赁车辆租用期间的租赁费、</w:t>
            </w:r>
            <w:r>
              <w:rPr>
                <w:sz w:val="21"/>
              </w:rPr>
              <w:t>燃油费、充电桩安装费、充电费（采购人无法提供安装充电桩位置时需要外部充电的，</w:t>
            </w:r>
            <w:r>
              <w:rPr>
                <w:sz w:val="21"/>
              </w:rPr>
              <w:t>由</w:t>
            </w:r>
            <w:r>
              <w:rPr>
                <w:sz w:val="21"/>
              </w:rPr>
              <w:t>中标供应商</w:t>
            </w:r>
            <w:r>
              <w:rPr>
                <w:sz w:val="21"/>
              </w:rPr>
              <w:t>承担</w:t>
            </w:r>
            <w:r>
              <w:rPr>
                <w:sz w:val="21"/>
              </w:rPr>
              <w:t>）</w:t>
            </w:r>
            <w:r>
              <w:rPr>
                <w:sz w:val="21"/>
              </w:rPr>
              <w:t>，上述费用由中标供应商根据实际发生额按月度统计报采购人审核后，由中标供应商向采购人开具票据由采购人支付给中标供应商</w:t>
            </w:r>
            <w:r>
              <w:rPr>
                <w:sz w:val="21"/>
              </w:rPr>
              <w:t>；</w:t>
            </w:r>
            <w:r>
              <w:rPr>
                <w:sz w:val="21"/>
              </w:rPr>
              <w:t>停车费、车辆清洁费</w:t>
            </w:r>
            <w:r>
              <w:rPr>
                <w:sz w:val="21"/>
              </w:rPr>
              <w:t>由采购人自行解决</w:t>
            </w:r>
            <w:r>
              <w:rPr>
                <w:sz w:val="21"/>
              </w:rPr>
              <w:t>。</w:t>
            </w:r>
          </w:p>
          <w:p>
            <w:pPr>
              <w:ind w:firstLine="420"/>
              <w:jc w:val="both"/>
            </w:pPr>
            <w:r>
              <w:rPr>
                <w:sz w:val="21"/>
              </w:rPr>
              <w:t>1.1燃油费由中标供应商以预存入加油卡（加油卡固定使用车辆号牌）形式垫付，燃油费的统计核对和票据事务由中标供应商与燃油供应单位对接，月度统计情况报采购人核对后向采购人按实结算。</w:t>
            </w:r>
          </w:p>
          <w:p>
            <w:pPr>
              <w:ind w:firstLine="420"/>
              <w:jc w:val="both"/>
            </w:pPr>
            <w:r>
              <w:rPr>
                <w:sz w:val="21"/>
              </w:rPr>
              <w:t>1.2</w:t>
            </w:r>
            <w:r>
              <w:rPr>
                <w:sz w:val="21"/>
              </w:rPr>
              <w:t>如有充电费</w:t>
            </w:r>
            <w:r>
              <w:rPr>
                <w:sz w:val="21"/>
              </w:rPr>
              <w:t>由中标供应商以预存入</w:t>
            </w:r>
            <w:r>
              <w:rPr>
                <w:sz w:val="21"/>
              </w:rPr>
              <w:t>充电</w:t>
            </w:r>
            <w:r>
              <w:rPr>
                <w:sz w:val="21"/>
              </w:rPr>
              <w:t>卡（固定使用车辆号牌）形式垫付，</w:t>
            </w:r>
            <w:r>
              <w:rPr>
                <w:sz w:val="21"/>
              </w:rPr>
              <w:t>充电费</w:t>
            </w:r>
            <w:r>
              <w:rPr>
                <w:sz w:val="21"/>
              </w:rPr>
              <w:t>的统计核对和票据事务由中标供应商与</w:t>
            </w:r>
            <w:r>
              <w:rPr>
                <w:sz w:val="21"/>
              </w:rPr>
              <w:t>供电</w:t>
            </w:r>
            <w:r>
              <w:rPr>
                <w:sz w:val="21"/>
              </w:rPr>
              <w:t>供应单位对接，月度统计情况报采购人核对后向采购人按实结算。</w:t>
            </w:r>
          </w:p>
          <w:p>
            <w:pPr>
              <w:ind w:firstLine="420"/>
              <w:jc w:val="both"/>
            </w:pPr>
            <w:r>
              <w:rPr>
                <w:sz w:val="21"/>
              </w:rPr>
              <w:t>上述燃油费、</w:t>
            </w:r>
            <w:r>
              <w:rPr>
                <w:sz w:val="21"/>
              </w:rPr>
              <w:t>充电</w:t>
            </w:r>
            <w:r>
              <w:rPr>
                <w:sz w:val="21"/>
              </w:rPr>
              <w:t>费等一并向采购人开具发票，由采购人一并支付给中标供应商。采购人将每月对中标供应商提供的票据资料等进行核实，如发现票据资料造假的，</w:t>
            </w:r>
            <w:r>
              <w:rPr>
                <w:sz w:val="21"/>
              </w:rPr>
              <w:t>将扣除当月租赁费作为违约责任。</w:t>
            </w:r>
          </w:p>
          <w:p>
            <w:pPr>
              <w:ind w:firstLine="422"/>
              <w:jc w:val="both"/>
            </w:pPr>
            <w:r>
              <w:rPr>
                <w:b/>
                <w:sz w:val="21"/>
              </w:rPr>
              <w:t>2中标供应商承担的费用：</w:t>
            </w:r>
          </w:p>
          <w:p>
            <w:pPr>
              <w:ind w:firstLine="420"/>
              <w:jc w:val="both"/>
            </w:pPr>
            <w:r>
              <w:rPr>
                <w:sz w:val="21"/>
              </w:rPr>
              <w:t>2.1包括但不限于管理费、定期保养费（车辆每行驶5000公里或者行驶半年例行保养一次，以先到为准）、车辆的年检、各种机动车的国家规定的费</w:t>
            </w:r>
            <w:r>
              <w:rPr>
                <w:sz w:val="21"/>
              </w:rPr>
              <w:t>用</w:t>
            </w:r>
            <w:r>
              <w:rPr>
                <w:sz w:val="21"/>
              </w:rPr>
              <w:t>、交强险、商业险（包括但不限于司乘人员保险不低于</w:t>
            </w:r>
            <w:r>
              <w:rPr>
                <w:sz w:val="21"/>
              </w:rPr>
              <w:t>10万元/人，第三者责任险不低于100万元。）以及各种税费、招标代理服务费、不可预见费及完成招标内容所需的一切费用。在项目实施期内，采购人不再增加任何费用。车辆租用期间车辆自然故障或零部件自然磨损或损坏（非人为责任或交通事故造成）的维修费（含更换部件）、拖车费由中标供应商承担。</w:t>
            </w:r>
          </w:p>
          <w:p>
            <w:pPr>
              <w:ind w:firstLine="420"/>
              <w:jc w:val="both"/>
            </w:pPr>
            <w:r>
              <w:rPr>
                <w:sz w:val="21"/>
              </w:rPr>
              <w:t>2.</w:t>
            </w:r>
            <w:r>
              <w:rPr>
                <w:sz w:val="21"/>
              </w:rPr>
              <w:t>2备用车辆：中标供应商能满足采购人用车需求，提供维修、抛锚、盗抢应急等替代用车服务。</w:t>
            </w:r>
          </w:p>
          <w:p>
            <w:pPr>
              <w:jc w:val="both"/>
            </w:pPr>
            <w:r>
              <w:rPr>
                <w:b/>
                <w:sz w:val="21"/>
              </w:rPr>
              <w:t>三</w:t>
            </w:r>
            <w:r>
              <w:rPr>
                <w:b/>
                <w:sz w:val="21"/>
              </w:rPr>
              <w:t>、车辆要求</w:t>
            </w:r>
          </w:p>
          <w:p>
            <w:pPr>
              <w:ind w:firstLine="420"/>
              <w:jc w:val="both"/>
            </w:pPr>
            <w:r>
              <w:rPr>
                <w:sz w:val="21"/>
              </w:rPr>
              <w:t>1</w:t>
            </w:r>
            <w:r>
              <w:rPr>
                <w:sz w:val="21"/>
              </w:rPr>
              <w:t>.车辆要求如下：</w:t>
            </w:r>
          </w:p>
          <w:tbl>
            <w:tblPr>
              <w:tblBorders>
                <w:top w:val="none" w:color="000000" w:sz="4"/>
                <w:left w:val="none" w:color="000000" w:sz="4"/>
                <w:bottom w:val="none" w:color="000000" w:sz="4"/>
                <w:right w:val="none" w:color="000000" w:sz="4"/>
                <w:insideH w:val="none"/>
                <w:insideV w:val="none"/>
              </w:tblBorders>
            </w:tblPr>
            <w:tblGrid>
              <w:gridCol w:w="568"/>
              <w:gridCol w:w="1071"/>
              <w:gridCol w:w="2936"/>
              <w:gridCol w:w="1024"/>
            </w:tblGrid>
            <w:tr>
              <w:tc>
                <w:tcPr>
                  <w:tcW w:type="dxa" w:w="1639"/>
                  <w:gridSpan w:val="2"/>
                  <w:tcBorders>
                    <w:top w:val="single" w:color="000000" w:sz="4"/>
                    <w:left w:val="single" w:color="000000" w:sz="4"/>
                    <w:bottom w:val="single" w:color="000000" w:sz="4"/>
                    <w:right w:val="single" w:color="000000" w:sz="4"/>
                  </w:tcBorders>
                  <w:vAlign w:val="top"/>
                </w:tcPr>
                <w:p>
                  <w:pPr>
                    <w:jc w:val="center"/>
                  </w:pPr>
                  <w:r>
                    <w:rPr>
                      <w:b/>
                      <w:sz w:val="21"/>
                    </w:rPr>
                    <w:t>车辆类型</w:t>
                  </w:r>
                </w:p>
              </w:tc>
              <w:tc>
                <w:tcPr>
                  <w:tcW w:type="dxa" w:w="2936"/>
                  <w:tcBorders>
                    <w:top w:val="single" w:color="000000" w:sz="4"/>
                    <w:left w:val="none" w:color="000000" w:sz="4"/>
                    <w:bottom w:val="single" w:color="000000" w:sz="4"/>
                    <w:right w:val="single" w:color="000000" w:sz="4"/>
                  </w:tcBorders>
                  <w:vAlign w:val="top"/>
                </w:tcPr>
                <w:p>
                  <w:pPr>
                    <w:jc w:val="center"/>
                  </w:pPr>
                  <w:r>
                    <w:rPr>
                      <w:b/>
                      <w:sz w:val="21"/>
                    </w:rPr>
                    <w:t>外廓尺寸及档次</w:t>
                  </w:r>
                </w:p>
              </w:tc>
              <w:tc>
                <w:tcPr>
                  <w:tcW w:type="dxa" w:w="1024"/>
                  <w:tcBorders>
                    <w:top w:val="single" w:color="000000" w:sz="4"/>
                    <w:left w:val="none" w:color="000000" w:sz="4"/>
                    <w:bottom w:val="single" w:color="000000" w:sz="4"/>
                    <w:right w:val="single" w:color="000000" w:sz="4"/>
                  </w:tcBorders>
                  <w:vAlign w:val="top"/>
                </w:tcPr>
                <w:p>
                  <w:pPr>
                    <w:jc w:val="center"/>
                  </w:pPr>
                  <w:r>
                    <w:rPr>
                      <w:b/>
                      <w:sz w:val="21"/>
                    </w:rPr>
                    <w:t>车辆注册日期</w:t>
                  </w:r>
                </w:p>
              </w:tc>
            </w:tr>
            <w:tr>
              <w:tc>
                <w:tcPr>
                  <w:tcW w:type="dxa" w:w="568"/>
                  <w:tcBorders>
                    <w:top w:val="none" w:color="000000" w:sz="4"/>
                    <w:left w:val="single" w:color="000000" w:sz="4"/>
                    <w:bottom w:val="single" w:color="000000" w:sz="4"/>
                    <w:right w:val="single" w:color="000000" w:sz="4"/>
                  </w:tcBorders>
                  <w:vAlign w:val="top"/>
                </w:tcPr>
                <w:p>
                  <w:pPr>
                    <w:jc w:val="center"/>
                  </w:pPr>
                  <w:r>
                    <w:rPr>
                      <w:sz w:val="21"/>
                    </w:rPr>
                    <w:t>第一类</w:t>
                  </w:r>
                </w:p>
              </w:tc>
              <w:tc>
                <w:tcPr>
                  <w:tcW w:type="dxa" w:w="1071"/>
                  <w:tcBorders>
                    <w:top w:val="none" w:color="000000" w:sz="4"/>
                    <w:left w:val="none" w:color="000000" w:sz="4"/>
                    <w:bottom w:val="single" w:color="000000" w:sz="4"/>
                    <w:right w:val="single" w:color="000000" w:sz="4"/>
                  </w:tcBorders>
                  <w:vAlign w:val="top"/>
                </w:tcPr>
                <w:p>
                  <w:pPr>
                    <w:jc w:val="center"/>
                  </w:pPr>
                  <w:r>
                    <w:rPr>
                      <w:sz w:val="21"/>
                    </w:rPr>
                    <w:t>6</w:t>
                  </w:r>
                  <w:r>
                    <w:rPr>
                      <w:sz w:val="21"/>
                    </w:rPr>
                    <w:t>座或</w:t>
                  </w:r>
                  <w:r>
                    <w:rPr>
                      <w:sz w:val="21"/>
                    </w:rPr>
                    <w:t>7座自动挡小客车</w:t>
                  </w:r>
                  <w:r>
                    <w:rPr>
                      <w:sz w:val="21"/>
                    </w:rPr>
                    <w:t>（新车、新能源）</w:t>
                  </w:r>
                </w:p>
              </w:tc>
              <w:tc>
                <w:tcPr>
                  <w:tcW w:type="dxa" w:w="2936"/>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满电标续航需≥520公里</w:t>
                  </w:r>
                  <w:r>
                    <w:rPr>
                      <w:sz w:val="21"/>
                    </w:rPr>
                    <w:t>。</w:t>
                  </w:r>
                </w:p>
                <w:p>
                  <w:pPr>
                    <w:jc w:val="left"/>
                  </w:pPr>
                  <w:r>
                    <w:rPr>
                      <w:sz w:val="21"/>
                    </w:rPr>
                    <w:t>2</w:t>
                  </w:r>
                  <w:r>
                    <w:rPr>
                      <w:sz w:val="21"/>
                    </w:rPr>
                    <w:t>.外廓尺寸不低于长*宽*高：4825*1825*1778（mm）。</w:t>
                  </w:r>
                </w:p>
                <w:p>
                  <w:pPr>
                    <w:jc w:val="left"/>
                  </w:pPr>
                  <w:r>
                    <w:rPr>
                      <w:sz w:val="21"/>
                    </w:rPr>
                    <w:t>3.轴距</w:t>
                  </w:r>
                  <w:r>
                    <w:rPr>
                      <w:sz w:val="21"/>
                    </w:rPr>
                    <w:t>≥</w:t>
                  </w:r>
                  <w:r>
                    <w:rPr>
                      <w:sz w:val="21"/>
                    </w:rPr>
                    <w:t>2800mm，前轮距/后轮距均</w:t>
                  </w:r>
                  <w:r>
                    <w:rPr>
                      <w:sz w:val="21"/>
                    </w:rPr>
                    <w:t>≥</w:t>
                  </w:r>
                  <w:r>
                    <w:rPr>
                      <w:sz w:val="21"/>
                    </w:rPr>
                    <w:t>1560mm，车辆需自带胎压监测系统、前后驻车雷达，后排座位支持完全放平（放平后与后备箱保持平整，需提供座位放平前、后效果照片）。</w:t>
                  </w:r>
                </w:p>
              </w:tc>
              <w:tc>
                <w:tcPr>
                  <w:tcW w:type="dxa" w:w="1024"/>
                  <w:tcBorders>
                    <w:top w:val="none" w:color="000000" w:sz="4"/>
                    <w:left w:val="none" w:color="000000" w:sz="4"/>
                    <w:bottom w:val="single" w:color="000000" w:sz="4"/>
                    <w:right w:val="single" w:color="000000" w:sz="4"/>
                  </w:tcBorders>
                  <w:vAlign w:val="top"/>
                </w:tcPr>
                <w:p>
                  <w:pPr>
                    <w:jc w:val="center"/>
                  </w:pPr>
                  <w:r>
                    <w:rPr>
                      <w:sz w:val="21"/>
                    </w:rPr>
                    <w:t>注册日期不早于</w:t>
                  </w:r>
                  <w:r>
                    <w:rPr>
                      <w:sz w:val="21"/>
                    </w:rPr>
                    <w:t>2023年4月1日；</w:t>
                  </w:r>
                </w:p>
              </w:tc>
            </w:tr>
            <w:tr>
              <w:tc>
                <w:tcPr>
                  <w:tcW w:type="dxa" w:w="568"/>
                  <w:tcBorders>
                    <w:top w:val="none" w:color="000000" w:sz="4"/>
                    <w:left w:val="single" w:color="000000" w:sz="4"/>
                    <w:bottom w:val="single" w:color="000000" w:sz="4"/>
                    <w:right w:val="single" w:color="000000" w:sz="4"/>
                  </w:tcBorders>
                  <w:vAlign w:val="top"/>
                </w:tcPr>
                <w:p>
                  <w:pPr>
                    <w:jc w:val="center"/>
                  </w:pPr>
                  <w:r>
                    <w:rPr>
                      <w:sz w:val="21"/>
                    </w:rPr>
                    <w:t>第二类</w:t>
                  </w:r>
                </w:p>
              </w:tc>
              <w:tc>
                <w:tcPr>
                  <w:tcW w:type="dxa" w:w="1071"/>
                  <w:tcBorders>
                    <w:top w:val="none" w:color="000000" w:sz="4"/>
                    <w:left w:val="none" w:color="000000" w:sz="4"/>
                    <w:bottom w:val="single" w:color="000000" w:sz="4"/>
                    <w:right w:val="single" w:color="000000" w:sz="4"/>
                  </w:tcBorders>
                  <w:vAlign w:val="top"/>
                </w:tcPr>
                <w:p>
                  <w:pPr>
                    <w:jc w:val="center"/>
                  </w:pPr>
                  <w:r>
                    <w:rPr>
                      <w:sz w:val="21"/>
                    </w:rPr>
                    <w:t>6座或7</w:t>
                  </w:r>
                  <w:r>
                    <w:rPr>
                      <w:sz w:val="21"/>
                    </w:rPr>
                    <w:t>座</w:t>
                  </w:r>
                  <w:r>
                    <w:rPr>
                      <w:sz w:val="21"/>
                    </w:rPr>
                    <w:t>自动档</w:t>
                  </w:r>
                  <w:r>
                    <w:rPr>
                      <w:sz w:val="21"/>
                    </w:rPr>
                    <w:t>小客车</w:t>
                  </w:r>
                  <w:r>
                    <w:rPr>
                      <w:sz w:val="21"/>
                    </w:rPr>
                    <w:t>（新车、汽油）</w:t>
                  </w:r>
                </w:p>
              </w:tc>
              <w:tc>
                <w:tcPr>
                  <w:tcW w:type="dxa" w:w="2936"/>
                  <w:tcBorders>
                    <w:top w:val="none" w:color="000000" w:sz="4"/>
                    <w:left w:val="none" w:color="000000" w:sz="4"/>
                    <w:bottom w:val="single" w:color="000000" w:sz="4"/>
                    <w:right w:val="single" w:color="000000" w:sz="4"/>
                  </w:tcBorders>
                  <w:vAlign w:val="top"/>
                </w:tcPr>
                <w:p>
                  <w:pPr>
                    <w:jc w:val="left"/>
                  </w:pPr>
                  <w:r>
                    <w:rPr>
                      <w:sz w:val="21"/>
                    </w:rPr>
                    <w:t>1.外廓尺寸</w:t>
                  </w:r>
                  <w:r>
                    <w:rPr>
                      <w:sz w:val="21"/>
                    </w:rPr>
                    <w:t>≥</w:t>
                  </w:r>
                  <w:r>
                    <w:rPr>
                      <w:sz w:val="21"/>
                    </w:rPr>
                    <w:t>长</w:t>
                  </w:r>
                  <w:r>
                    <w:rPr>
                      <w:sz w:val="21"/>
                    </w:rPr>
                    <w:t>*宽*高：</w:t>
                  </w:r>
                  <w:r>
                    <w:rPr>
                      <w:sz w:val="21"/>
                    </w:rPr>
                    <w:t>5016*1909*1782</w:t>
                  </w:r>
                  <w:r>
                    <w:rPr>
                      <w:sz w:val="21"/>
                    </w:rPr>
                    <w:t>（</w:t>
                  </w:r>
                  <w:r>
                    <w:rPr>
                      <w:sz w:val="21"/>
                    </w:rPr>
                    <w:t>mm）。</w:t>
                  </w:r>
                </w:p>
                <w:p>
                  <w:pPr>
                    <w:jc w:val="left"/>
                  </w:pPr>
                  <w:r>
                    <w:rPr>
                      <w:sz w:val="21"/>
                    </w:rPr>
                    <w:t>2</w:t>
                  </w:r>
                  <w:r>
                    <w:rPr>
                      <w:sz w:val="21"/>
                    </w:rPr>
                    <w:t>.轴距</w:t>
                  </w:r>
                  <w:r>
                    <w:rPr>
                      <w:sz w:val="21"/>
                    </w:rPr>
                    <w:t>≥</w:t>
                  </w:r>
                  <w:r>
                    <w:rPr>
                      <w:sz w:val="21"/>
                    </w:rPr>
                    <w:t>3000mm</w:t>
                  </w:r>
                  <w:r>
                    <w:rPr>
                      <w:sz w:val="21"/>
                    </w:rPr>
                    <w:t>，新车自带胎压监测系统、倒车影像、综合油耗</w:t>
                  </w:r>
                  <w:r>
                    <w:rPr>
                      <w:sz w:val="21"/>
                    </w:rPr>
                    <w:t>≤</w:t>
                  </w:r>
                  <w:r>
                    <w:rPr>
                      <w:sz w:val="21"/>
                    </w:rPr>
                    <w:t>8</w:t>
                  </w:r>
                  <w:r>
                    <w:rPr>
                      <w:sz w:val="21"/>
                    </w:rPr>
                    <w:t>.7</w:t>
                  </w:r>
                  <w:r>
                    <w:rPr>
                      <w:sz w:val="21"/>
                    </w:rPr>
                    <w:t>L/100km、尾气排放执行国VI。</w:t>
                  </w:r>
                </w:p>
              </w:tc>
              <w:tc>
                <w:tcPr>
                  <w:tcW w:type="dxa" w:w="1024"/>
                  <w:tcBorders>
                    <w:top w:val="none" w:color="000000" w:sz="4"/>
                    <w:left w:val="none" w:color="000000" w:sz="4"/>
                    <w:bottom w:val="single" w:color="000000" w:sz="4"/>
                    <w:right w:val="single" w:color="000000" w:sz="4"/>
                  </w:tcBorders>
                  <w:vAlign w:val="top"/>
                </w:tcPr>
                <w:p>
                  <w:pPr>
                    <w:jc w:val="center"/>
                  </w:pPr>
                  <w:r>
                    <w:rPr>
                      <w:sz w:val="21"/>
                    </w:rPr>
                    <w:t>注册日期不早于</w:t>
                  </w:r>
                  <w:r>
                    <w:rPr>
                      <w:sz w:val="21"/>
                    </w:rPr>
                    <w:t>202</w:t>
                  </w:r>
                  <w:r>
                    <w:rPr>
                      <w:sz w:val="21"/>
                    </w:rPr>
                    <w:t>3</w:t>
                  </w:r>
                  <w:r>
                    <w:rPr>
                      <w:sz w:val="21"/>
                    </w:rPr>
                    <w:t>年</w:t>
                  </w:r>
                  <w:r>
                    <w:rPr>
                      <w:sz w:val="21"/>
                    </w:rPr>
                    <w:t>4</w:t>
                  </w:r>
                  <w:r>
                    <w:rPr>
                      <w:sz w:val="21"/>
                    </w:rPr>
                    <w:t>月</w:t>
                  </w:r>
                  <w:r>
                    <w:rPr>
                      <w:sz w:val="21"/>
                    </w:rPr>
                    <w:t>1日；</w:t>
                  </w:r>
                </w:p>
              </w:tc>
            </w:tr>
            <w:tr>
              <w:tc>
                <w:tcPr>
                  <w:tcW w:type="dxa" w:w="568"/>
                  <w:tcBorders>
                    <w:top w:val="none" w:color="000000" w:sz="4"/>
                    <w:left w:val="single" w:color="000000" w:sz="4"/>
                    <w:bottom w:val="single" w:color="000000" w:sz="4"/>
                    <w:right w:val="single" w:color="000000" w:sz="4"/>
                  </w:tcBorders>
                  <w:vAlign w:val="top"/>
                </w:tcPr>
                <w:p>
                  <w:pPr>
                    <w:jc w:val="center"/>
                  </w:pPr>
                  <w:r>
                    <w:rPr>
                      <w:sz w:val="21"/>
                    </w:rPr>
                    <w:t>第三类</w:t>
                  </w:r>
                </w:p>
              </w:tc>
              <w:tc>
                <w:tcPr>
                  <w:tcW w:type="dxa" w:w="1071"/>
                  <w:tcBorders>
                    <w:top w:val="none" w:color="000000" w:sz="4"/>
                    <w:left w:val="none" w:color="000000" w:sz="4"/>
                    <w:bottom w:val="single" w:color="000000" w:sz="4"/>
                    <w:right w:val="single" w:color="000000" w:sz="4"/>
                  </w:tcBorders>
                  <w:vAlign w:val="top"/>
                </w:tcPr>
                <w:p>
                  <w:pPr>
                    <w:jc w:val="center"/>
                  </w:pPr>
                  <w:r>
                    <w:rPr>
                      <w:sz w:val="21"/>
                    </w:rPr>
                    <w:t>根据采购人需求提供相应车辆，如五座自动档小型轿车（燃油车或新能源车）不带司机</w:t>
                  </w:r>
                </w:p>
              </w:tc>
              <w:tc>
                <w:tcPr>
                  <w:tcW w:type="dxa" w:w="2936"/>
                  <w:tcBorders>
                    <w:top w:val="none" w:color="000000" w:sz="4"/>
                    <w:left w:val="none" w:color="000000" w:sz="4"/>
                    <w:bottom w:val="single" w:color="000000" w:sz="4"/>
                    <w:right w:val="single" w:color="000000" w:sz="4"/>
                  </w:tcBorders>
                  <w:vAlign w:val="top"/>
                </w:tcPr>
                <w:p>
                  <w:pPr>
                    <w:jc w:val="left"/>
                  </w:pPr>
                  <w:r>
                    <w:rPr>
                      <w:sz w:val="21"/>
                    </w:rPr>
                    <w:t>外廓尺寸长</w:t>
                  </w:r>
                  <w:r>
                    <w:rPr>
                      <w:sz w:val="21"/>
                    </w:rPr>
                    <w:t>*宽*高：</w:t>
                  </w:r>
                  <w:r>
                    <w:rPr>
                      <w:sz w:val="21"/>
                    </w:rPr>
                    <w:t>≥</w:t>
                  </w:r>
                  <w:r>
                    <w:rPr>
                      <w:sz w:val="21"/>
                    </w:rPr>
                    <w:t>4400</w:t>
                  </w:r>
                  <w:r>
                    <w:rPr>
                      <w:sz w:val="21"/>
                    </w:rPr>
                    <w:t>*</w:t>
                  </w:r>
                  <w:r>
                    <w:rPr>
                      <w:sz w:val="21"/>
                    </w:rPr>
                    <w:t>1750</w:t>
                  </w:r>
                  <w:r>
                    <w:rPr>
                      <w:sz w:val="21"/>
                    </w:rPr>
                    <w:t>*</w:t>
                  </w:r>
                  <w:r>
                    <w:rPr>
                      <w:sz w:val="21"/>
                    </w:rPr>
                    <w:t>1450（mm）。</w:t>
                  </w:r>
                </w:p>
              </w:tc>
              <w:tc>
                <w:tcPr>
                  <w:tcW w:type="dxa" w:w="1024"/>
                  <w:tcBorders>
                    <w:top w:val="none" w:color="000000" w:sz="4"/>
                    <w:left w:val="none" w:color="000000" w:sz="4"/>
                    <w:bottom w:val="single" w:color="000000" w:sz="4"/>
                    <w:right w:val="single" w:color="000000" w:sz="4"/>
                  </w:tcBorders>
                  <w:vAlign w:val="top"/>
                </w:tcPr>
                <w:p>
                  <w:pPr>
                    <w:jc w:val="center"/>
                  </w:pPr>
                  <w:r>
                    <w:rPr>
                      <w:sz w:val="21"/>
                    </w:rPr>
                    <w:t>注册日期不早于</w:t>
                  </w:r>
                  <w:r>
                    <w:rPr>
                      <w:sz w:val="21"/>
                    </w:rPr>
                    <w:t>2017年</w:t>
                  </w:r>
                  <w:r>
                    <w:rPr>
                      <w:sz w:val="21"/>
                    </w:rPr>
                    <w:t>4</w:t>
                  </w:r>
                  <w:r>
                    <w:rPr>
                      <w:sz w:val="21"/>
                    </w:rPr>
                    <w:t>月</w:t>
                  </w:r>
                  <w:r>
                    <w:rPr>
                      <w:sz w:val="21"/>
                    </w:rPr>
                    <w:t>1日</w:t>
                  </w:r>
                </w:p>
              </w:tc>
            </w:tr>
          </w:tbl>
          <w:p>
            <w:pPr>
              <w:ind w:firstLine="422"/>
              <w:jc w:val="both"/>
            </w:pPr>
            <w:r>
              <w:rPr>
                <w:b/>
                <w:sz w:val="21"/>
              </w:rPr>
              <w:t>备注：</w:t>
            </w:r>
          </w:p>
          <w:p>
            <w:pPr>
              <w:ind w:firstLine="420"/>
              <w:jc w:val="both"/>
            </w:pPr>
            <w:r>
              <w:rPr>
                <w:sz w:val="21"/>
              </w:rPr>
              <w:t>1.投标文件中提供拟服务车辆的车辆品牌型号、相关技术参数、规格配置表、机动车行驶证复印件。</w:t>
            </w:r>
          </w:p>
          <w:p>
            <w:pPr>
              <w:ind w:firstLine="420"/>
              <w:jc w:val="both"/>
            </w:pPr>
            <w:r>
              <w:rPr>
                <w:sz w:val="21"/>
              </w:rPr>
              <w:t>2</w:t>
            </w:r>
            <w:r>
              <w:rPr>
                <w:sz w:val="21"/>
              </w:rPr>
              <w:t>.</w:t>
            </w:r>
            <w:r>
              <w:rPr>
                <w:sz w:val="21"/>
              </w:rPr>
              <w:t>投标人所提供的车辆：证照齐全、年检合格，功能正常，外观无划花、裂痕、凹陷和破损等。有以下情况的车辆不能作为租车用车：</w:t>
            </w:r>
          </w:p>
          <w:p>
            <w:pPr>
              <w:ind w:firstLine="420"/>
              <w:jc w:val="both"/>
            </w:pPr>
            <w:r>
              <w:rPr>
                <w:sz w:val="21"/>
              </w:rPr>
              <w:t>（</w:t>
            </w:r>
            <w:r>
              <w:rPr>
                <w:sz w:val="21"/>
              </w:rPr>
              <w:t>1）已到报废年限、非法改装、非法营运、无牌证、假牌证、套牌、伪造证件的车辆；</w:t>
            </w:r>
          </w:p>
          <w:p>
            <w:pPr>
              <w:ind w:firstLine="420"/>
              <w:jc w:val="both"/>
            </w:pPr>
            <w:r>
              <w:rPr>
                <w:sz w:val="21"/>
              </w:rPr>
              <w:t>（</w:t>
            </w:r>
            <w:r>
              <w:rPr>
                <w:sz w:val="21"/>
              </w:rPr>
              <w:t>2）不按市场监督管理等部门的有关规定，印制单位名称、广告、装饰品的车辆；</w:t>
            </w:r>
          </w:p>
          <w:p>
            <w:pPr>
              <w:ind w:firstLine="420"/>
              <w:jc w:val="both"/>
            </w:pPr>
            <w:r>
              <w:rPr>
                <w:sz w:val="21"/>
              </w:rPr>
              <w:t>（</w:t>
            </w:r>
            <w:r>
              <w:rPr>
                <w:sz w:val="21"/>
              </w:rPr>
              <w:t>3）存在其他安全隐患的车辆。</w:t>
            </w:r>
          </w:p>
          <w:p>
            <w:pPr>
              <w:ind w:firstLine="210"/>
              <w:jc w:val="both"/>
            </w:pPr>
            <w:r>
              <w:rPr>
                <w:sz w:val="21"/>
              </w:rPr>
              <w:t>★3.因广州市交通限行（开四停四），故投标人提供的所有车辆须为以投标人名义登记注册且车辆行驶证注册在广州市。</w:t>
            </w:r>
          </w:p>
          <w:p>
            <w:pPr>
              <w:ind w:firstLine="420"/>
              <w:jc w:val="both"/>
            </w:pPr>
            <w:r>
              <w:rPr>
                <w:sz w:val="21"/>
              </w:rPr>
              <w:t>4.</w:t>
            </w:r>
            <w:r>
              <w:rPr>
                <w:sz w:val="21"/>
              </w:rPr>
              <w:t>提供的车辆需证照齐全有效（包括行驶证、车辆登记证、购置税证等），提供的资料必须保证真实、有效，否则就此产生的责任均由中标供应商承担，如涉及违规产生的所有滞纳金均由中标供应商承担。</w:t>
            </w:r>
          </w:p>
          <w:p>
            <w:pPr>
              <w:ind w:firstLine="420"/>
              <w:jc w:val="both"/>
            </w:pPr>
            <w:r>
              <w:rPr>
                <w:sz w:val="21"/>
              </w:rPr>
              <w:t>5.</w:t>
            </w:r>
            <w:r>
              <w:rPr>
                <w:sz w:val="21"/>
              </w:rPr>
              <w:t>中标供应商中标后交给采购人用车前，须保证车辆质量状况、安全性能良好，并符合公安部门及交委的相关要求。符合国家相关标准和国家规定的安全、环保等要求，尾气排放标准。为保证车辆可以正常上路行驶，中标供应商须保证座椅、空调功能正常无故障，配置合格的安全带、安全锤等安全装置、行车记录仪和防盗系统，否则出现车辆被盗情况，采购人将不承担任何责任。中标供应商须确保车辆无重大交通责任事故或犯罪记录。车辆日常保养由中标供应商负责，需按时定期保养。</w:t>
            </w:r>
          </w:p>
          <w:p>
            <w:pPr>
              <w:ind w:firstLine="420"/>
              <w:jc w:val="both"/>
            </w:pPr>
            <w:r>
              <w:rPr>
                <w:sz w:val="21"/>
              </w:rPr>
              <w:t>6.</w:t>
            </w:r>
            <w:r>
              <w:rPr>
                <w:sz w:val="21"/>
              </w:rPr>
              <w:t>本项目中标供应商只负责提供车辆，不需要提供驾驶人员。交通违章产生的费用由驾驶车辆违章人员负责支付。中标供应商应每</w:t>
            </w:r>
            <w:r>
              <w:rPr>
                <w:sz w:val="21"/>
              </w:rPr>
              <w:t>15天及时提供租赁车辆的交通违法情况表，超过30天未及时提供交通违法情况表，如导致采购人无法确定租赁车辆的交通违法责任人，采购人将不承担未及时通报的交通违法责任。当发生交通事故时，中标供应商需无条件协助采购人处理发生的交通事故和及时按规定办理索赔手续。中标供应商需为车辆购买保额不低于10万元/人的司乘险，第三者责任险保额不低于100万元的保险。</w:t>
            </w:r>
          </w:p>
          <w:p>
            <w:pPr>
              <w:ind w:firstLine="420"/>
              <w:jc w:val="both"/>
            </w:pPr>
            <w:r>
              <w:rPr>
                <w:sz w:val="21"/>
              </w:rPr>
              <w:t>★7</w:t>
            </w:r>
            <w:r>
              <w:rPr>
                <w:sz w:val="21"/>
              </w:rPr>
              <w:t>.</w:t>
            </w:r>
            <w:r>
              <w:rPr>
                <w:sz w:val="21"/>
              </w:rPr>
              <w:t>投标人须承诺本项目所提供车辆的发动机、波箱等重要部件无大修，无发生过重大交通事故。若租用后发现有上述问题，采购人有权立即解除合同且由中标供应商退回已支付的所有租金，因此产生的所有费用由中标供应商承担，投标人须在投标文件中提供承诺函，否则无效投标。（承诺函格式自拟）</w:t>
            </w:r>
          </w:p>
          <w:p>
            <w:pPr>
              <w:ind w:firstLine="420"/>
              <w:jc w:val="both"/>
            </w:pPr>
            <w:r>
              <w:rPr>
                <w:sz w:val="21"/>
              </w:rPr>
              <w:t>8.</w:t>
            </w:r>
            <w:r>
              <w:rPr>
                <w:sz w:val="21"/>
              </w:rPr>
              <w:t>如原安排车辆发生故障或需要维修、车辆抛锚、交通事故等突发情况，中标供应商需及时处置，当天不能提供服务的，需提供备用车辆使用，备用车辆须与当天所需车辆为同等车型。备用车辆到达时间不得延误约定时间</w:t>
            </w:r>
            <w:r>
              <w:rPr>
                <w:sz w:val="21"/>
              </w:rPr>
              <w:t>30分钟，否则视为中标供应商当天用车违约并承担采购人紧急处理所需合理费用，如不能提供备用车的，采购人在当月服务费上扣减相关费用。（提供备用车辆相关证明材料，如车辆行驶证复印件）。</w:t>
            </w:r>
          </w:p>
          <w:p>
            <w:pPr>
              <w:ind w:firstLine="420"/>
              <w:jc w:val="both"/>
            </w:pPr>
            <w:r>
              <w:rPr>
                <w:sz w:val="21"/>
              </w:rPr>
              <w:t>9.</w:t>
            </w:r>
            <w:r>
              <w:rPr>
                <w:sz w:val="21"/>
              </w:rPr>
              <w:t>车辆租赁期内，盗抢险发生赔付及发生交通事故车辆受损发生赔付时，采购人须配合中标供应商办理报案及出险等有关事务，采购人不需要缴纳车辆加速折旧费。</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采购包3（业务用车租赁服务采购项目-中山）</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自合同签订之日起1年或结算金额累计达到本包组1年的采购预算，以先到者为准。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1期：支付比例30%,自合同签订之日起，采购人在5个工作日内支付合同总金额30%的服务费给中标供应商作为预付款。</w:t>
            </w:r>
          </w:p>
          <w:p/>
          <w:p>
            <w:r>
              <w:rPr/>
              <w:t>2期：支付比例70%,因本项目为以实际发生的项目服务费结算，当实际发生的项目服务费累计达到预付款（合同总金额的30%）后，按月结算，结算计算公式：租车服务费＝车辆数量×单日租赁费采购限价×租赁天数×中标折扣率；双方应于每月前五个工作日内安排完成上月结算工作，中标供应商应提供结算相关费用票据、单据、凭证，服务方按结算金额开具正规增值税专用发票，采购人收到发票之日起2周内付清相关款项。</w:t>
            </w:r>
          </w:p>
        </w:tc>
      </w:tr>
      <w:tr>
        <w:tc>
          <w:tcPr>
            <w:tcW w:type="dxa" w:w="4153"/>
          </w:tcPr>
          <w:p>
            <w:r>
              <w:rPr/>
              <w:t>验收要求</w:t>
            </w:r>
          </w:p>
        </w:tc>
        <w:tc>
          <w:tcPr>
            <w:tcW w:type="dxa" w:w="4153"/>
          </w:tcPr>
          <w:p/>
          <w:p/>
          <w:p/>
          <w:p>
            <w:r>
              <w:rPr/>
              <w:t>1期：按国家有关规定以及采购文件的要求、中标供应商的投标文件与承诺及本项目合同约定标准进行验收，其他未尽事宜按照《财政部关于进一步加强政府采购需求和履约验收管理的指导意见》(财库〔2016〕205号)的要求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业务用车租赁服务采购项目-中山</w:t>
            </w:r>
          </w:p>
        </w:tc>
        <w:tc>
          <w:tcPr>
            <w:tcW w:type="dxa" w:w="831"/>
          </w:tcPr>
          <w:p>
            <w:pPr>
              <w:jc w:val="left"/>
            </w:pPr>
            <w:r>
              <w:rPr/>
              <w:t>年</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业务用车租赁服务采购项目-中山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一、采购车辆及服务配置要求</w:t>
            </w:r>
          </w:p>
          <w:tbl>
            <w:tblPr>
              <w:tblBorders>
                <w:top w:val="none" w:color="000000" w:sz="4"/>
                <w:left w:val="none" w:color="000000" w:sz="4"/>
                <w:bottom w:val="none" w:color="000000" w:sz="4"/>
                <w:right w:val="none" w:color="000000" w:sz="4"/>
                <w:insideH w:val="none"/>
                <w:insideV w:val="none"/>
              </w:tblBorders>
            </w:tblPr>
            <w:tblGrid>
              <w:gridCol w:w="840"/>
              <w:gridCol w:w="1060"/>
              <w:gridCol w:w="734"/>
              <w:gridCol w:w="2961"/>
            </w:tblGrid>
            <w:tr>
              <w:tc>
                <w:tcPr>
                  <w:tcW w:type="dxa" w:w="840"/>
                  <w:tcBorders>
                    <w:top w:val="single" w:color="000000" w:sz="4"/>
                    <w:left w:val="single" w:color="000000" w:sz="4"/>
                    <w:bottom w:val="single" w:color="000000" w:sz="4"/>
                    <w:right w:val="single" w:color="000000" w:sz="4"/>
                  </w:tcBorders>
                  <w:vAlign w:val="top"/>
                </w:tcPr>
                <w:p>
                  <w:pPr>
                    <w:jc w:val="center"/>
                  </w:pPr>
                  <w:r>
                    <w:rPr>
                      <w:sz w:val="21"/>
                    </w:rPr>
                    <w:t>车型要求</w:t>
                  </w:r>
                </w:p>
              </w:tc>
              <w:tc>
                <w:tcPr>
                  <w:tcW w:type="dxa" w:w="1060"/>
                  <w:tcBorders>
                    <w:top w:val="single" w:color="000000" w:sz="4"/>
                    <w:left w:val="single" w:color="000000" w:sz="4"/>
                    <w:bottom w:val="single" w:color="000000" w:sz="4"/>
                    <w:right w:val="single" w:color="000000" w:sz="4"/>
                  </w:tcBorders>
                  <w:vAlign w:val="top"/>
                </w:tcPr>
                <w:p>
                  <w:pPr>
                    <w:jc w:val="center"/>
                  </w:pPr>
                  <w:r>
                    <w:rPr>
                      <w:sz w:val="21"/>
                    </w:rPr>
                    <w:t>主要使用地</w:t>
                  </w:r>
                </w:p>
              </w:tc>
              <w:tc>
                <w:tcPr>
                  <w:tcW w:type="dxa" w:w="734"/>
                  <w:tcBorders>
                    <w:top w:val="single" w:color="000000" w:sz="4"/>
                    <w:left w:val="single" w:color="000000" w:sz="4"/>
                    <w:bottom w:val="single" w:color="000000" w:sz="4"/>
                    <w:right w:val="single" w:color="000000" w:sz="4"/>
                  </w:tcBorders>
                  <w:vAlign w:val="top"/>
                </w:tcPr>
                <w:p>
                  <w:pPr>
                    <w:jc w:val="center"/>
                  </w:pPr>
                  <w:r>
                    <w:rPr>
                      <w:sz w:val="21"/>
                    </w:rPr>
                    <w:t>保险要求</w:t>
                  </w:r>
                </w:p>
              </w:tc>
              <w:tc>
                <w:tcPr>
                  <w:tcW w:type="dxa" w:w="2961"/>
                  <w:tcBorders>
                    <w:top w:val="single" w:color="000000" w:sz="4"/>
                    <w:left w:val="single" w:color="000000" w:sz="4"/>
                    <w:bottom w:val="single" w:color="000000" w:sz="4"/>
                    <w:right w:val="single" w:color="000000" w:sz="4"/>
                  </w:tcBorders>
                  <w:vAlign w:val="top"/>
                </w:tcPr>
                <w:p>
                  <w:pPr>
                    <w:jc w:val="center"/>
                  </w:pPr>
                  <w:r>
                    <w:rPr>
                      <w:sz w:val="21"/>
                    </w:rPr>
                    <w:t>车辆要求</w:t>
                  </w:r>
                </w:p>
              </w:tc>
            </w:tr>
            <w:tr>
              <w:tc>
                <w:tcPr>
                  <w:tcW w:type="dxa" w:w="840"/>
                  <w:tcBorders>
                    <w:top w:val="none" w:color="000000" w:sz="4"/>
                    <w:left w:val="single" w:color="000000" w:sz="4"/>
                    <w:bottom w:val="single" w:color="000000" w:sz="4"/>
                    <w:right w:val="single" w:color="000000" w:sz="4"/>
                  </w:tcBorders>
                  <w:vAlign w:val="top"/>
                </w:tcPr>
                <w:p>
                  <w:pPr>
                    <w:jc w:val="center"/>
                  </w:pPr>
                  <w:r>
                    <w:rPr>
                      <w:sz w:val="21"/>
                    </w:rPr>
                    <w:t>7座商务车</w:t>
                  </w:r>
                </w:p>
              </w:tc>
              <w:tc>
                <w:tcPr>
                  <w:tcW w:type="dxa" w:w="1060"/>
                  <w:tcBorders>
                    <w:top w:val="none" w:color="000000" w:sz="4"/>
                    <w:left w:val="single" w:color="000000" w:sz="4"/>
                    <w:bottom w:val="single" w:color="000000" w:sz="4"/>
                    <w:right w:val="single" w:color="000000" w:sz="4"/>
                  </w:tcBorders>
                  <w:vAlign w:val="top"/>
                </w:tcPr>
                <w:p>
                  <w:pPr>
                    <w:jc w:val="center"/>
                  </w:pPr>
                  <w:r>
                    <w:rPr>
                      <w:sz w:val="21"/>
                    </w:rPr>
                    <w:t>采购人指定地点</w:t>
                  </w:r>
                </w:p>
              </w:tc>
              <w:tc>
                <w:tcPr>
                  <w:tcW w:type="dxa" w:w="734"/>
                  <w:tcBorders>
                    <w:top w:val="none" w:color="000000" w:sz="4"/>
                    <w:left w:val="single" w:color="000000" w:sz="4"/>
                    <w:bottom w:val="single" w:color="000000" w:sz="4"/>
                    <w:right w:val="single" w:color="000000" w:sz="4"/>
                  </w:tcBorders>
                  <w:vAlign w:val="top"/>
                </w:tcPr>
                <w:p>
                  <w:pPr>
                    <w:jc w:val="center"/>
                  </w:pPr>
                  <w:r>
                    <w:rPr>
                      <w:sz w:val="21"/>
                    </w:rPr>
                    <w:t>全保</w:t>
                  </w:r>
                </w:p>
              </w:tc>
              <w:tc>
                <w:tcPr>
                  <w:tcW w:type="dxa" w:w="2961"/>
                  <w:tcBorders>
                    <w:top w:val="none" w:color="000000" w:sz="4"/>
                    <w:left w:val="single" w:color="000000" w:sz="4"/>
                    <w:bottom w:val="single" w:color="000000" w:sz="4"/>
                    <w:right w:val="single" w:color="000000" w:sz="4"/>
                  </w:tcBorders>
                  <w:vAlign w:val="top"/>
                </w:tcPr>
                <w:p>
                  <w:pPr>
                    <w:jc w:val="left"/>
                  </w:pPr>
                  <w:r>
                    <w:rPr>
                      <w:sz w:val="21"/>
                    </w:rPr>
                    <w:t>1.车辆没有重大维修记录和事故记录。</w:t>
                  </w:r>
                </w:p>
                <w:p>
                  <w:pPr>
                    <w:jc w:val="left"/>
                  </w:pPr>
                  <w:r>
                    <w:rPr>
                      <w:sz w:val="21"/>
                    </w:rPr>
                    <w:t>2.提供的租赁车辆必须具有倒车影像功能、导航功能。</w:t>
                  </w:r>
                </w:p>
                <w:p>
                  <w:pPr>
                    <w:jc w:val="left"/>
                  </w:pPr>
                  <w:r>
                    <w:rPr>
                      <w:sz w:val="21"/>
                    </w:rPr>
                    <w:t>3.配备专职驾驶员。</w:t>
                  </w:r>
                </w:p>
              </w:tc>
            </w:tr>
          </w:tbl>
          <w:p>
            <w:pPr>
              <w:jc w:val="both"/>
            </w:pPr>
            <w:r>
              <w:rPr>
                <w:b/>
                <w:sz w:val="21"/>
              </w:rPr>
              <w:t>二、单日租赁费采购限价说明</w:t>
            </w:r>
          </w:p>
          <w:p>
            <w:pPr>
              <w:ind w:firstLine="420"/>
              <w:jc w:val="both"/>
            </w:pPr>
            <w:r>
              <w:rPr>
                <w:sz w:val="21"/>
              </w:rPr>
              <w:t>1</w:t>
            </w:r>
            <w:r>
              <w:rPr>
                <w:sz w:val="21"/>
              </w:rPr>
              <w:t>.</w:t>
            </w:r>
            <w:r>
              <w:rPr>
                <w:sz w:val="21"/>
              </w:rPr>
              <w:t>单日租赁费采购限价：</w:t>
            </w:r>
            <w:r>
              <w:rPr>
                <w:sz w:val="21"/>
              </w:rPr>
              <w:t>600元/辆/天（费用里包含200公里）。</w:t>
            </w:r>
          </w:p>
          <w:p>
            <w:pPr>
              <w:ind w:firstLine="420"/>
              <w:jc w:val="both"/>
            </w:pPr>
            <w:r>
              <w:rPr>
                <w:sz w:val="21"/>
              </w:rPr>
              <w:t>2.</w:t>
            </w:r>
            <w:r>
              <w:rPr>
                <w:sz w:val="21"/>
              </w:rPr>
              <w:t>车辆使用过程中产生的燃油费，超过</w:t>
            </w:r>
            <w:r>
              <w:rPr>
                <w:sz w:val="21"/>
              </w:rPr>
              <w:t>200公里的，超出部分燃油费用由采购人承担，按0.9元/公里结算。</w:t>
            </w:r>
          </w:p>
          <w:p>
            <w:pPr>
              <w:ind w:firstLine="420"/>
              <w:jc w:val="both"/>
            </w:pPr>
            <w:r>
              <w:rPr>
                <w:sz w:val="21"/>
              </w:rPr>
              <w:t>3.车辆使用过程中产生的路桥费、停车费以及驾驶员误餐费、住宿费由采购人承担。其他费用如驾驶员差旅补贴等费用由中标供应商承担。</w:t>
            </w:r>
          </w:p>
          <w:p>
            <w:pPr>
              <w:jc w:val="both"/>
            </w:pPr>
            <w:r>
              <w:rPr>
                <w:b/>
                <w:sz w:val="21"/>
              </w:rPr>
              <w:t>三、服务要求</w:t>
            </w:r>
          </w:p>
          <w:p>
            <w:pPr>
              <w:ind w:firstLine="420"/>
              <w:jc w:val="both"/>
            </w:pPr>
            <w:r>
              <w:rPr>
                <w:sz w:val="21"/>
              </w:rPr>
              <w:t>1.租赁车辆免收押金；</w:t>
            </w:r>
          </w:p>
          <w:p>
            <w:pPr>
              <w:ind w:firstLine="420"/>
              <w:jc w:val="both"/>
            </w:pPr>
            <w:r>
              <w:rPr>
                <w:sz w:val="21"/>
              </w:rPr>
              <w:t>2.根据采购人用车需求安排用车，每月租车费用按照实际使用天数结算；</w:t>
            </w:r>
          </w:p>
          <w:p>
            <w:pPr>
              <w:ind w:firstLine="420"/>
              <w:jc w:val="both"/>
            </w:pPr>
            <w:r>
              <w:rPr>
                <w:sz w:val="21"/>
              </w:rPr>
              <w:t>3.车辆使用过程中无偿提供紧急救援服务；</w:t>
            </w:r>
          </w:p>
          <w:p>
            <w:pPr>
              <w:ind w:firstLine="420"/>
              <w:jc w:val="both"/>
            </w:pPr>
            <w:r>
              <w:rPr>
                <w:sz w:val="21"/>
              </w:rPr>
              <w:t>4</w:t>
            </w:r>
            <w:r>
              <w:rPr>
                <w:sz w:val="21"/>
              </w:rPr>
              <w:t>.投标人按照采购人规定的时间、规定的地点出车，作业时间、作业地点听从采购人安排（投标时提供承诺函，格式自拟）</w:t>
            </w:r>
          </w:p>
          <w:p>
            <w:pPr>
              <w:ind w:firstLine="420"/>
              <w:jc w:val="both"/>
            </w:pPr>
            <w:r>
              <w:rPr>
                <w:sz w:val="21"/>
              </w:rPr>
              <w:t>★</w:t>
            </w:r>
            <w:r>
              <w:rPr>
                <w:sz w:val="21"/>
              </w:rPr>
              <w:t>5</w:t>
            </w:r>
            <w:r>
              <w:rPr>
                <w:sz w:val="21"/>
              </w:rPr>
              <w:t>.投标人承诺能同时提供不少于20辆7座商务车，所提供车辆应符合国家车辆行驶安全标准，符合国家相关安全、环保及其他法律法规规定，同时提供不少于20名自有驾驶员。（投标时提供承诺函，格式自拟）</w:t>
            </w:r>
          </w:p>
          <w:p>
            <w:pPr>
              <w:ind w:firstLine="420"/>
              <w:jc w:val="both"/>
            </w:pPr>
            <w:r>
              <w:rPr>
                <w:sz w:val="21"/>
              </w:rPr>
              <w:t>★</w:t>
            </w:r>
            <w:r>
              <w:rPr>
                <w:sz w:val="21"/>
              </w:rPr>
              <w:t>6</w:t>
            </w:r>
            <w:r>
              <w:rPr>
                <w:sz w:val="21"/>
              </w:rPr>
              <w:t>.中标人接到采购人的用车单，应在2小时内回复车牌、驾驶员信息。（投标时提供承诺函，格式自拟）</w:t>
            </w:r>
          </w:p>
          <w:p>
            <w:pPr>
              <w:ind w:firstLine="420"/>
              <w:jc w:val="both"/>
            </w:pPr>
            <w:r>
              <w:rPr>
                <w:sz w:val="21"/>
              </w:rPr>
              <w:t>★</w:t>
            </w:r>
            <w:r>
              <w:rPr>
                <w:sz w:val="21"/>
              </w:rPr>
              <w:t>7</w:t>
            </w:r>
            <w:r>
              <w:rPr>
                <w:sz w:val="21"/>
              </w:rPr>
              <w:t>.中标人对所获得的采购人信息负有保密义务。（投标时提供承诺函，格式自拟）</w:t>
            </w:r>
          </w:p>
          <w:p>
            <w:pPr>
              <w:ind w:firstLine="420"/>
              <w:jc w:val="both"/>
            </w:pPr>
            <w:r>
              <w:rPr>
                <w:sz w:val="21"/>
              </w:rPr>
              <w:t>★</w:t>
            </w:r>
            <w:r>
              <w:rPr>
                <w:sz w:val="21"/>
              </w:rPr>
              <w:t>8</w:t>
            </w:r>
            <w:r>
              <w:rPr>
                <w:sz w:val="21"/>
              </w:rPr>
              <w:t>.在租赁期间发生交通事故或发生机械故障时，中标人在1小时内安排车辆转接，如不能及时安排转接车辆到达现场时，采购人有权转乘其他交通工具保证工作顺利开展，所产生的费用由中标人负责.（投标时提供承诺函，格式自拟）</w:t>
            </w:r>
          </w:p>
          <w:p>
            <w:pPr>
              <w:ind w:firstLine="420"/>
              <w:jc w:val="both"/>
            </w:pPr>
            <w:r>
              <w:rPr>
                <w:sz w:val="21"/>
              </w:rPr>
              <w:t>9</w:t>
            </w:r>
            <w:r>
              <w:rPr>
                <w:sz w:val="21"/>
              </w:rPr>
              <w:t>.交还车地点和方式：需要中标人送到采购人用户指定地点统一交车，起租时间是从车辆到达交车地点后开始算起，退租时间则从车辆还车之日起第二日算起。还车需由中标人到采购人用户指定地点统一取车。</w:t>
            </w:r>
          </w:p>
          <w:p>
            <w:pPr>
              <w:ind w:firstLine="420"/>
              <w:jc w:val="both"/>
            </w:pPr>
            <w:r>
              <w:rPr>
                <w:sz w:val="21"/>
              </w:rPr>
              <w:t>1</w:t>
            </w:r>
            <w:r>
              <w:rPr>
                <w:sz w:val="21"/>
              </w:rPr>
              <w:t>0</w:t>
            </w:r>
            <w:r>
              <w:rPr>
                <w:sz w:val="21"/>
              </w:rPr>
              <w:t>.</w:t>
            </w:r>
            <w:r>
              <w:rPr>
                <w:sz w:val="21"/>
              </w:rPr>
              <w:t>中标人如没有依时完成合同规定任务或服务质量达不到要求，如经采购人累计三次提出书面批评整改要求意见后，中标人仍无改进或改进不力的，采购人有权单方面终止合同</w:t>
            </w:r>
            <w:r>
              <w:rPr>
                <w:sz w:val="21"/>
              </w:rPr>
              <w:t>。</w:t>
            </w:r>
          </w:p>
          <w:p>
            <w:pPr>
              <w:jc w:val="both"/>
            </w:pPr>
            <w:r>
              <w:rPr>
                <w:b/>
                <w:sz w:val="21"/>
              </w:rPr>
              <w:t>四、其他要求</w:t>
            </w:r>
          </w:p>
          <w:p>
            <w:pPr>
              <w:ind w:firstLine="420"/>
              <w:jc w:val="both"/>
            </w:pPr>
            <w:r>
              <w:rPr>
                <w:sz w:val="21"/>
              </w:rPr>
              <w:t>车辆租赁数量以合同为准，租赁费用以最终招标成功后按项目周期内实际合同租车数量以及使用时长</w:t>
            </w:r>
            <w:r>
              <w:rPr>
                <w:sz w:val="21"/>
              </w:rPr>
              <w:t>（天数）</w:t>
            </w:r>
            <w:r>
              <w:rPr>
                <w:sz w:val="21"/>
              </w:rPr>
              <w:t>计算发生的费用结算，累计租赁结算费用不超过本项目采购预算</w:t>
            </w:r>
            <w:r>
              <w:rPr>
                <w:sz w:val="21"/>
              </w:rPr>
              <w:t>。</w:t>
            </w:r>
          </w:p>
          <w:p>
            <w:pPr>
              <w:ind w:firstLine="420"/>
              <w:jc w:val="both"/>
            </w:pPr>
            <w:r>
              <w:rPr>
                <w:sz w:val="21"/>
              </w:rPr>
              <w:t>1.</w:t>
            </w:r>
            <w:r>
              <w:rPr>
                <w:sz w:val="21"/>
              </w:rPr>
              <w:t>中标供应商拟投入本项目的驾驶员，需具备丰富的驾驶经验，</w:t>
            </w:r>
            <w:r>
              <w:rPr>
                <w:sz w:val="21"/>
              </w:rPr>
              <w:t>5年以内无重大交通事故记录、5年以上驾龄、年龄为25～55周岁、熟悉交通道路。</w:t>
            </w:r>
          </w:p>
          <w:p>
            <w:pPr>
              <w:ind w:firstLine="420"/>
              <w:jc w:val="both"/>
            </w:pPr>
            <w:r>
              <w:rPr>
                <w:sz w:val="21"/>
              </w:rPr>
              <w:t>2</w:t>
            </w:r>
            <w:r>
              <w:rPr>
                <w:sz w:val="21"/>
              </w:rPr>
              <w:t>.</w:t>
            </w:r>
            <w:r>
              <w:rPr>
                <w:sz w:val="21"/>
              </w:rPr>
              <w:t>车况方面要求</w:t>
            </w:r>
          </w:p>
          <w:p>
            <w:pPr>
              <w:ind w:firstLine="420"/>
              <w:jc w:val="both"/>
            </w:pPr>
            <w:r>
              <w:rPr>
                <w:sz w:val="21"/>
              </w:rPr>
              <w:t>2</w:t>
            </w:r>
            <w:r>
              <w:rPr>
                <w:sz w:val="21"/>
              </w:rPr>
              <w:t>.1投标人的车辆必须配置合格的安全带。</w:t>
            </w:r>
          </w:p>
          <w:p>
            <w:pPr>
              <w:ind w:firstLine="420"/>
              <w:jc w:val="both"/>
            </w:pPr>
            <w:r>
              <w:rPr>
                <w:sz w:val="21"/>
              </w:rPr>
              <w:t>2</w:t>
            </w:r>
            <w:r>
              <w:rPr>
                <w:sz w:val="21"/>
              </w:rPr>
              <w:t>.2投标人的车辆车况良好，安全性能较高，并符合公安部门及交委的相关要求。</w:t>
            </w:r>
          </w:p>
          <w:p>
            <w:pPr>
              <w:ind w:firstLine="420"/>
              <w:jc w:val="both"/>
            </w:pPr>
            <w:r>
              <w:rPr>
                <w:sz w:val="21"/>
              </w:rPr>
              <w:t>2</w:t>
            </w:r>
            <w:r>
              <w:rPr>
                <w:sz w:val="21"/>
              </w:rPr>
              <w:t>.3投标人的车辆车容要求“三洁”--车头清洁、车身光洁、车厢和座位干净整洁无异味。</w:t>
            </w:r>
          </w:p>
          <w:p>
            <w:pPr>
              <w:ind w:firstLine="420"/>
              <w:jc w:val="both"/>
            </w:pPr>
            <w:r>
              <w:rPr>
                <w:sz w:val="21"/>
              </w:rPr>
              <w:t>3.</w:t>
            </w:r>
            <w:r>
              <w:rPr>
                <w:sz w:val="21"/>
              </w:rPr>
              <w:t>保险方面</w:t>
            </w:r>
          </w:p>
          <w:p>
            <w:pPr>
              <w:ind w:firstLine="420"/>
              <w:jc w:val="both"/>
            </w:pPr>
            <w:r>
              <w:rPr>
                <w:sz w:val="21"/>
              </w:rPr>
              <w:t>3</w:t>
            </w:r>
            <w:r>
              <w:rPr>
                <w:sz w:val="21"/>
              </w:rPr>
              <w:t>.1车辆都必须投保机动车交通事故责任强制保险。</w:t>
            </w:r>
          </w:p>
          <w:p>
            <w:pPr>
              <w:ind w:firstLine="420"/>
              <w:jc w:val="both"/>
            </w:pPr>
            <w:r>
              <w:rPr>
                <w:sz w:val="21"/>
              </w:rPr>
              <w:t>3</w:t>
            </w:r>
            <w:r>
              <w:rPr>
                <w:sz w:val="21"/>
              </w:rPr>
              <w:t>.2投标人拟投入本项目的所有车辆都必须投保第三者责任保险，且第三者责任险不得低于人民币</w:t>
            </w:r>
            <w:r>
              <w:rPr>
                <w:sz w:val="21"/>
              </w:rPr>
              <w:t>100</w:t>
            </w:r>
            <w:r>
              <w:rPr>
                <w:sz w:val="21"/>
              </w:rPr>
              <w:t>万元（含人民币</w:t>
            </w:r>
            <w:r>
              <w:rPr>
                <w:sz w:val="21"/>
              </w:rPr>
              <w:t>100</w:t>
            </w:r>
            <w:r>
              <w:rPr>
                <w:sz w:val="21"/>
              </w:rPr>
              <w:t>万元）。</w:t>
            </w:r>
          </w:p>
          <w:p>
            <w:pPr>
              <w:ind w:firstLine="420"/>
              <w:jc w:val="both"/>
            </w:pPr>
            <w:r>
              <w:rPr>
                <w:sz w:val="21"/>
              </w:rPr>
              <w:t>4</w:t>
            </w:r>
            <w:r>
              <w:rPr>
                <w:sz w:val="21"/>
              </w:rPr>
              <w:t>.</w:t>
            </w:r>
            <w:r>
              <w:rPr>
                <w:sz w:val="21"/>
              </w:rPr>
              <w:t>如因中标供应商的疏忽造成行车途中发生交通事故（责任鉴定以交管部门或其指定的第三方机构的意见为准），造成人员伤亡、采购人专业设备及物品的缺损或车辆损坏，由中标供应商承担所有责任并负责赔偿采购人的损失。</w:t>
            </w:r>
          </w:p>
          <w:p>
            <w:pPr>
              <w:ind w:firstLine="420"/>
              <w:jc w:val="both"/>
            </w:pPr>
            <w:r>
              <w:rPr>
                <w:sz w:val="21"/>
              </w:rPr>
              <w:t>5.承运要求</w:t>
            </w:r>
          </w:p>
          <w:p>
            <w:pPr>
              <w:ind w:firstLine="420"/>
              <w:jc w:val="both"/>
            </w:pPr>
            <w:r>
              <w:rPr>
                <w:sz w:val="21"/>
              </w:rPr>
              <w:t>5.1 中标供应商承租的车辆必须严格按照采购人规定的时间、线路将采购人的工作人员安全、准时、舒适地送到目的地。</w:t>
            </w:r>
          </w:p>
          <w:p>
            <w:pPr>
              <w:ind w:firstLine="420"/>
              <w:jc w:val="both"/>
            </w:pPr>
            <w:r>
              <w:rPr>
                <w:sz w:val="21"/>
              </w:rPr>
              <w:t>5.2 中标供应商承租的车辆必须满足采购人的合理用车要求，严格执行采购人制定的行车和管理制度，采购人有权终止合同且不承担任何违约责任，中标供应商须同时退还违规收取的租赁费，并支付本年度以来所收取租赁费总额的20%作为赔偿。</w:t>
            </w:r>
          </w:p>
          <w:p>
            <w:pPr>
              <w:ind w:firstLine="420"/>
              <w:jc w:val="both"/>
            </w:pPr>
            <w:r>
              <w:rPr>
                <w:sz w:val="21"/>
              </w:rPr>
              <w:t>5.3 中标供应商应做到专人、专车。中标供应商的车辆在租赁期间如因维修或保养，必须调派同等条件、车况的车辆，并至少提前1个工作日知会采购人，经确认同意后方可正常工作。</w:t>
            </w:r>
          </w:p>
          <w:p>
            <w:pPr>
              <w:ind w:firstLine="420"/>
              <w:jc w:val="both"/>
            </w:pPr>
            <w:r>
              <w:rPr>
                <w:sz w:val="21"/>
              </w:rPr>
              <w:t>5.4 合同执行期间：</w:t>
            </w:r>
          </w:p>
          <w:p>
            <w:pPr>
              <w:ind w:firstLine="420"/>
              <w:jc w:val="both"/>
            </w:pPr>
            <w:r>
              <w:rPr>
                <w:sz w:val="21"/>
              </w:rPr>
              <w:t>5.4.1中标供应商的驾驶员在行车载客时必须遵守交通法规，不得超载、疲劳驾驶等等，确保乘客和车上物品的安全。</w:t>
            </w:r>
          </w:p>
          <w:p>
            <w:pPr>
              <w:ind w:firstLine="420"/>
              <w:jc w:val="both"/>
            </w:pPr>
            <w:r>
              <w:rPr>
                <w:sz w:val="21"/>
              </w:rPr>
              <w:t>5.4.2采购人及中标供应商均应积极配合事故调查及相关手续的办理。</w:t>
            </w:r>
          </w:p>
          <w:p>
            <w:pPr>
              <w:ind w:firstLine="420"/>
              <w:jc w:val="both"/>
            </w:pPr>
            <w:r>
              <w:rPr>
                <w:sz w:val="21"/>
              </w:rPr>
              <w:t>5.5中标供应商提供的车辆必须符合国家规定安全、环保等要求，车辆在使用期间如确需维修、保养或年审、季审、接受定期检审及其它经采购人认可的合理因素而造成需要暂停运行时，中标供应商必须调派同等条件的车辆供采购人使用。</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广东省科学院测试分析研究所（中国广州分析测试中心）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p/>
          <w:p>
            <w:r>
              <w:rPr/>
              <w:t>采购包3：折扣率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兼投不兼中：本项目可兼投但不可兼中。本项目评审按照采购包顺序（采购包1 →采购包2→采购包3）依次进行评审。投标人可兼投多个采购包但只能成为一个采购包的中标供应商。如投标人已经成为前面采购包的第一中标候选人，其投标文件不参与后续采购包的详细评审。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的采购预算金额为计算基数参照国家计委颁布的（计价格【2002】1980号）及国家发改委颁布的（发改办价格【2003】857号）收取。招标代理服务费由中标供应商在领取《中标通知书》前一次性向采购代理机构交纳以下金额： 采购包1：￥27,000.00元（大写：人民币贰万柒仟元整）； 采购包2：￥8,000.00元（大写：人民币捌仟元整）； 采购包3：￥13,500.00元（大写：人民币壹万叁仟伍佰元整）。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p>
            <w:pPr>
              <w:jc w:val="left"/>
            </w:pPr>
            <w:r>
              <w:rPr/>
              <w:t>采购包2：面向小微企业，采购包专门预留</w:t>
            </w:r>
          </w:p>
          <w:p>
            <w:pPr>
              <w:jc w:val="left"/>
            </w:pPr>
            <w:r>
              <w:rPr/>
              <w:t>采购包3：面向小微企业，采购包专门预留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张智钊、梁诗琦</w:t>
      </w:r>
    </w:p>
    <w:p>
      <w:pPr>
        <w:ind w:firstLine="480"/>
      </w:pPr>
      <w:r>
        <w:rPr/>
        <w:t>电话：</w:t>
      </w:r>
      <w:r>
        <w:rPr/>
        <w:t>020-37656571、020-87687056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业务用车租赁服务采购项目-本部)：综合评分法,是指投标文件满足招标文件全部实质性要求，且按照评审因素的量化指标评审得分最高的投标人为中标候选人的评标方法。（最低报价不是中标的唯一依据。）</w:t>
      </w:r>
    </w:p>
    <w:p/>
    <w:p>
      <w:r>
        <w:rPr/>
        <w:t>采购包2(业务用车租赁服务采购项目-南沙)：综合评分法,是指投标文件满足招标文件全部实质性要求，且按照评审因素的量化指标评审得分最高的投标人为中标候选人的评标方法。（最低报价不是中标的唯一依据。）</w:t>
      </w:r>
    </w:p>
    <w:p/>
    <w:p>
      <w:r>
        <w:rPr/>
        <w:t>采购包3(业务用车租赁服务采购项目-中山)：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采购包1（业务用车租赁服务采购项目-本部）：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采购包2（业务用车租赁服务采购项目-南沙）：</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采购包3（业务用车租赁服务采购项目-中山）：</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采购包1（业务用车租赁服务采购项目-本部）：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采购包整体专门面向小微企业，服务的承接商须为小微企业或监狱企业或残疾人福利性单位。</w:t>
            </w:r>
          </w:p>
        </w:tc>
      </w:tr>
    </w:tbl>
    <w:p/>
    <w:p>
      <w:r>
        <w:rPr/>
        <w:t>采购包2（业务用车租赁服务采购项目-南沙）：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采购包整体专门面向小微企业，服务的承接商须为小微企业或监狱企业或残疾人福利性单位。</w:t>
            </w:r>
          </w:p>
        </w:tc>
      </w:tr>
    </w:tbl>
    <w:p/>
    <w:p>
      <w:r>
        <w:rPr/>
        <w:t>采购包3（业务用车租赁服务采购项目-中山）：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提供书面承诺声明函（格式自拟）或具有履行合同所必须的设备和专业技术能力的其他证明材料投标。</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采购包整体专门面向小微企业，服务的承接商须为小微企业或监狱企业或残疾人福利性单位。</w:t>
            </w:r>
          </w:p>
        </w:tc>
      </w:tr>
    </w:tbl>
    <w:p/>
    <w:p>
      <w:pPr>
        <w:ind w:firstLine="480"/>
      </w:pPr>
      <w:r>
        <w:rPr/>
        <w:t>表二符合性审查表：</w:t>
      </w:r>
    </w:p>
    <w:p>
      <w:pPr>
        <w:ind w:firstLine="480"/>
      </w:pPr>
    </w:p>
    <w:p/>
    <w:p>
      <w:r>
        <w:rPr/>
        <w:t>采购包1（业务用车租赁服务采购项目-本部）：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采购包2（业务用车租赁服务采购项目-南沙）：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采购包3（业务用车租赁服务采购项目-中山）：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采购包1(业务用车租赁服务采购项目-本部):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根据投标人对招标文件所投采购包“技术标准与要求”中一般技术条款（非“▲”、非“★”指标）的响应程度进行综合评审： （1）完全响应或有正偏离的，得5分； （2）有1-3项未响应或负偏离的，得3分； （3）有4-6项未响应或负偏离的，得1分； （4）有7项或以上未响应或负偏离的，得0分。 注：若一般技术条款已经单独作为评审因素进行评分的不再重复进行响应程度评审。</w:t>
            </w:r>
          </w:p>
        </w:tc>
      </w:tr>
      <w:tr>
        <w:tc>
          <w:tcPr>
            <w:tcW w:type="dxa" w:w="922"/>
            <w:gridSpan w:val="2"/>
            <w:vMerge/>
          </w:tcPr>
          <w:p/>
        </w:tc>
        <w:tc>
          <w:tcPr>
            <w:tcW w:type="dxa" w:w="2307"/>
          </w:tcPr>
          <w:p>
            <w:pPr>
              <w:jc w:val="left"/>
            </w:pPr>
            <w:r>
              <w:rPr/>
              <w:t>车辆配备 (10.0分)</w:t>
            </w:r>
          </w:p>
        </w:tc>
        <w:tc>
          <w:tcPr>
            <w:tcW w:type="dxa" w:w="5076"/>
          </w:tcPr>
          <w:p>
            <w:pPr>
              <w:jc w:val="left"/>
            </w:pPr>
            <w:r>
              <w:rPr/>
              <w:t>（一）投标人拟投入本项目使用的（租赁或自有）车辆（5座小轿车、7座商务车、20座中巴、冷链车的数量之和，冷链车不限车牌）进行评审： （1）①投入车辆之和≥20辆且其中冷链车≥3辆；②投标人粤A车牌车辆≥6辆且冷链车≥3车辆。投标人满足以上其中一项的，得10分；  （2）①投入车辆之和15辆至19辆且其中冷链车≥2辆；②投标人粤A车牌车辆4辆至5辆且冷链车≥2车辆。投标人满足以上其中一项的，得5分； （3）①投入车辆之和10辆至14辆的；②投标人粤A车牌车辆2辆至3辆。投标人满足以上其中一项的，得1分； （4）9辆以下的及其他情况，不得分； 本项不可累计得分，最高得10分。 注： 1.提供车辆的①自有车辆的，提供机动车行驶证复印件，且行驶证上车辆所有人与投标人名称一致；②租赁车辆的，提供机动车行驶证复印件和租赁合同复印件（租赁合同的有效期需覆盖本项目合同履行期限，如果租赁合同的有效期未完全覆盖到本项目合同履行期限，需同时提供承诺函承诺在租赁合同到期后能为本项目提供不低于对应数量同等或更优质的车辆） 3.资料不齐或不符合要求不得分。</w:t>
            </w:r>
          </w:p>
        </w:tc>
      </w:tr>
      <w:tr>
        <w:tc>
          <w:tcPr>
            <w:tcW w:type="dxa" w:w="922"/>
            <w:gridSpan w:val="2"/>
            <w:vMerge/>
          </w:tcPr>
          <w:p/>
        </w:tc>
        <w:tc>
          <w:tcPr>
            <w:tcW w:type="dxa" w:w="2307"/>
          </w:tcPr>
          <w:p>
            <w:pPr>
              <w:jc w:val="left"/>
            </w:pPr>
            <w:r>
              <w:rPr/>
              <w:t>投标人维修点情况 (6.0分)</w:t>
            </w:r>
          </w:p>
        </w:tc>
        <w:tc>
          <w:tcPr>
            <w:tcW w:type="dxa" w:w="5076"/>
          </w:tcPr>
          <w:p>
            <w:pPr>
              <w:jc w:val="left"/>
            </w:pPr>
            <w:r>
              <w:rPr/>
              <w:t>投标人有固定的维修地点，并且能提供维修点图片和营业执照（或合作协议或产权证明）每提供一个城市定点复印件的得3分最高6分；无或其他不得分。</w:t>
            </w:r>
          </w:p>
        </w:tc>
      </w:tr>
      <w:tr>
        <w:tc>
          <w:tcPr>
            <w:tcW w:type="dxa" w:w="922"/>
            <w:gridSpan w:val="2"/>
            <w:vMerge/>
          </w:tcPr>
          <w:p/>
        </w:tc>
        <w:tc>
          <w:tcPr>
            <w:tcW w:type="dxa" w:w="2307"/>
          </w:tcPr>
          <w:p>
            <w:pPr>
              <w:jc w:val="left"/>
            </w:pPr>
            <w:r>
              <w:rPr/>
              <w:t>第三者责任险 (8.0分)</w:t>
            </w:r>
          </w:p>
        </w:tc>
        <w:tc>
          <w:tcPr>
            <w:tcW w:type="dxa" w:w="5076"/>
          </w:tcPr>
          <w:p>
            <w:pPr>
              <w:jc w:val="left"/>
            </w:pPr>
            <w:r>
              <w:rPr/>
              <w:t>1.投标人所提供车辆购买的第三者责任险≥300万的，得8分； 2.投标人所提供车辆购买的第三者责任险≥200万但＜300万元的，得5分； 3. 投标人所提供车辆购买的第三者责任险≥100万但＜200万元的，得2分； 备注：①需提供有效期内第三者责任险投保单复印件、发票复印件并加盖单位公章；②保险有效期应覆盖本项目合同履约期限，如不能覆盖的，投标人还应提交承诺函（格式自拟），承诺保险到期后将继续购买第三者责任险，可有效覆盖合同期且保额不低于投标时保险保额。</w:t>
            </w:r>
          </w:p>
        </w:tc>
      </w:tr>
      <w:tr>
        <w:tc>
          <w:tcPr>
            <w:tcW w:type="dxa" w:w="922"/>
            <w:gridSpan w:val="2"/>
            <w:vMerge/>
          </w:tcPr>
          <w:p/>
        </w:tc>
        <w:tc>
          <w:tcPr>
            <w:tcW w:type="dxa" w:w="2307"/>
          </w:tcPr>
          <w:p>
            <w:pPr>
              <w:jc w:val="left"/>
            </w:pPr>
            <w:r>
              <w:rPr/>
              <w:t>信息化服务能力 (9.0分)</w:t>
            </w:r>
          </w:p>
        </w:tc>
        <w:tc>
          <w:tcPr>
            <w:tcW w:type="dxa" w:w="5076"/>
          </w:tcPr>
          <w:p>
            <w:pPr>
              <w:jc w:val="left"/>
            </w:pPr>
            <w:r>
              <w:rPr/>
              <w:t>1.每提供1台具备GPS或其它信息化监控平台，可实时查询车辆行驶轨迹、定位、超速警报的功能的车辆得0.45分，最高9分； 注：以上功能须提供相应截图凭证，不提供或专家无法认定不得分。</w:t>
            </w:r>
          </w:p>
        </w:tc>
      </w:tr>
      <w:tr>
        <w:tc>
          <w:tcPr>
            <w:tcW w:type="dxa" w:w="922"/>
            <w:gridSpan w:val="2"/>
            <w:vMerge/>
          </w:tcPr>
          <w:p/>
        </w:tc>
        <w:tc>
          <w:tcPr>
            <w:tcW w:type="dxa" w:w="2307"/>
          </w:tcPr>
          <w:p>
            <w:pPr>
              <w:jc w:val="left"/>
            </w:pPr>
            <w:r>
              <w:rPr/>
              <w:t>服务方案（一） (5.0分)</w:t>
            </w:r>
          </w:p>
        </w:tc>
        <w:tc>
          <w:tcPr>
            <w:tcW w:type="dxa" w:w="5076"/>
          </w:tcPr>
          <w:p>
            <w:pPr>
              <w:jc w:val="left"/>
            </w:pPr>
            <w:r>
              <w:rPr/>
              <w:t>评标委员会根据投标人提供的服务方案进行综合评价，方案应包括（投标文件中方案标题应以下列方案内容命名）： （1）工作标准； （2）工作流程； （3）服务内容； （4）服务方式； （5）应急措施。 提供全部内容得5分，每缺1项扣1分，最低扣至0分。</w:t>
            </w:r>
          </w:p>
        </w:tc>
      </w:tr>
      <w:tr>
        <w:tc>
          <w:tcPr>
            <w:tcW w:type="dxa" w:w="922"/>
            <w:gridSpan w:val="2"/>
            <w:vMerge/>
          </w:tcPr>
          <w:p/>
        </w:tc>
        <w:tc>
          <w:tcPr>
            <w:tcW w:type="dxa" w:w="2307"/>
          </w:tcPr>
          <w:p>
            <w:pPr>
              <w:jc w:val="left"/>
            </w:pPr>
            <w:r>
              <w:rPr/>
              <w:t>服务方案（二） (7.0分)</w:t>
            </w:r>
          </w:p>
        </w:tc>
        <w:tc>
          <w:tcPr>
            <w:tcW w:type="dxa" w:w="5076"/>
          </w:tcPr>
          <w:p>
            <w:pPr>
              <w:jc w:val="left"/>
            </w:pPr>
            <w:r>
              <w:rPr/>
              <w:t>评标委员会根据投标人提供服务方案的详细内容进行综合评价： 1.服务方案合理、可行、保障性高的，方案的详尽性、实用性、专业性强的，综合评价得7分； 2.服务方案较合理、较可行、保障性较好的，方案的详尽性、实用性、专业性较强的，综合评价得5分； 3.服务方案合理性一般、可行性一般、保障性一般的，方案的详尽性、实用性、专业性为一般，综合评价得3分； 4.服务方案不合理性、可行性、保障性差的，方案的详尽性、实用性、专业性较差，综合评价得1分； 5.无提供的得0分。</w:t>
            </w:r>
          </w:p>
        </w:tc>
      </w:tr>
      <w:tr>
        <w:tc>
          <w:tcPr>
            <w:tcW w:type="dxa" w:w="922"/>
            <w:gridSpan w:val="2"/>
            <w:vMerge w:val="restart"/>
          </w:tcPr>
          <w:p>
            <w:pPr>
              <w:jc w:val="center"/>
            </w:pPr>
            <w:r>
              <w:rPr/>
              <w:t>商务部分</w:t>
            </w:r>
          </w:p>
        </w:tc>
        <w:tc>
          <w:tcPr>
            <w:tcW w:type="dxa" w:w="2307"/>
          </w:tcPr>
          <w:p>
            <w:pPr>
              <w:jc w:val="left"/>
            </w:pPr>
            <w:r>
              <w:rPr/>
              <w:t>同类项目业绩 (15.0分)</w:t>
            </w:r>
          </w:p>
        </w:tc>
        <w:tc>
          <w:tcPr>
            <w:tcW w:type="dxa" w:w="5076"/>
          </w:tcPr>
          <w:p>
            <w:pPr>
              <w:jc w:val="left"/>
            </w:pPr>
            <w:r>
              <w:rPr/>
              <w:t>根据投标人2020年01月01日以来，以投标人名义出租车辆业绩进行评价，每提供一份得3分，本项最高得15分。 备注：以合同签订日期为准。同一年度下提供多份同一客户来源业绩合同只算一份，非以投标人名义出租的不得分，需提供租赁合同复印件并加盖公章。提供的合同模糊或专家无法认定的不得分。</w:t>
            </w:r>
          </w:p>
        </w:tc>
      </w:tr>
      <w:tr>
        <w:tc>
          <w:tcPr>
            <w:tcW w:type="dxa" w:w="922"/>
            <w:gridSpan w:val="2"/>
            <w:vMerge/>
          </w:tcPr>
          <w:p/>
        </w:tc>
        <w:tc>
          <w:tcPr>
            <w:tcW w:type="dxa" w:w="2307"/>
          </w:tcPr>
          <w:p>
            <w:pPr>
              <w:jc w:val="left"/>
            </w:pPr>
            <w:r>
              <w:rPr/>
              <w:t>用户评价 (12.0分)</w:t>
            </w:r>
          </w:p>
        </w:tc>
        <w:tc>
          <w:tcPr>
            <w:tcW w:type="dxa" w:w="5076"/>
          </w:tcPr>
          <w:p>
            <w:pPr>
              <w:jc w:val="left"/>
            </w:pPr>
            <w:r>
              <w:rPr/>
              <w:t>投标人具有2020年01月01日至今的用户评价材料，每提供一份得3分，最高得12分。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服务便利性 (8.0分)</w:t>
            </w:r>
          </w:p>
        </w:tc>
        <w:tc>
          <w:tcPr>
            <w:tcW w:type="dxa" w:w="5076"/>
          </w:tcPr>
          <w:p>
            <w:pPr>
              <w:jc w:val="left"/>
            </w:pPr>
            <w:r>
              <w:rPr/>
              <w:t>投标人对采购人派车需求的时间响应程度进行评审： 1.投标人承诺接到采购人派车需求后20分钟（含）内派车到达采购人单位（广州市先烈中路100号大院34号）的，得8分； 2.投标人承诺接到采购人派车需求后20分钟（不含）至30分钟（含）内派车到达采购人单位（广州市先烈中路100号大院34号）的，得5分； 3.投标人承诺接到采购人派车需求后30分钟（不含）至40分钟（含）派车到达采购人单位（广州市先烈中路100号大院34号）的，得3分； 4.其他或未提供承诺函的，得0分。 备注：投标人须对此提供承诺函，未提供的不得分。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采购包2(业务用车租赁服务采购项目-南沙):</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根据投标人对招标文件所投采购包“技术标准与要求”中一般技术条款（非“▲”、非“★”指标）的响应程度进行综合评审： （1）完全响应或有正偏离的，得5分； （2）有1-3项未响应或负偏离的，得3分； （3）有4-6项未响应或负偏离的，得1分； （4）有7项或以上未响应或负偏离的，得0分。 注：若一般技术条款已经单独作为评审因素进行评分的不再重复进行响应程度评审。</w:t>
            </w:r>
          </w:p>
        </w:tc>
      </w:tr>
      <w:tr>
        <w:tc>
          <w:tcPr>
            <w:tcW w:type="dxa" w:w="922"/>
            <w:gridSpan w:val="2"/>
            <w:vMerge/>
          </w:tcPr>
          <w:p/>
        </w:tc>
        <w:tc>
          <w:tcPr>
            <w:tcW w:type="dxa" w:w="2307"/>
          </w:tcPr>
          <w:p>
            <w:pPr>
              <w:jc w:val="left"/>
            </w:pPr>
            <w:r>
              <w:rPr/>
              <w:t>服务方案（一） (2.5分)</w:t>
            </w:r>
          </w:p>
        </w:tc>
        <w:tc>
          <w:tcPr>
            <w:tcW w:type="dxa" w:w="5076"/>
          </w:tcPr>
          <w:p>
            <w:pPr>
              <w:jc w:val="left"/>
            </w:pPr>
            <w:r>
              <w:rPr/>
              <w:t>评标委员会根据投标人提供的服务方案进行综合评价，方案应包括（投标文件中方案标题应以下列方案内容命名）： （1）服务质量保障措施； （2）保险方案； （3）提供信息化车辆管理系统方案； （4）沟通渠道； （5）服务承诺。 提供全部内容得2.5分，每缺1项扣0.5分，最低扣至0分。</w:t>
            </w:r>
          </w:p>
        </w:tc>
      </w:tr>
      <w:tr>
        <w:tc>
          <w:tcPr>
            <w:tcW w:type="dxa" w:w="922"/>
            <w:gridSpan w:val="2"/>
            <w:vMerge/>
          </w:tcPr>
          <w:p/>
        </w:tc>
        <w:tc>
          <w:tcPr>
            <w:tcW w:type="dxa" w:w="2307"/>
          </w:tcPr>
          <w:p>
            <w:pPr>
              <w:jc w:val="left"/>
            </w:pPr>
            <w:r>
              <w:rPr/>
              <w:t>服务方案（二） (4.5分)</w:t>
            </w:r>
          </w:p>
        </w:tc>
        <w:tc>
          <w:tcPr>
            <w:tcW w:type="dxa" w:w="5076"/>
          </w:tcPr>
          <w:p>
            <w:pPr>
              <w:jc w:val="left"/>
            </w:pPr>
            <w:r>
              <w:rPr/>
              <w:t>评标委员会根据投标人提供服务方案的详细内容进行综合评价： 1.服务方案合理、可行、保障性高的，方案的详尽性、实用性、专业性强的，综合评价得4.5分； 2.服务方案合理性一般、可行性一般、保障性一般的，方案的详尽性、实用性、专业性为一般，综合评价得3分； 3.服务方案不合理性、可行性、保障性差的，方案的详尽性、实用性、专业性较差，综合评价得1分； 5.无提供的得0分。</w:t>
            </w:r>
          </w:p>
        </w:tc>
      </w:tr>
      <w:tr>
        <w:tc>
          <w:tcPr>
            <w:tcW w:type="dxa" w:w="922"/>
            <w:gridSpan w:val="2"/>
            <w:vMerge/>
          </w:tcPr>
          <w:p/>
        </w:tc>
        <w:tc>
          <w:tcPr>
            <w:tcW w:type="dxa" w:w="2307"/>
          </w:tcPr>
          <w:p>
            <w:pPr>
              <w:jc w:val="left"/>
            </w:pPr>
            <w:r>
              <w:rPr/>
              <w:t>车辆配置方案 (33.0分)</w:t>
            </w:r>
          </w:p>
        </w:tc>
        <w:tc>
          <w:tcPr>
            <w:tcW w:type="dxa" w:w="5076"/>
          </w:tcPr>
          <w:p>
            <w:pPr>
              <w:jc w:val="left"/>
            </w:pPr>
            <w:r>
              <w:rPr/>
              <w:t>根据各投标人拟提供租赁车辆的选型、配置、车况是否满足需求、质量保证措施等情况进行综合评审： 1.投标人至少有1辆符合需求中第一类车辆的全新车（车辆首次登记时间为2023年4月1日以后）；并承诺中标后1周内能提供给采购人试用1周，不合适无条件退回的，本小项得10分； 2.投标人至少有1辆符合需求中第二类车辆的全新车（车辆首次登记时间为2023年4月1日以后）；并承诺中标后1周内能提供给采购人试用1周，不合适无条件退回的，本小项得10分； 3.投标人至少有两辆符合需求第三类车辆，得3分，每增加一辆加2分，本小项最高得13分； 备注： ①提供第一类、第二类全新车辆需同时提供购车合同、付款凭证、购置发票、登记证、行驶证等证明材料复印件，缺一项不得分； ②提供第三类车辆的需提供机动车行驶证复印件证明材料加盖公章。 ③以上所有车辆应为投标人名下自有产权（私人租给供应商使用的不得分）。 ④承诺函格式自拟，并加盖公章，不提供或专家无法认定的不得分。</w:t>
            </w:r>
          </w:p>
        </w:tc>
      </w:tr>
      <w:tr>
        <w:tc>
          <w:tcPr>
            <w:tcW w:type="dxa" w:w="922"/>
            <w:gridSpan w:val="2"/>
            <w:vMerge/>
          </w:tcPr>
          <w:p/>
        </w:tc>
        <w:tc>
          <w:tcPr>
            <w:tcW w:type="dxa" w:w="2307"/>
          </w:tcPr>
          <w:p>
            <w:pPr>
              <w:jc w:val="left"/>
            </w:pPr>
            <w:r>
              <w:rPr/>
              <w:t>应急服务方案（一） (1.5分)</w:t>
            </w:r>
          </w:p>
        </w:tc>
        <w:tc>
          <w:tcPr>
            <w:tcW w:type="dxa" w:w="5076"/>
          </w:tcPr>
          <w:p>
            <w:pPr>
              <w:jc w:val="left"/>
            </w:pPr>
            <w:r>
              <w:rPr/>
              <w:t>评标委员会根据投标人提供的应急服务方案进行综合评价，方案应包括（投标文件中方案标题应以下列方案内容命名）： （1）车辆发生故障或需要维修； （2）车辆抛锚； （3）交通事故； 提供全部内容得1.5分，每缺1项扣0.5分，最低扣至0分。</w:t>
            </w:r>
          </w:p>
        </w:tc>
      </w:tr>
      <w:tr>
        <w:tc>
          <w:tcPr>
            <w:tcW w:type="dxa" w:w="922"/>
            <w:gridSpan w:val="2"/>
            <w:vMerge/>
          </w:tcPr>
          <w:p/>
        </w:tc>
        <w:tc>
          <w:tcPr>
            <w:tcW w:type="dxa" w:w="2307"/>
          </w:tcPr>
          <w:p>
            <w:pPr>
              <w:jc w:val="left"/>
            </w:pPr>
            <w:r>
              <w:rPr/>
              <w:t>应急服务方案（二） (3.5分)</w:t>
            </w:r>
          </w:p>
        </w:tc>
        <w:tc>
          <w:tcPr>
            <w:tcW w:type="dxa" w:w="5076"/>
          </w:tcPr>
          <w:p>
            <w:pPr>
              <w:jc w:val="left"/>
            </w:pPr>
            <w:r>
              <w:rPr/>
              <w:t>评标委员会根据投标人提供应急服务方案的详细内容进行综合评价： 1.针对临时性、突发应急工作反应非常迅速，调配非常合理、安全，得3.5分； 2.针对临时性、突发应急工作反应较迅速，调配较合理、较安全，得2.5分； 3.针对临时性、突发应急工作反应较慢，调配欠缺合理、欠缺安全，得1.5分； 4.没有提供方案得0分。</w:t>
            </w:r>
          </w:p>
        </w:tc>
      </w:tr>
      <w:tr>
        <w:tc>
          <w:tcPr>
            <w:tcW w:type="dxa" w:w="922"/>
            <w:gridSpan w:val="2"/>
            <w:vMerge w:val="restart"/>
          </w:tcPr>
          <w:p>
            <w:pPr>
              <w:jc w:val="center"/>
            </w:pPr>
            <w:r>
              <w:rPr/>
              <w:t>商务部分</w:t>
            </w:r>
          </w:p>
        </w:tc>
        <w:tc>
          <w:tcPr>
            <w:tcW w:type="dxa" w:w="2307"/>
          </w:tcPr>
          <w:p>
            <w:pPr>
              <w:jc w:val="left"/>
            </w:pPr>
            <w:r>
              <w:rPr/>
              <w:t>投标人维修点情况 (2.0分)</w:t>
            </w:r>
          </w:p>
        </w:tc>
        <w:tc>
          <w:tcPr>
            <w:tcW w:type="dxa" w:w="5076"/>
          </w:tcPr>
          <w:p>
            <w:pPr>
              <w:jc w:val="left"/>
            </w:pPr>
            <w:r>
              <w:rPr/>
              <w:t>投标人有固定的维修地点，并且能提供维修点图片和营业执照（或合作协议或产权证明）复印件的得2分；无或其他不得分。</w:t>
            </w:r>
          </w:p>
        </w:tc>
      </w:tr>
      <w:tr>
        <w:tc>
          <w:tcPr>
            <w:tcW w:type="dxa" w:w="922"/>
            <w:gridSpan w:val="2"/>
            <w:vMerge/>
          </w:tcPr>
          <w:p/>
        </w:tc>
        <w:tc>
          <w:tcPr>
            <w:tcW w:type="dxa" w:w="2307"/>
          </w:tcPr>
          <w:p>
            <w:pPr>
              <w:jc w:val="left"/>
            </w:pPr>
            <w:r>
              <w:rPr/>
              <w:t>同类项目业绩 (15.0分)</w:t>
            </w:r>
          </w:p>
        </w:tc>
        <w:tc>
          <w:tcPr>
            <w:tcW w:type="dxa" w:w="5076"/>
          </w:tcPr>
          <w:p>
            <w:pPr>
              <w:jc w:val="left"/>
            </w:pPr>
            <w:r>
              <w:rPr/>
              <w:t>根据投标人2020年01月01日以来，以投标人名义出租车辆业绩进行评价，每提供一份得3分，本项最高得15分。 备注：以合同签订日期为准。同一年度下提供多份同一客户来源业绩合同只算一份，非以投标人名义出租的不得分，需提供租赁合同复印件并加盖公章。提供的合同模糊或专家无法认定的不得分。</w:t>
            </w:r>
          </w:p>
        </w:tc>
      </w:tr>
      <w:tr>
        <w:tc>
          <w:tcPr>
            <w:tcW w:type="dxa" w:w="922"/>
            <w:gridSpan w:val="2"/>
            <w:vMerge/>
          </w:tcPr>
          <w:p/>
        </w:tc>
        <w:tc>
          <w:tcPr>
            <w:tcW w:type="dxa" w:w="2307"/>
          </w:tcPr>
          <w:p>
            <w:pPr>
              <w:jc w:val="left"/>
            </w:pPr>
            <w:r>
              <w:rPr/>
              <w:t>用户评价 (15.0分)</w:t>
            </w:r>
          </w:p>
        </w:tc>
        <w:tc>
          <w:tcPr>
            <w:tcW w:type="dxa" w:w="5076"/>
          </w:tcPr>
          <w:p>
            <w:pPr>
              <w:jc w:val="left"/>
            </w:pPr>
            <w:r>
              <w:rPr/>
              <w:t>投标人具有2020年01月01日至今的用户评价材料，每提供一份得3分；满分15分。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服务能力优势 (3.0分)</w:t>
            </w:r>
          </w:p>
        </w:tc>
        <w:tc>
          <w:tcPr>
            <w:tcW w:type="dxa" w:w="5076"/>
          </w:tcPr>
          <w:p>
            <w:pPr>
              <w:jc w:val="left"/>
            </w:pPr>
            <w:r>
              <w:rPr/>
              <w:t>投标人对采购人临时需求的时间响应程度进行评审： 1.投标人承诺接到采购人临时需增加用车后30分钟（含）内将符合要求车辆送达采购人单位（广州市南沙区黄阁镇长铭工业区留新路1号）的，得3分； 2. 标人承诺接到采购人临时需增加用车后30（不含）-60分钟（含）内将符合要求车辆送达采购人单位（广州市南沙区黄阁镇长铭工业区留新路1号）的，得2分； 3. 标人承诺接到采购人临时需增加用车后60（不含）-90分钟（含）内将符合要求车辆送达采购人单位（广州市南沙区黄阁镇长铭工业区留新路1号）的，得1分； 4.其他或未提供承诺函的，得0分。 备注：投标人须对此提供承诺函，未提供的不得分。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采购包3(业务用车租赁服务采购项目-中山):</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技术部分65.0分</w:t>
            </w:r>
          </w:p>
          <w:p>
            <w:r>
              <w:rPr/>
              <w:t>报价得分15.0分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根据投标人对招标文件所投采购包“技术标准与要求”中一般技术条款（非“▲”、非“★”指标）的响应程度进行综合评审： （1）完全响应或有正偏离的，得5分； （2）有1-3项未响应或负偏离的，得3分； （3）有4-6项未响应或负偏离的，得1分； （4）有7项或以上未响应或负偏离的，得0分。 注：若一般技术条款已经单独作为评审因素进行评分的不再重复进行响应程度评审。</w:t>
            </w:r>
          </w:p>
        </w:tc>
      </w:tr>
      <w:tr>
        <w:tc>
          <w:tcPr>
            <w:tcW w:type="dxa" w:w="922"/>
            <w:gridSpan w:val="2"/>
            <w:vMerge/>
          </w:tcPr>
          <w:p/>
        </w:tc>
        <w:tc>
          <w:tcPr>
            <w:tcW w:type="dxa" w:w="2307"/>
          </w:tcPr>
          <w:p>
            <w:pPr>
              <w:jc w:val="left"/>
            </w:pPr>
            <w:r>
              <w:rPr/>
              <w:t>车辆配置 (10.0分)</w:t>
            </w:r>
          </w:p>
        </w:tc>
        <w:tc>
          <w:tcPr>
            <w:tcW w:type="dxa" w:w="5076"/>
          </w:tcPr>
          <w:p>
            <w:pPr>
              <w:jc w:val="left"/>
            </w:pPr>
            <w:r>
              <w:rPr/>
              <w:t>投标人承诺拟提供的全部租赁车辆： 1.全部租赁车辆配备行车记录仪的，得5分；不配备不得分； 2.全部租赁车辆配备ETC的，得5分，不配备不得分。 注：投标人须在投标文件中自行承诺（格式自拟），未承诺不得分。</w:t>
            </w:r>
          </w:p>
        </w:tc>
      </w:tr>
      <w:tr>
        <w:tc>
          <w:tcPr>
            <w:tcW w:type="dxa" w:w="922"/>
            <w:gridSpan w:val="2"/>
            <w:vMerge/>
          </w:tcPr>
          <w:p/>
        </w:tc>
        <w:tc>
          <w:tcPr>
            <w:tcW w:type="dxa" w:w="2307"/>
          </w:tcPr>
          <w:p>
            <w:pPr>
              <w:jc w:val="left"/>
            </w:pPr>
            <w:r>
              <w:rPr/>
              <w:t>车型配置 (8.0分)</w:t>
            </w:r>
          </w:p>
        </w:tc>
        <w:tc>
          <w:tcPr>
            <w:tcW w:type="dxa" w:w="5076"/>
          </w:tcPr>
          <w:p>
            <w:pPr>
              <w:jc w:val="left"/>
            </w:pPr>
            <w:r>
              <w:rPr/>
              <w:t>1.承诺拟投入本项目使用的全部车辆车龄在2年以内，行驶里程不超过4万公里，得8分； 2.承诺拟投入本项目使用的全部车辆车龄在3年以内，行驶里程不超过4万公里，得5分； 3.承诺拟投入本项目使用的全部车辆车龄在3年以上或行驶里程4万公里以上，得2分。 注：投标人须在投标文件中自行承诺（格式自拟），未承诺不得分。</w:t>
            </w:r>
          </w:p>
        </w:tc>
      </w:tr>
      <w:tr>
        <w:tc>
          <w:tcPr>
            <w:tcW w:type="dxa" w:w="922"/>
            <w:gridSpan w:val="2"/>
            <w:vMerge/>
          </w:tcPr>
          <w:p/>
        </w:tc>
        <w:tc>
          <w:tcPr>
            <w:tcW w:type="dxa" w:w="2307"/>
          </w:tcPr>
          <w:p>
            <w:pPr>
              <w:jc w:val="left"/>
            </w:pPr>
            <w:r>
              <w:rPr/>
              <w:t>驾驶员经验 (18.0分)</w:t>
            </w:r>
          </w:p>
        </w:tc>
        <w:tc>
          <w:tcPr>
            <w:tcW w:type="dxa" w:w="5076"/>
          </w:tcPr>
          <w:p>
            <w:pPr>
              <w:jc w:val="left"/>
            </w:pPr>
            <w:r>
              <w:rPr/>
              <w:t>根据投标人自有的年龄在55岁以下驾驶员人员情况进行评审： 1.有20（含）年以上驾驶经验，每人得2分，最高得8分； 2.有10（含）-20年（不含）的驾驶经验，每人得1分，最高得5分； 3.有5（含）-10年（不含）的驾驶经验，每人得0.5分，最高得5分。 4.其他情况不得分。 注：以上合计最高得20分，同一人不重复得分。根据驾驶员人员首次取得机动车驾驶证时间起算计算驾驶员人员驾龄。需提供拟投入人员六个月内任意一个月交纳的社保证明复印件或代缴个人所得税作为证明文件及驾驶证复印件并加盖公章，否则不得分。</w:t>
            </w:r>
          </w:p>
        </w:tc>
      </w:tr>
      <w:tr>
        <w:tc>
          <w:tcPr>
            <w:tcW w:type="dxa" w:w="922"/>
            <w:gridSpan w:val="2"/>
            <w:vMerge/>
          </w:tcPr>
          <w:p/>
        </w:tc>
        <w:tc>
          <w:tcPr>
            <w:tcW w:type="dxa" w:w="2307"/>
          </w:tcPr>
          <w:p>
            <w:pPr>
              <w:jc w:val="left"/>
            </w:pPr>
            <w:r>
              <w:rPr/>
              <w:t>服务方案（一） (3.0分)</w:t>
            </w:r>
          </w:p>
        </w:tc>
        <w:tc>
          <w:tcPr>
            <w:tcW w:type="dxa" w:w="5076"/>
          </w:tcPr>
          <w:p>
            <w:pPr>
              <w:jc w:val="left"/>
            </w:pPr>
            <w:r>
              <w:rPr/>
              <w:t>评标委员会根据投标人提供的服务方案进行综合评价，方案应包括（投标文件中方案标题应以下列方案内容命名）： （1）整体管理服务架构； （2）组织管理协调； （3）服务运作； 提供全部内容得3分，每缺1项扣1分，最低扣至0分。</w:t>
            </w:r>
          </w:p>
        </w:tc>
      </w:tr>
      <w:tr>
        <w:tc>
          <w:tcPr>
            <w:tcW w:type="dxa" w:w="922"/>
            <w:gridSpan w:val="2"/>
            <w:vMerge/>
          </w:tcPr>
          <w:p/>
        </w:tc>
        <w:tc>
          <w:tcPr>
            <w:tcW w:type="dxa" w:w="2307"/>
          </w:tcPr>
          <w:p>
            <w:pPr>
              <w:jc w:val="left"/>
            </w:pPr>
            <w:r>
              <w:rPr/>
              <w:t>服务方案（二） (5.0分)</w:t>
            </w:r>
          </w:p>
        </w:tc>
        <w:tc>
          <w:tcPr>
            <w:tcW w:type="dxa" w:w="5076"/>
          </w:tcPr>
          <w:p>
            <w:pPr>
              <w:jc w:val="left"/>
            </w:pPr>
            <w:r>
              <w:rPr/>
              <w:t>评标委员会根据投标人提供服务方案的详细内容进行综合评价： （1）服务方案合理、可行、保障性高的，方案的详尽性、实用性、专业性强的，综合评价得5分； （2）服务方案合理性一般、可行性一般、保障性一般的，方案的详尽性、实用性、专业性为一般，综合评价得3分； （3）服务方案不合理性、可行性、保障性差的，方案的详尽性、实用性、专业性较差，综合评价得1分； （4）无提供的得0分。</w:t>
            </w:r>
          </w:p>
        </w:tc>
      </w:tr>
      <w:tr>
        <w:tc>
          <w:tcPr>
            <w:tcW w:type="dxa" w:w="922"/>
            <w:gridSpan w:val="2"/>
            <w:vMerge/>
          </w:tcPr>
          <w:p/>
        </w:tc>
        <w:tc>
          <w:tcPr>
            <w:tcW w:type="dxa" w:w="2307"/>
          </w:tcPr>
          <w:p>
            <w:pPr>
              <w:jc w:val="left"/>
            </w:pPr>
            <w:r>
              <w:rPr/>
              <w:t>安全运营方案（一） (3.0分)</w:t>
            </w:r>
          </w:p>
        </w:tc>
        <w:tc>
          <w:tcPr>
            <w:tcW w:type="dxa" w:w="5076"/>
          </w:tcPr>
          <w:p>
            <w:pPr>
              <w:jc w:val="left"/>
            </w:pPr>
            <w:r>
              <w:rPr/>
              <w:t>评标委员会根据投标人提供的安全运营方案进行综合评价，方案应包括（投标文件中方案标题应以下列方案内容命名）： （1）司机安全意识培训方案； （2）司机职业操守培训方案； （3）运营保障措施； 提供全部内容得3分，每缺1项扣1分，最低扣至0分。</w:t>
            </w:r>
          </w:p>
        </w:tc>
      </w:tr>
      <w:tr>
        <w:tc>
          <w:tcPr>
            <w:tcW w:type="dxa" w:w="922"/>
            <w:gridSpan w:val="2"/>
            <w:vMerge/>
          </w:tcPr>
          <w:p/>
        </w:tc>
        <w:tc>
          <w:tcPr>
            <w:tcW w:type="dxa" w:w="2307"/>
          </w:tcPr>
          <w:p>
            <w:pPr>
              <w:jc w:val="left"/>
            </w:pPr>
            <w:r>
              <w:rPr/>
              <w:t>安全运营方案（二） (5.0分)</w:t>
            </w:r>
          </w:p>
        </w:tc>
        <w:tc>
          <w:tcPr>
            <w:tcW w:type="dxa" w:w="5076"/>
          </w:tcPr>
          <w:p>
            <w:pPr>
              <w:jc w:val="left"/>
            </w:pPr>
            <w:r>
              <w:rPr/>
              <w:t>评标委员会根据投标人提供安全运营方案的详细内容进行综合评价： （1）安全运营方案合理、可行、保障性高的，方案的详尽性、实用性、专业性强的，综合评价得5分； （2）安全运营方案合理性一般、可行性一般、保障性一般的，方案的详尽性、实用性、专业性为一般，综合评价得3分； （3）安全运营方案不合理性、可行性、保障性差的，方案的详尽性、实用性、专业性较差，综合评价得1分； （4）无提供的得0分。</w:t>
            </w:r>
          </w:p>
        </w:tc>
      </w:tr>
      <w:tr>
        <w:tc>
          <w:tcPr>
            <w:tcW w:type="dxa" w:w="922"/>
            <w:gridSpan w:val="2"/>
            <w:vMerge/>
          </w:tcPr>
          <w:p/>
        </w:tc>
        <w:tc>
          <w:tcPr>
            <w:tcW w:type="dxa" w:w="2307"/>
          </w:tcPr>
          <w:p>
            <w:pPr>
              <w:jc w:val="left"/>
            </w:pPr>
            <w:r>
              <w:rPr/>
              <w:t>应急解决方案（一） (3.0分)</w:t>
            </w:r>
          </w:p>
        </w:tc>
        <w:tc>
          <w:tcPr>
            <w:tcW w:type="dxa" w:w="5076"/>
          </w:tcPr>
          <w:p>
            <w:pPr>
              <w:jc w:val="left"/>
            </w:pPr>
            <w:r>
              <w:rPr/>
              <w:t>评标委员会根据投标人提供的应急解决方案进行综合评价，方案应包括（投标文件中方案标题应以下列方案内容命名）： （1）突发性交通事故的处理措施； （2）车辆故障的处理措施； （3）应急服务； 提供全部内容得3分，每缺1项扣1分，最低扣至0分。</w:t>
            </w:r>
          </w:p>
        </w:tc>
      </w:tr>
      <w:tr>
        <w:tc>
          <w:tcPr>
            <w:tcW w:type="dxa" w:w="922"/>
            <w:gridSpan w:val="2"/>
            <w:vMerge/>
          </w:tcPr>
          <w:p/>
        </w:tc>
        <w:tc>
          <w:tcPr>
            <w:tcW w:type="dxa" w:w="2307"/>
          </w:tcPr>
          <w:p>
            <w:pPr>
              <w:jc w:val="left"/>
            </w:pPr>
            <w:r>
              <w:rPr/>
              <w:t>应急解决方案（二） (5.0分)</w:t>
            </w:r>
          </w:p>
        </w:tc>
        <w:tc>
          <w:tcPr>
            <w:tcW w:type="dxa" w:w="5076"/>
          </w:tcPr>
          <w:p>
            <w:pPr>
              <w:jc w:val="left"/>
            </w:pPr>
            <w:r>
              <w:rPr/>
              <w:t>评标委员会根据投标人提供应急解决方案的详细内容进行综合评价： （1）应急解决方案合理、可行、保障性高的，方案的详尽性、实用性、专业性强的，综合评价得5分； （2）应急解决方案合理性一般、可行性一般、保障性一般的，方案的详尽性、实用性、专业性为一般，综合评价得3分； （3）应急解决方案不合理性、可行性、保障性差的，方案的详尽性、实用性、专业性较差，综合评价得1分； （4）无提供的得0分。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据投标人2020年01月01日以来，以投标人名义出租车辆业绩进行评价，每提供一份得2分，本项最高得6分。 备注：以合同签订日期为准。同一年度下提供多份同一客户来源业绩合同只算一份，非以投标人名义出租的不得分，需提供租赁合同复印件并加盖公章。提供的合同模糊或专家无法认定的不得分。</w:t>
            </w:r>
          </w:p>
        </w:tc>
      </w:tr>
      <w:tr>
        <w:tc>
          <w:tcPr>
            <w:tcW w:type="dxa" w:w="922"/>
            <w:gridSpan w:val="2"/>
            <w:vMerge/>
          </w:tcPr>
          <w:p/>
        </w:tc>
        <w:tc>
          <w:tcPr>
            <w:tcW w:type="dxa" w:w="2307"/>
          </w:tcPr>
          <w:p>
            <w:pPr>
              <w:jc w:val="left"/>
            </w:pPr>
            <w:r>
              <w:rPr/>
              <w:t>用户评价 (3.0分)</w:t>
            </w:r>
          </w:p>
        </w:tc>
        <w:tc>
          <w:tcPr>
            <w:tcW w:type="dxa" w:w="5076"/>
          </w:tcPr>
          <w:p>
            <w:pPr>
              <w:jc w:val="left"/>
            </w:pPr>
            <w:r>
              <w:rPr/>
              <w:t>投标人具有2020年01月01日至今的用户评价材料，每提供一份得1分；满分3分。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投标人对采购人派车需求的时间响应程度进行评审： 1.投标人承诺接到采购人派车需求后20分钟（含）内派车到达采购人单位（中山市火炬开发区景岳路6号B2幢B区）的，得4分； 2.投标人承诺接到采购人派车需求后20分钟（不含）至30分钟（含）内派车到达采购人单位（中山市火炬开发区景岳路6号B2幢B区）的，得3分； 3.投标人承诺接到采购人派车需求后30分钟（不含）至40分钟（含）派车到达采购人单位（中山市火炬开发区景岳路6号B2幢B区）的，得2分； 其他或未提供承诺函的，得0分。 备注：投标人须对此提供承诺函，未提供的不得分。</w:t>
            </w:r>
          </w:p>
        </w:tc>
      </w:tr>
      <w:tr>
        <w:tc>
          <w:tcPr>
            <w:tcW w:type="dxa" w:w="922"/>
            <w:gridSpan w:val="2"/>
            <w:vMerge/>
          </w:tcPr>
          <w:p/>
        </w:tc>
        <w:tc>
          <w:tcPr>
            <w:tcW w:type="dxa" w:w="2307"/>
          </w:tcPr>
          <w:p>
            <w:pPr>
              <w:jc w:val="left"/>
            </w:pPr>
            <w:r>
              <w:rPr/>
              <w:t>车辆维修保障 (2.0分)</w:t>
            </w:r>
          </w:p>
        </w:tc>
        <w:tc>
          <w:tcPr>
            <w:tcW w:type="dxa" w:w="5076"/>
          </w:tcPr>
          <w:p>
            <w:pPr>
              <w:jc w:val="left"/>
            </w:pPr>
            <w:r>
              <w:rPr/>
              <w:t>投标人在项目所在地有固定的车辆维修地点，并提供维修点图片或者承诺中标后15天内在项目所在地内提供固定车辆维修点的，得2分；其他情况不得分。 注：投标人须在投标文件中提供维修点图片和营业执照（或合作协议或产权证明）复印件或者承诺函文件（格式自拟）并加盖公章，未提供不得分。</w:t>
            </w:r>
          </w:p>
        </w:tc>
      </w:tr>
      <w:tr>
        <w:tc>
          <w:tcPr>
            <w:tcW w:type="dxa" w:w="922"/>
            <w:gridSpan w:val="2"/>
            <w:vMerge/>
          </w:tcPr>
          <w:p/>
        </w:tc>
        <w:tc>
          <w:tcPr>
            <w:tcW w:type="dxa" w:w="2307"/>
          </w:tcPr>
          <w:p>
            <w:pPr>
              <w:jc w:val="left"/>
            </w:pPr>
            <w:r>
              <w:rPr/>
              <w:t>车辆备案情况 (5.0分)</w:t>
            </w:r>
          </w:p>
        </w:tc>
        <w:tc>
          <w:tcPr>
            <w:tcW w:type="dxa" w:w="5076"/>
          </w:tcPr>
          <w:p>
            <w:pPr>
              <w:jc w:val="left"/>
            </w:pPr>
            <w:r>
              <w:rPr/>
              <w:t>投标人每有一辆粤T牌7座商务车得1分，合计最高得5分。提供相关车辆租赁合同（或购车证明）和行驶证作为证明材料，否则不得分。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本项目合同为小微企业预留合同。</w:t>
      </w:r>
    </w:p>
    <w:p>
      <w:pPr>
        <w:jc w:val="left"/>
      </w:pPr>
    </w:p>
    <w:p/>
    <w:p/>
    <w:p>
      <w:r>
        <w:rPr/>
        <w:t xml:space="preserve"> </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广东省科学院测试分析研究所（中国广州分析测试中心）业务用车租赁服务采购项目</w:t>
      </w:r>
      <w:r>
        <w:rPr>
          <w:sz w:val="21"/>
        </w:rPr>
        <w:t>招标文件（项目编号：</w:t>
      </w:r>
      <w:r>
        <w:rPr>
          <w:sz w:val="21"/>
        </w:rPr>
        <w:t>GZGK23P085C0294Z，采购包）的要求，经双方协商，本着平等互利和诚实信用的原则，一致同意签订本合同。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交付时间（服务期限）：年月日至年月日</w:t>
      </w:r>
    </w:p>
    <w:p>
      <w:pPr>
        <w:jc w:val="both"/>
      </w:pPr>
      <w:r>
        <w:rPr>
          <w:sz w:val="21"/>
        </w:rPr>
        <w:t>2．</w:t>
      </w:r>
      <w:r>
        <w:rPr>
          <w:sz w:val="21"/>
        </w:rPr>
        <w:t>交付地点（服务地点）：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5%</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本合同正本一式份，具有同等法律效力，甲、乙双方各执份，采购代理机构壹份。合同自双方签字或盖章之日起即时生效。</w:t>
      </w:r>
    </w:p>
    <w:p>
      <w:pPr>
        <w:jc w:val="both"/>
      </w:pPr>
      <w:r>
        <w:rPr>
          <w:sz w:val="21"/>
        </w:rPr>
        <w:t>6．</w:t>
      </w:r>
      <w:r>
        <w:rPr>
          <w:sz w:val="21"/>
        </w:rPr>
        <w:t>本合同未尽事宜，由双方协商处理。</w:t>
      </w:r>
    </w:p>
    <w:p>
      <w:pPr>
        <w:jc w:val="both"/>
      </w:pPr>
      <w:r>
        <w:rPr/>
        <w:t xml:space="preserve"> </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none" w:color="000000" w:sz="4"/>
              <w:left w:val="none" w:color="000000" w:sz="4"/>
              <w:bottom w:val="none" w:color="000000" w:sz="4"/>
              <w:right w:val="none" w:color="000000" w:sz="4"/>
            </w:tcBorders>
            <w:vAlign w:val="top"/>
          </w:tcPr>
          <w:p>
            <w:pPr>
              <w:jc w:val="both"/>
            </w:pPr>
            <w:r>
              <w:rPr>
                <w:sz w:val="19"/>
              </w:rPr>
              <w:t xml:space="preserve"> </w:t>
            </w:r>
          </w:p>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4"/>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440001-2023-23651</w:t>
      </w:r>
    </w:p>
    <w:p>
      <w:pPr>
        <w:jc w:val="center"/>
      </w:pPr>
      <w:r>
        <w:rPr>
          <w:b/>
          <w:sz w:val="24"/>
        </w:rPr>
        <w:t>采购项目编号：</w:t>
      </w:r>
      <w:r>
        <w:rPr>
          <w:b/>
          <w:sz w:val="24"/>
        </w:rPr>
        <w:t>GZGK23P085C0294Z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广东省科学院测试分析研究所（中国广州分析测试中心）业务用车租赁服务采购项目</w:t>
      </w:r>
      <w:r>
        <w:rPr>
          <w:u w:val="single"/>
        </w:rPr>
        <w:t>”</w:t>
      </w:r>
      <w:r>
        <w:rPr/>
        <w:t>项目的招标[采购项目编号为：</w:t>
      </w:r>
      <w:r>
        <w:rPr>
          <w:u w:val="single"/>
        </w:rPr>
        <w:t>GZGK23P085C0294Z</w:t>
      </w:r>
      <w:r>
        <w:rPr/>
        <w:t>]，我方愿参与投标。</w:t>
      </w:r>
    </w:p>
    <w:p>
      <w:pPr>
        <w:ind w:firstLine="480"/>
      </w:pPr>
      <w:r>
        <w:rPr/>
        <w:t>我方确认收到贵方提供的</w:t>
      </w:r>
      <w:r>
        <w:rPr>
          <w:u w:val="single"/>
        </w:rPr>
        <w:t>“</w:t>
      </w:r>
      <w:r>
        <w:rPr>
          <w:u w:val="single"/>
        </w:rPr>
        <w:t>广东省科学院测试分析研究所（中国广州分析测试中心）业务用车租赁服务采购项目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广东省科学院测试分析研究所（中国广州分析测试中心）业务用车租赁服务采购项目</w:t>
      </w:r>
      <w:r>
        <w:rPr/>
        <w:t>”项目采购[采购项目编号为</w:t>
      </w:r>
      <w:r>
        <w:rPr/>
        <w:t>GZGK23P085C0294Z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广东省科学院测试分析研究所（中国广州分析测试中心）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广东省科学院测试分析研究所（中国广州分析测试中心）业务用车租赁服务采购项目</w:t>
      </w:r>
      <w:r>
        <w:rPr/>
        <w:t>招标中获中标（采购项目编号：</w:t>
      </w:r>
      <w:r>
        <w:rPr/>
        <w:t>GZGK23P085C0294Z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广东省科学院测试分析研究所（中国广州分析测试中心）业务用车租赁服务采购项目</w:t>
      </w:r>
      <w:r>
        <w:rPr/>
        <w:t>”项目（采购项目编号：</w:t>
      </w:r>
      <w:r>
        <w:rPr/>
        <w:t>GZGK23P085C0294Z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