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440001-2022-36007</w:t>
      </w:r>
    </w:p>
    <w:p>
      <w:pPr>
        <w:jc w:val="center"/>
      </w:pPr>
      <w:r>
        <w:rPr>
          <w:b/>
          <w:sz w:val="24"/>
        </w:rPr>
        <w:t>采购项目编号：</w:t>
      </w:r>
      <w:r>
        <w:rPr>
          <w:b/>
          <w:sz w:val="24"/>
        </w:rPr>
        <w:t>GZGK22P097A0342Z</w:t>
      </w:r>
    </w:p>
    <w:p>
      <w:pPr>
        <w:jc w:val="center"/>
      </w:pPr>
      <w:r>
        <w:rPr>
          <w:b/>
          <w:sz w:val="24"/>
        </w:rPr>
        <w:t>项目名称：</w:t>
      </w:r>
      <w:r>
        <w:rPr>
          <w:b/>
          <w:sz w:val="24"/>
        </w:rPr>
        <w:t>广东省农作物现代种业产业园项目---蔬菜风味和分子育种研究设备采购</w:t>
      </w:r>
    </w:p>
    <w:p>
      <w:pPr>
        <w:jc w:val="center"/>
      </w:pPr>
      <w:r>
        <w:rPr>
          <w:b/>
          <w:sz w:val="24"/>
        </w:rPr>
        <w:t>采购人：</w:t>
      </w:r>
      <w:r>
        <w:rPr>
          <w:b/>
          <w:sz w:val="24"/>
        </w:rPr>
        <w:t>广东省农业科学院蔬菜研究所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广东省农业科学院蔬菜研究所</w:t>
      </w:r>
      <w:r>
        <w:rPr/>
        <w:t>的委托，采用</w:t>
      </w:r>
      <w:r>
        <w:rPr/>
        <w:t>公开招标</w:t>
      </w:r>
      <w:r>
        <w:rPr/>
        <w:t>方式组织采购</w:t>
      </w:r>
      <w:r>
        <w:rPr/>
        <w:t>广东省农作物现代种业产业园项目---蔬菜风味和分子育种研究设备采购</w:t>
      </w:r>
      <w:r>
        <w:rPr/>
        <w:t>。欢迎符合资格条件的国内供应商参加投标。</w:t>
      </w:r>
    </w:p>
    <w:p>
      <w:r>
        <w:rPr>
          <w:b/>
          <w:sz w:val="28"/>
        </w:rPr>
        <w:t>一.项目概述</w:t>
      </w:r>
    </w:p>
    <w:p>
      <w:r>
        <w:rPr>
          <w:b/>
          <w:sz w:val="24"/>
        </w:rPr>
        <w:t>1.名称与编号</w:t>
      </w:r>
    </w:p>
    <w:p>
      <w:pPr>
        <w:ind w:firstLine="480"/>
      </w:pPr>
      <w:r>
        <w:rPr/>
        <w:t>项目名称：</w:t>
      </w:r>
      <w:r>
        <w:rPr/>
        <w:t>广东省农作物现代种业产业园项目---蔬菜风味和分子育种研究设备采购</w:t>
      </w:r>
    </w:p>
    <w:p>
      <w:pPr>
        <w:ind w:firstLine="480"/>
      </w:pPr>
      <w:r>
        <w:rPr/>
        <w:t>采购计划编号：</w:t>
      </w:r>
      <w:r>
        <w:rPr/>
        <w:t>440001-2022-36007</w:t>
      </w:r>
    </w:p>
    <w:p>
      <w:pPr>
        <w:ind w:firstLine="480"/>
      </w:pPr>
      <w:r>
        <w:rPr/>
        <w:t>采购项目编号：</w:t>
      </w:r>
      <w:r>
        <w:rPr/>
        <w:t>GZGK22P097A0342Z</w:t>
      </w:r>
    </w:p>
    <w:p>
      <w:pPr>
        <w:ind w:firstLine="480"/>
      </w:pPr>
      <w:r>
        <w:rPr/>
        <w:t>采购方式：</w:t>
      </w:r>
      <w:r>
        <w:rPr/>
        <w:t>公开招标</w:t>
      </w:r>
    </w:p>
    <w:p>
      <w:pPr>
        <w:ind w:firstLine="480"/>
      </w:pPr>
      <w:r>
        <w:rPr/>
        <w:t>预算金额：</w:t>
      </w:r>
      <w:r>
        <w:rPr/>
        <w:t>1,987,000.00</w:t>
      </w:r>
      <w:r>
        <w:rPr/>
        <w:t>元</w:t>
      </w:r>
    </w:p>
    <w:p>
      <w:r>
        <w:rPr>
          <w:b/>
          <w:sz w:val="24"/>
        </w:rPr>
        <w:t>2.项目内容及需求情况（采购项目技术规格、参数及要求）</w:t>
      </w:r>
    </w:p>
    <w:p>
      <w:pPr>
        <w:ind w:firstLine="480"/>
      </w:pPr>
    </w:p>
    <w:p/>
    <w:p>
      <w:r>
        <w:rPr/>
        <w:t>采购包1(嗅闻仪-气质联用仪系统):</w:t>
      </w:r>
    </w:p>
    <w:p>
      <w:r>
        <w:rPr/>
        <w:t>采购包预算金额：1,349,000.00元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质谱仪</w:t>
            </w:r>
          </w:p>
        </w:tc>
        <w:tc>
          <w:tcPr>
            <w:tcW w:type="dxa" w:w="2136"/>
          </w:tcPr>
          <w:p>
            <w:r>
              <w:rPr/>
              <w:t>嗅闻仪-气质联用仪系统</w:t>
            </w:r>
          </w:p>
        </w:tc>
        <w:tc>
          <w:tcPr>
            <w:tcW w:type="dxa" w:w="1187"/>
          </w:tcPr>
          <w:p>
            <w:r>
              <w:rPr/>
              <w:t>1.0000(项)</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t>采购包2(溶剂辅助蒸馏装置):</w:t>
      </w:r>
    </w:p>
    <w:p>
      <w:r>
        <w:rPr/>
        <w:t>采购包预算金额：108,000.00元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蒸馏及分离式分析仪</w:t>
            </w:r>
          </w:p>
        </w:tc>
        <w:tc>
          <w:tcPr>
            <w:tcW w:type="dxa" w:w="2136"/>
          </w:tcPr>
          <w:p>
            <w:r>
              <w:rPr/>
              <w:t>溶剂辅助蒸馏装置</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采购包3(荧光定量基因扩增仪等):</w:t>
      </w:r>
    </w:p>
    <w:p>
      <w:r>
        <w:rPr/>
        <w:t>采购包预算金额：530,000.00元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其他仪器仪表</w:t>
            </w:r>
          </w:p>
        </w:tc>
        <w:tc>
          <w:tcPr>
            <w:tcW w:type="dxa" w:w="2136"/>
          </w:tcPr>
          <w:p>
            <w:r>
              <w:rPr/>
              <w:t>轮转式切片机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其他仪器仪表</w:t>
            </w:r>
          </w:p>
        </w:tc>
        <w:tc>
          <w:tcPr>
            <w:tcW w:type="dxa" w:w="2136"/>
          </w:tcPr>
          <w:p>
            <w:r>
              <w:rPr/>
              <w:t>烤片机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显微镜</w:t>
            </w:r>
          </w:p>
        </w:tc>
        <w:tc>
          <w:tcPr>
            <w:tcW w:type="dxa" w:w="2136"/>
          </w:tcPr>
          <w:p>
            <w:r>
              <w:rPr/>
              <w:t>普通倒置显微镜</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3-4</w:t>
            </w:r>
          </w:p>
        </w:tc>
        <w:tc>
          <w:tcPr>
            <w:tcW w:type="dxa" w:w="1424"/>
          </w:tcPr>
          <w:p>
            <w:r>
              <w:rPr/>
              <w:t>其他仪器仪表</w:t>
            </w:r>
          </w:p>
        </w:tc>
        <w:tc>
          <w:tcPr>
            <w:tcW w:type="dxa" w:w="2136"/>
          </w:tcPr>
          <w:p>
            <w:r>
              <w:rPr/>
              <w:t>荧光定量基因扩增仪</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采购包1（嗅闻仪-气质联用仪系统）：</w:t>
      </w:r>
      <w:r>
        <w:rPr/>
        <w:t>本采购包不属于专门面向中小企业采购的项目。</w:t>
      </w:r>
    </w:p>
    <w:p>
      <w:pPr>
        <w:jc w:val="left"/>
      </w:pPr>
    </w:p>
    <w:p>
      <w:r>
        <w:rPr/>
        <w:t>采购包2（溶剂辅助蒸馏装置）：</w:t>
      </w:r>
      <w:r>
        <w:rPr/>
        <w:t>本采购包不属于专门面向中小企业采购的项目。</w:t>
      </w:r>
    </w:p>
    <w:p>
      <w:pPr>
        <w:jc w:val="left"/>
      </w:pPr>
    </w:p>
    <w:p>
      <w:r>
        <w:rPr/>
        <w:t>采购包3（荧光定量基因扩增仪等）：</w:t>
      </w:r>
      <w:r>
        <w:rPr/>
        <w:t>本采购包不属于专门面向中小企业采购的项目。</w:t>
      </w:r>
    </w:p>
    <w:p/>
    <w:p>
      <w:r>
        <w:rPr>
          <w:b/>
          <w:sz w:val="24"/>
        </w:rPr>
        <w:t>3.本项目特定的资格要求：</w:t>
      </w:r>
    </w:p>
    <w:p>
      <w:pPr>
        <w:ind w:firstLine="480"/>
      </w:pPr>
    </w:p>
    <w:p/>
    <w:p>
      <w:r>
        <w:rPr/>
        <w:t>采购包1（嗅闻仪-气质联用仪系统）：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3)已获取本项目采购文件。</w:t>
      </w:r>
    </w:p>
    <w:p/>
    <w:p>
      <w:r>
        <w:rPr/>
        <w:t>采购包2（溶剂辅助蒸馏装置）：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3)已获取本项目采购文件。</w:t>
      </w:r>
    </w:p>
    <w:p/>
    <w:p>
      <w:r>
        <w:rPr/>
        <w:t>采购包3（荧光定量基因扩增仪等）：</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广东省农业科学院蔬菜研究所</w:t>
      </w:r>
    </w:p>
    <w:p>
      <w:pPr>
        <w:ind w:firstLine="480"/>
      </w:pPr>
      <w:r>
        <w:rPr/>
        <w:t>地址：</w:t>
      </w:r>
      <w:r>
        <w:rPr/>
        <w:t>广州市天河区金颖路66号</w:t>
      </w:r>
    </w:p>
    <w:p>
      <w:pPr>
        <w:ind w:firstLine="480"/>
      </w:pPr>
      <w:r>
        <w:rPr/>
        <w:t>联系方式：</w:t>
      </w:r>
      <w:r>
        <w:rPr/>
        <w:t>020- 38272530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020-31603842、87776423</w:t>
      </w:r>
    </w:p>
    <w:p>
      <w:r>
        <w:rPr>
          <w:b/>
          <w:sz w:val="24"/>
        </w:rPr>
        <w:t>3.项目联系方式</w:t>
      </w:r>
    </w:p>
    <w:p>
      <w:pPr>
        <w:ind w:firstLine="480"/>
      </w:pPr>
      <w:r>
        <w:rPr/>
        <w:t>项目联系人：</w:t>
      </w:r>
      <w:r>
        <w:rPr/>
        <w:t>李先生、董小姐</w:t>
      </w:r>
    </w:p>
    <w:p>
      <w:pPr>
        <w:ind w:firstLine="480"/>
      </w:pPr>
      <w:r>
        <w:rPr/>
        <w:t>电话：</w:t>
      </w:r>
      <w:r>
        <w:rPr/>
        <w:t>020-31603842、87776423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w:t>
      </w:r>
      <w:r>
        <w:rPr/>
        <w:t>GZGK22P097A0342Z</w:t>
      </w:r>
      <w:r>
        <w:br/>
      </w:r>
      <w:r>
        <w:rPr>
          <w:b/>
        </w:rPr>
        <w:t>（二）项目名称：</w:t>
      </w:r>
      <w:r>
        <w:rPr/>
        <w:t>广东省农作物现代种业产业园项目---蔬菜风味和分子育种研究设备采购</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13、不允许中标供应商转包、分包项目（中标采购包的）内容。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★16、投标人非生产厂家或制造商的，且所投产品为中华人民共和国境外提供的货物，须提供投标产品来源渠道合法的证明文件（原厂授权销售协议、代理协议、授权书、原产地证明等其中之一）。</w:t>
      </w:r>
    </w:p>
    <w:p>
      <w:r>
        <w:rPr>
          <w:b/>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 xml:space="preserve">   （一）采购人为科研单位，享受进口设备免税优惠政策，响应供应商如提供中华人民共和国关境外货物的报免进口环节税的价格（采购预算中单独注明为含税价格的除外）。</w:t>
      </w:r>
      <w:r>
        <w:br/>
      </w:r>
      <w:r>
        <w:rPr/>
        <w:t xml:space="preserve">   （二）报价方式：</w:t>
      </w:r>
      <w:r>
        <w:br/>
      </w:r>
      <w:r>
        <w:rPr/>
        <w:t>1、中华人民共和国关境内提供的货物以人民币报价。</w:t>
      </w:r>
      <w:r>
        <w:br/>
      </w:r>
      <w:r>
        <w:rPr/>
        <w:t>价格包括：货款、设计、安装、随机零配件、标配工具、运输保险、调试、培训、质量保证期服务、各项税费及合同实施过程中不可预见费用等。</w:t>
      </w:r>
      <w:r>
        <w:br/>
      </w:r>
      <w:r>
        <w:rPr/>
        <w:t>2、中华人民共和国关境外提供的货物以人民币报价。</w:t>
      </w:r>
      <w:r>
        <w:br/>
      </w:r>
      <w:r>
        <w:rPr/>
        <w:t>价格包括：</w:t>
      </w:r>
      <w:r>
        <w:br/>
      </w:r>
      <w:r>
        <w:rPr/>
        <w:t>（1）CIP广州口岸。</w:t>
      </w:r>
      <w:r>
        <w:br/>
      </w:r>
      <w:r>
        <w:rPr/>
        <w:t>（2）其他伴随服务费用：</w:t>
      </w:r>
      <w:r>
        <w:br/>
      </w:r>
      <w:r>
        <w:rPr/>
        <w:t>1）货物从进口口岸至最终目的地的关境内运输、保险和其他当地发生的伴随费用。</w:t>
      </w:r>
      <w:r>
        <w:br/>
      </w:r>
      <w:r>
        <w:rPr/>
        <w:t>2）安装与调试、验收、检验、培训、技术文件的移交、质量保证期服务、技术服务、卸货费及招标文件要求提供的其它服务。</w:t>
      </w:r>
      <w:r>
        <w:br/>
      </w:r>
      <w:r>
        <w:rPr/>
        <w:t>3）外贸进口有关的一切费用（如外贸公司代理费用、清关费用、银行手续费、海关监管手续费、报关费用、商检费用、申办机电批文费用、机场码头费等）。</w:t>
      </w:r>
      <w:r>
        <w:br/>
      </w:r>
      <w:r>
        <w:rPr/>
        <w:t>4）按照采购需求要求的除以上费用外的其他相关费用。</w:t>
      </w:r>
      <w:r>
        <w:br/>
      </w:r>
      <w:r>
        <w:rPr/>
        <w:t>3、投标人须在投标文件中提供列表明确各项货物的境外供应商名称。</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b/>
        </w:rPr>
        <w:t>（六）实现的功能</w:t>
      </w:r>
      <w:r>
        <w:br/>
      </w:r>
      <w:r>
        <w:rPr/>
        <w:t>用于广东省农作物现代种业产业园建设，配置一批蔬菜风味育种过程香气物质确定、蔬菜分子育种过程基因表达分析等相关研究的科研仪器设备。</w:t>
      </w:r>
      <w:r>
        <w:br/>
      </w:r>
      <w:r>
        <w:rPr>
          <w:b/>
        </w:rPr>
        <w:t>（七）需执行国家相关标准、行业标准、地方标准或者其他标准、规范。</w:t>
      </w:r>
    </w:p>
    <w:p/>
    <w:p>
      <w:pPr>
        <w:ind w:firstLine="480"/>
      </w:pPr>
    </w:p>
    <w:p/>
    <w:p>
      <w:r>
        <w:rPr/>
        <w:t>采购包1（嗅闻仪-气质联用仪系统）：</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中华人民共和国关境内提供的货物合同签订之日起 30 日（日历日）；中华人民共和国关境外提供的货物免税办理后120天内。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1期：支付比例100%，1、中标供应商提供中华人民共和国关境内货物的按以下方式付款： （1）合同生效后5个工作日,采购人向中标供应商支付合同总价的60%； （2）全部货物到现场后5个工作日,采购人向中标供应商支付合同总价的30%； （3）全部货物完成安装、调试并通过验收后5个工作日,采购人向中标供应商支付合同总价的10%； （4）每笔款项支付前，中标供应商须提交与每笔款项金额相等的发票； （5）支付方式：采用支票、银行汇付（含电汇）等形式。 2、中标供应商提供中华人民共和国关境外货物的按以下方式付款： （1）结算货币：人民币。 （2）本项目由采购人指定进口代理公司（采购人、中标供应商、进口代理公司签订三方合同），合同签订后5个工作日内，进口代理公司向采购人提交合同总价100%预付款保函； （3）采购人收到进口代理公司提交的预付款保函后5个工作日内，支付合同总价100%预付款给进口代理公司； （4）进口代理公司于收到预付款后5个工作日内，向中标供应商指定的境外供应商支付货款总额的60%；全部货物送达采购人指定地点后5个工作日内，进口代理公司向中标供应商指定的境外供应商支付货款总额的30%；全部货物完成安装、调试并通过验收后5个工作日内，进口代理公司向中标供应商指定的境外供应商支付货款总额的10%； （5）进口代理公司上交进口货物的进口所有单证、代理进口业务发票的原件、外商发票的原件、付汇水单的复印件（加盖进口代理公司的公章）给采购人。</w:t>
            </w:r>
          </w:p>
        </w:tc>
      </w:tr>
      <w:tr>
        <w:tc>
          <w:tcPr>
            <w:tcW w:type="dxa" w:w="4153"/>
          </w:tcPr>
          <w:p>
            <w:r>
              <w:rPr/>
              <w:t>验收要求</w:t>
            </w:r>
          </w:p>
        </w:tc>
        <w:tc>
          <w:tcPr>
            <w:tcW w:type="dxa" w:w="4153"/>
          </w:tcPr>
          <w:p>
            <w:pPr>
              <w:jc w:val="left"/>
            </w:p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Pr>
              <w:jc w:val="left"/>
            </w:pPr>
          </w:p>
          <w:p/>
          <w:p/>
          <w:p/>
          <w:p>
            <w:r>
              <w:rPr/>
              <w:t>收取比例：10%,说明：中标供应商与采购人签订合同后5个工作日内，按合同总价的10%(若中标供应商为中小企业则只收取5%)向采购人提交履约保证金（以支票、汇票、本票或者金融机构、担保机构出具的保函等非现金形式提交）。若中标供应商没有违约行为，履约保证金自全部设备验收合格之日起正常使用满3个月后15个工作日内由采购人以非现金形式无息退还中标供应商。 履约保证金不予退还的情形：拒绝履行合同义务的；履约验收不合格的。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技术培训:1、中标供应商每台设备提供现场安装调试和培训。 2、应提供完整的培训计划和方案，列明培训人员数量、达到的水平等，培训内容包括设备的操作、日常维修、简单故障的识别及排除等。培训天数不少于7天。培训所需全部费用均由中标供应商负责。“技术标准与要求”中另有要求的，以其中的要求为准。</w:t>
            </w:r>
          </w:p>
          <w:p/>
          <w:p>
            <w:r>
              <w:rPr/>
              <w:t>质量保证期:1、质量保证期  1  年。并提供终身维修服务。保修期内，所有服务及配件全部包含在报价中。 2、“技术标准与要求”中另有要求的，以其中的要求为准。 3、质量保证期自采购人和中标供应商代表在货物安装调试验收后的验收书上签字之日起计算。质量保证期内中标供应商对所供货物实行包修、包换、包退、包维护保养，保修期后设备维修配件更换只收取成本费用。 4、质量保证期内，如设备或零部件因非人为因素出现故障而造成短期停用时，则质量保证期相应顺延。如停用时间累计超过60天则质量保证期重新计算。 5、在质量保证期内，如货品非因采购人的人为原因而出现的问题由中标供应商负责保修、包换或包退，并承担修理、调换或退货的实际费用。 6、质量保证期内，中标供应商负责对其提供的货物整机进行维修和系统维护，不再收取任何费用，但非中标供应商责任的人为因素、自然因素（如火灾、雷击等）造成的故障除外。 7、质量保证期间，同一硬件一个月内连续2次出现同一故障，中标供应商须无偿更换同一档次货物。</w:t>
            </w:r>
          </w:p>
          <w:p/>
          <w:p>
            <w:r>
              <w:rPr/>
              <w:t>售后服务:对采购人的服务通知，中标供应商在接报后 2小时内响应，48小时内到达现场，96小时内处理完毕。若在96小时内仍未能有效解决，中标供应商须提供同一档次的设备予采购人临时使用。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质谱仪</w:t>
            </w:r>
          </w:p>
        </w:tc>
        <w:tc>
          <w:tcPr>
            <w:tcW w:type="dxa" w:w="1923"/>
          </w:tcPr>
          <w:p>
            <w:r>
              <w:rPr/>
              <w:t>嗅闻仪-气质联用仪系统</w:t>
            </w:r>
          </w:p>
        </w:tc>
        <w:tc>
          <w:tcPr>
            <w:tcW w:type="dxa" w:w="385"/>
          </w:tcPr>
          <w:p>
            <w:r>
              <w:rPr/>
              <w:t>项</w:t>
            </w:r>
          </w:p>
        </w:tc>
        <w:tc>
          <w:tcPr>
            <w:tcW w:type="dxa" w:w="769"/>
          </w:tcPr>
          <w:p>
            <w:pPr>
              <w:jc w:val="right"/>
            </w:pPr>
            <w:r>
              <w:rPr/>
              <w:t>1.0000</w:t>
            </w:r>
          </w:p>
        </w:tc>
        <w:tc>
          <w:tcPr>
            <w:tcW w:type="dxa" w:w="769"/>
          </w:tcPr>
          <w:p>
            <w:pPr>
              <w:jc w:val="right"/>
            </w:pPr>
            <w:r>
              <w:rPr/>
              <w:t>1,349,000.00</w:t>
            </w:r>
          </w:p>
        </w:tc>
        <w:tc>
          <w:tcPr>
            <w:tcW w:type="dxa" w:w="769"/>
          </w:tcPr>
          <w:p>
            <w:pPr>
              <w:jc w:val="right"/>
            </w:pPr>
            <w:r>
              <w:rPr/>
              <w:t>1,349,000.00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嗅闻仪-气质联用仪系统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一、工作环境条件</w:t>
            </w:r>
            <w:r>
              <w:br/>
            </w:r>
            <w:r>
              <w:rPr/>
              <w:t>1. 工作电压：220V5%，50Hz；</w:t>
            </w:r>
            <w:r>
              <w:br/>
            </w:r>
            <w:r>
              <w:rPr/>
              <w:t>2. 温度：18-26℃ （最佳环境）；15-31℃（操作环境）；</w:t>
            </w:r>
            <w:r>
              <w:br/>
            </w:r>
            <w:r>
              <w:rPr/>
              <w:t>3. 相对湿度：40-80%。</w:t>
            </w:r>
            <w:r>
              <w:br/>
            </w:r>
            <w:r>
              <w:rPr/>
              <w:t>二、 气相色谱部分</w:t>
            </w:r>
            <w:r>
              <w:br/>
            </w:r>
            <w:r>
              <w:rPr/>
              <w:t>1. 保留时间重现性：&lt;0.0008min；</w:t>
            </w:r>
            <w:r>
              <w:br/>
            </w:r>
            <w:r>
              <w:rPr/>
              <w:t>1.1 峰面积重现性：&lt;0.3% RSD；</w:t>
            </w:r>
            <w:r>
              <w:br/>
            </w:r>
            <w:r>
              <w:rPr/>
              <w:t>1.2  7英寸彩色电容触摸屏。</w:t>
            </w:r>
            <w:r>
              <w:br/>
            </w:r>
            <w:r>
              <w:rPr/>
              <w:t>2. 柱温箱</w:t>
            </w:r>
            <w:r>
              <w:br/>
            </w:r>
            <w:r>
              <w:rPr/>
              <w:t>2.1 操作温度范围：室温以上3℃到450℃；</w:t>
            </w:r>
            <w:r>
              <w:br/>
            </w:r>
            <w:r>
              <w:rPr/>
              <w:t>2.2 温度控制精度：至少0.1℃；</w:t>
            </w:r>
            <w:r>
              <w:br/>
            </w:r>
            <w:r>
              <w:rPr/>
              <w:t xml:space="preserve">★2.3程序升温：31阶／32平台。 </w:t>
            </w:r>
            <w:r>
              <w:br/>
            </w:r>
            <w:r>
              <w:rPr/>
              <w:t>3. 电子压力控制器</w:t>
            </w:r>
            <w:r>
              <w:br/>
            </w:r>
            <w:r>
              <w:rPr/>
              <w:t>★3.1压力范围：0～1050kPa（152psi）；</w:t>
            </w:r>
            <w:r>
              <w:br/>
            </w:r>
            <w:r>
              <w:rPr/>
              <w:t xml:space="preserve">3.2全程压力控制精度：至少 0.001psi； </w:t>
            </w:r>
            <w:r>
              <w:br/>
            </w:r>
            <w:r>
              <w:rPr/>
              <w:t xml:space="preserve">3.3最大分流比：12500:1。 </w:t>
            </w:r>
            <w:r>
              <w:br/>
            </w:r>
            <w:r>
              <w:rPr/>
              <w:t xml:space="preserve">4. 分流不分流进样口 </w:t>
            </w:r>
            <w:r>
              <w:br/>
            </w:r>
            <w:r>
              <w:rPr/>
              <w:t>▲4.1进样口即时联接模块设计，用户可2min之内更换进样口模块；</w:t>
            </w:r>
            <w:r>
              <w:br/>
            </w:r>
            <w:r>
              <w:rPr/>
              <w:t>4.2快速维护进样口系统，无需任何工具即可快速维护进样口，更换隔垫及衬管；</w:t>
            </w:r>
            <w:r>
              <w:br/>
            </w:r>
            <w:r>
              <w:rPr/>
              <w:t>4.3进样口冷顶部设计，在进样口设定300°C时，进样口顶部温度不超过100°C。</w:t>
            </w:r>
            <w:r>
              <w:br/>
            </w:r>
            <w:r>
              <w:rPr/>
              <w:t>三、质谱部分</w:t>
            </w:r>
            <w:r>
              <w:br/>
            </w:r>
            <w:r>
              <w:rPr/>
              <w:t>1 离子源</w:t>
            </w:r>
            <w:r>
              <w:br/>
            </w:r>
            <w:r>
              <w:rPr/>
              <w:t>1.1 无线式组装离子源，一体化设计，推斥极、离子盒、源透镜和RF透镜必须整合在单一的套筒内；</w:t>
            </w:r>
            <w:r>
              <w:br/>
            </w:r>
            <w:r>
              <w:rPr/>
              <w:t>1.2 无镀层的惰性材料，离子源独立加热控制，温度可到350℃；减少维护，增加运行时间；</w:t>
            </w:r>
            <w:r>
              <w:br/>
            </w:r>
            <w:r>
              <w:rPr/>
              <w:t>1.3 必须具备除源加热器之外的独立透镜加热器。独立的透镜加热器必须能给透镜和弯曲的离子光学通道额外提供加热，以减少复杂基质对透镜的污染，延长维护周期；</w:t>
            </w:r>
            <w:r>
              <w:br/>
            </w:r>
            <w:r>
              <w:rPr/>
              <w:t>★1.4灯丝和电子束必须与样品离子同一方向，以获得更高的离子化效率；</w:t>
            </w:r>
            <w:r>
              <w:br/>
            </w:r>
            <w:r>
              <w:rPr/>
              <w:t>1.5与离子通道同轴电子束聚焦磁铁，以获得更高的离子化效率；</w:t>
            </w:r>
            <w:r>
              <w:br/>
            </w:r>
            <w:r>
              <w:rPr/>
              <w:t>▲1.6精确调节的灯丝发射电流最大可到350 µA，需提供官方证明文件。</w:t>
            </w:r>
            <w:r>
              <w:br/>
            </w:r>
            <w:r>
              <w:rPr/>
              <w:t>2. “S”型弯曲的离子光学通道：在离子源和四极杆之间必须配备可加热S型弯曲的离子轨道。</w:t>
            </w:r>
            <w:r>
              <w:br/>
            </w:r>
            <w:r>
              <w:rPr/>
              <w:t>3. 四极杆质量分析器</w:t>
            </w:r>
            <w:r>
              <w:br/>
            </w:r>
            <w:r>
              <w:rPr/>
              <w:t>3.1全金属钼主四极杆，惰性，均一无镀层设计，可打磨可清洗；</w:t>
            </w:r>
            <w:r>
              <w:br/>
            </w:r>
            <w:r>
              <w:rPr/>
              <w:t>▲3.2质量范围：1.2 –1100 u，需提供官方证明文件；</w:t>
            </w:r>
            <w:r>
              <w:br/>
            </w:r>
            <w:r>
              <w:rPr/>
              <w:t>▲3.3电离能量范围：最低可设置3ev，需提供软件截屏；</w:t>
            </w:r>
            <w:r>
              <w:br/>
            </w:r>
            <w:r>
              <w:rPr/>
              <w:t>3.4无需独立进行加热；</w:t>
            </w:r>
            <w:r>
              <w:br/>
            </w:r>
            <w:r>
              <w:rPr/>
              <w:t>3.5分辨率：低至0.4 amu；</w:t>
            </w:r>
            <w:r>
              <w:br/>
            </w:r>
            <w:r>
              <w:rPr/>
              <w:t>3.6扫描速度：不得小于20000 u/s；</w:t>
            </w:r>
            <w:r>
              <w:br/>
            </w:r>
            <w:r>
              <w:rPr/>
              <w:t>3.7采集速率</w:t>
            </w:r>
            <w:r>
              <w:br/>
            </w:r>
            <w:r>
              <w:rPr/>
              <w:t>3.7.1 SIM模式：采集速率≥240 scans/sec；SRM模式：800SRM/sec；</w:t>
            </w:r>
            <w:r>
              <w:br/>
            </w:r>
            <w:r>
              <w:rPr/>
              <w:t>3.7.2 全扫描模式（扫描范围≥125u），采集速率≥97 scans/sec。</w:t>
            </w:r>
            <w:r>
              <w:br/>
            </w:r>
            <w:r>
              <w:rPr/>
              <w:t>▲3.8超快速EvoCell 碰撞池，使用高速光学通道以获得最高的离子传输率，在800SRM/sec速度下，仍可以保证高灵敏度，且结果没有记忆效应和交叉污染；</w:t>
            </w:r>
            <w:r>
              <w:br/>
            </w:r>
            <w:r>
              <w:rPr/>
              <w:t>3.9碰撞能量：0-60ev。</w:t>
            </w:r>
            <w:r>
              <w:br/>
            </w:r>
            <w:r>
              <w:rPr/>
              <w:t>★4. 气质接口：可调的气质接口温度最高400℃ ，可有效的将化合物，包括高沸点化合物从气相色谱仪传递到质谱仪，需提供仪器方法设置照片。</w:t>
            </w:r>
            <w:r>
              <w:br/>
            </w:r>
            <w:r>
              <w:rPr/>
              <w:t>5. 灯丝：</w:t>
            </w:r>
            <w:r>
              <w:br/>
            </w:r>
            <w:r>
              <w:rPr/>
              <w:t>5.1一体化的、同方向、并有灯丝透镜保护的双灯丝组件设计，有效调节发射电流；</w:t>
            </w:r>
            <w:r>
              <w:br/>
            </w:r>
            <w:r>
              <w:rPr/>
              <w:t>▲5.2灯丝具有透镜保护，不受样品电离时的污染，提高灯丝使用寿命；</w:t>
            </w:r>
            <w:r>
              <w:br/>
            </w:r>
            <w:r>
              <w:rPr/>
              <w:t>5.3双灯丝同时支持EI模式和CI模式。</w:t>
            </w:r>
            <w:r>
              <w:br/>
            </w:r>
            <w:r>
              <w:rPr/>
              <w:t>6. 检测器系统：</w:t>
            </w:r>
            <w:r>
              <w:br/>
            </w:r>
            <w:r>
              <w:rPr/>
              <w:t>6.1检测系统，配置离轴 10 kV 打拿极、离散打拿极电子倍增器和静电计，动态线性范围 &gt;107（0-110 μA）；</w:t>
            </w:r>
            <w:r>
              <w:br/>
            </w:r>
            <w:r>
              <w:rPr/>
              <w:t>▲6.2提供宽达9个数量级电子动态范围，需提供官方证明文件。</w:t>
            </w:r>
            <w:r>
              <w:br/>
            </w:r>
            <w:r>
              <w:rPr/>
              <w:t>7. 真空系统： 空气冷却的高真空大抽速分子涡轮泵。</w:t>
            </w:r>
            <w:r>
              <w:br/>
            </w:r>
            <w:r>
              <w:rPr/>
              <w:t>▲7.1单入口分子涡轮泵抽速为300L/s(He)，需提供官方证明文件；</w:t>
            </w:r>
            <w:r>
              <w:br/>
            </w:r>
            <w:r>
              <w:rPr/>
              <w:t>▲7.2前级机械泵抽速为3.3 m3/h或以上，需提供官方证明文件。</w:t>
            </w:r>
            <w:r>
              <w:br/>
            </w:r>
            <w:r>
              <w:rPr/>
              <w:t>8. 灵敏度：（使用氦气做载气）：</w:t>
            </w:r>
            <w:r>
              <w:br/>
            </w:r>
            <w:r>
              <w:rPr/>
              <w:t>▲8.1 信噪比： EI SRM: 1μL  100fg/μL 八氟萘进样, S/N≥100000:1(m/z272→ 222)，需提供官方证明文件；</w:t>
            </w:r>
            <w:r>
              <w:br/>
            </w:r>
            <w:r>
              <w:rPr/>
              <w:t>▲8.2 仪器检出限（IDL）≤0.3 fg，（1 fg OFN 八次连续不分流进样，监测 m/z 272 离子的峰面积，置信区间为 99％），需提供官方证明文件。</w:t>
            </w:r>
            <w:r>
              <w:br/>
            </w:r>
            <w:r>
              <w:rPr/>
              <w:t>9. 质谱数据采集</w:t>
            </w:r>
            <w:r>
              <w:br/>
            </w:r>
            <w:r>
              <w:rPr/>
              <w:t>9.1可对每段扫描的扫描速度、扫描范围、离子极性、棒状图或轮廓图的采集、发射电流、检测器增益，指定调谐文件进行控制。需提供软件截图；</w:t>
            </w:r>
            <w:r>
              <w:br/>
            </w:r>
            <w:r>
              <w:rPr/>
              <w:t>9.2 具有AutoSIM和Timed-SIM功能（即根据全扫描自动生成SIM定量离子和保留时间的方法，并根据每个分析物的保留时间自动分配以该化合物保留时间为中心的SIM片段采集方法）；</w:t>
            </w:r>
            <w:r>
              <w:br/>
            </w:r>
            <w:r>
              <w:rPr/>
              <w:t>9.3  In-Sequence tune：运行完整序列，在样品间自动调谐质谱，诊断质谱状态，无需人为手动操作即可完成。</w:t>
            </w:r>
            <w:r>
              <w:br/>
            </w:r>
            <w:r>
              <w:rPr/>
              <w:t>10. 数据处理软件及谱库</w:t>
            </w:r>
            <w:r>
              <w:br/>
            </w:r>
            <w:r>
              <w:rPr/>
              <w:t>10.1仪器方法，处理方法统一包含在序列里，无需单独建立仪器方法和处理方法文件夹，方便数据备份以及快速引用。需提供仪器方法，处理方法统一包含在序列里软件截图；</w:t>
            </w:r>
            <w:r>
              <w:br/>
            </w:r>
            <w:r>
              <w:rPr/>
              <w:t>10.2 在查看正在运行或已运行完成的样品队列时，无需打开色谱文件，即可通过缩略图查看样品色谱图可查看序列中任意的色谱图、质谱图、校正曲线、方法设置和结果。当处理方法参数发生变化时，无需重新手工执行积分处理，所有相关的图会即时自动更新。</w:t>
            </w:r>
            <w:r>
              <w:br/>
            </w:r>
            <w:r>
              <w:rPr/>
              <w:t>四、三合一自动进样器</w:t>
            </w:r>
            <w:r>
              <w:br/>
            </w:r>
            <w:r>
              <w:rPr/>
              <w:t>1. 液体进样</w:t>
            </w:r>
            <w:r>
              <w:br/>
            </w:r>
            <w:r>
              <w:rPr/>
              <w:t>1.1样品容量：160位或以上2ml样品瓶；</w:t>
            </w:r>
            <w:r>
              <w:br/>
            </w:r>
            <w:r>
              <w:rPr/>
              <w:t>1.2兼容两种长度的进样针，可在任何进样模式，进样口下进样。</w:t>
            </w:r>
            <w:r>
              <w:br/>
            </w:r>
            <w:r>
              <w:rPr/>
              <w:t>2.顶空进样</w:t>
            </w:r>
            <w:r>
              <w:br/>
            </w:r>
            <w:r>
              <w:rPr/>
              <w:t>2.1样品容量：60位或以上20ml样品瓶；</w:t>
            </w:r>
            <w:r>
              <w:br/>
            </w:r>
            <w:r>
              <w:rPr/>
              <w:t>2.2加热位：6个或以上；</w:t>
            </w:r>
            <w:r>
              <w:br/>
            </w:r>
            <w:r>
              <w:rPr/>
              <w:t>2.3孵化箱温度：200°C。</w:t>
            </w:r>
            <w:r>
              <w:br/>
            </w:r>
            <w:r>
              <w:rPr/>
              <w:t>3. 固相微萃取进样</w:t>
            </w:r>
            <w:r>
              <w:br/>
            </w:r>
            <w:r>
              <w:rPr/>
              <w:t>3.1孵化箱温度：200°C；</w:t>
            </w:r>
            <w:r>
              <w:br/>
            </w:r>
            <w:r>
              <w:rPr/>
              <w:t>3.2同一个进样序列，可实现不同类型的纤维头进样。</w:t>
            </w:r>
            <w:r>
              <w:br/>
            </w:r>
            <w:r>
              <w:rPr/>
              <w:t>五、嗅闻仪</w:t>
            </w:r>
            <w:r>
              <w:br/>
            </w:r>
            <w:r>
              <w:rPr/>
              <w:t>1. 技术参数</w:t>
            </w:r>
            <w:r>
              <w:br/>
            </w:r>
            <w:r>
              <w:rPr/>
              <w:t>1.1具有惰性化的传输线，≤70cm，最高温度达350℃；</w:t>
            </w:r>
            <w:r>
              <w:br/>
            </w:r>
            <w:r>
              <w:rPr/>
              <w:t>1.2加热系统控温范围：50℃-350℃，控温精度要求≤0.1℃；</w:t>
            </w:r>
            <w:r>
              <w:br/>
            </w:r>
            <w:r>
              <w:rPr/>
              <w:t>1.3能加热保温传输，实现同时平行检测；</w:t>
            </w:r>
            <w:r>
              <w:br/>
            </w:r>
            <w:r>
              <w:rPr/>
              <w:t>1.4加热辅助气为He或N2；</w:t>
            </w:r>
            <w:r>
              <w:br/>
            </w:r>
            <w:r>
              <w:rPr/>
              <w:t>1.5采用特定技术设定分流，分流比可以调节；</w:t>
            </w:r>
            <w:r>
              <w:br/>
            </w:r>
            <w:r>
              <w:rPr/>
              <w:t>▲1.6平行测定接口不存在死体积，完全惰性化处理；</w:t>
            </w:r>
            <w:r>
              <w:br/>
            </w:r>
            <w:r>
              <w:rPr/>
              <w:t>1.7加湿系统的湿度可调，能保证人鼻安全舒适的感官评价；</w:t>
            </w:r>
            <w:r>
              <w:br/>
            </w:r>
            <w:r>
              <w:rPr/>
              <w:t>1.8独立的混合腔，可加热，避免高沸点物质冷凝；</w:t>
            </w:r>
            <w:r>
              <w:br/>
            </w:r>
            <w:r>
              <w:rPr/>
              <w:t>1.9流路控制：配备质量流路控制器；</w:t>
            </w:r>
            <w:r>
              <w:br/>
            </w:r>
            <w:r>
              <w:rPr/>
              <w:t>1.10使用声音识别软件对峰自动标记：将操作者的感受以完整的文件记录；</w:t>
            </w:r>
            <w:r>
              <w:br/>
            </w:r>
            <w:r>
              <w:rPr/>
              <w:t>1.11与各主流品牌标准气相色谱仪兼容，组成一个完整的测量系统；</w:t>
            </w:r>
            <w:r>
              <w:br/>
            </w:r>
            <w:r>
              <w:rPr/>
              <w:t>1.12接口通道数量≥4：通道独立连接色谱柱、主机、FID/MS检测器以及另一检测器模块；</w:t>
            </w:r>
            <w:r>
              <w:br/>
            </w:r>
            <w:r>
              <w:rPr/>
              <w:t>1.13与大多数标准检测器平行使用，包括质谱检测器；</w:t>
            </w:r>
            <w:r>
              <w:br/>
            </w:r>
            <w:r>
              <w:rPr/>
              <w:t>1.14可以与实验室现有气相色谱－质谱联用仪有良好的连接（接口在侧面）；</w:t>
            </w:r>
            <w:r>
              <w:br/>
            </w:r>
            <w:r>
              <w:rPr/>
              <w:t>★1.15</w:t>
            </w:r>
            <w:r>
              <w:rPr>
                <w:sz w:val="21"/>
              </w:rPr>
              <w:t>操作软件可以兼容所有类型的色谱，色谱质谱仪器</w:t>
            </w:r>
            <w:r>
              <w:rPr/>
              <w:t>。</w:t>
            </w:r>
            <w:r>
              <w:br/>
            </w:r>
            <w:r>
              <w:rPr/>
              <w:t>六、 配置要求</w:t>
            </w:r>
            <w:r>
              <w:br/>
            </w:r>
            <w:r>
              <w:rPr/>
              <w:t>1. 气相色谱主机，含7英寸显示屏1个，分流/不分流进样口1个；</w:t>
            </w:r>
            <w:r>
              <w:br/>
            </w:r>
            <w:r>
              <w:rPr/>
              <w:t>2. 三合一自动进样器一套，包括液体进样，顶空进样和固相微萃取进样三种模式；</w:t>
            </w:r>
            <w:r>
              <w:br/>
            </w:r>
            <w:r>
              <w:rPr/>
              <w:t>3. 三重四极杆质谱主机1套；</w:t>
            </w:r>
            <w:r>
              <w:br/>
            </w:r>
            <w:r>
              <w:rPr/>
              <w:t>4. 安装工具包1套；</w:t>
            </w:r>
            <w:r>
              <w:br/>
            </w:r>
            <w:r>
              <w:rPr/>
              <w:t>5. 耗材包1套，包括：包括超高惰性分流衬管5个，超高惰性不分流衬管5个，低流失隔垫50个，O圈5个，石墨垫10个，柱螺帽5个，进样针1根，进样瓶100个；</w:t>
            </w:r>
            <w:r>
              <w:br/>
            </w:r>
            <w:r>
              <w:rPr/>
              <w:t>6. 载气过滤器1套；</w:t>
            </w:r>
            <w:r>
              <w:br/>
            </w:r>
            <w:r>
              <w:rPr/>
              <w:t>7. 泵油1L；</w:t>
            </w:r>
            <w:r>
              <w:br/>
            </w:r>
            <w:r>
              <w:rPr/>
              <w:t>8. 样品瓶100个，顶空样品瓶125个；</w:t>
            </w:r>
            <w:r>
              <w:br/>
            </w:r>
            <w:r>
              <w:rPr/>
              <w:t>9. 色谱柱3根：低极性30m1根，低极性60m1根，高极性30m1根；</w:t>
            </w:r>
            <w:r>
              <w:br/>
            </w:r>
            <w:r>
              <w:rPr/>
              <w:t>10. 软件1套；</w:t>
            </w:r>
            <w:r>
              <w:br/>
            </w:r>
            <w:r>
              <w:rPr/>
              <w:t>11. 数据处理系统2套；</w:t>
            </w:r>
            <w:r>
              <w:br/>
            </w:r>
            <w:r>
              <w:rPr/>
              <w:t>12. 嗅闻仪1套，包括：嗅觉检测口主机一台，操作手柄一个，操作软件一套。</w:t>
            </w:r>
            <w:r>
              <w:br/>
            </w:r>
            <w:r>
              <w:rPr/>
              <w:t>七、 售后服务：</w:t>
            </w:r>
            <w:r>
              <w:br/>
            </w:r>
            <w:r>
              <w:rPr/>
              <w:t>7.1、供应商必须提供仪器的现场安装调试，并同时在现场对用户进行操作及维护培训；</w:t>
            </w:r>
            <w:r>
              <w:br/>
            </w:r>
            <w:r>
              <w:rPr/>
              <w:t>7.2、供应商在国内必须设有分析仪器教育中心，为用户提供仪器基本原理、操作、日常维护及基础分析仪器理论课程和相关的应用培训；</w:t>
            </w:r>
            <w:r>
              <w:br/>
            </w:r>
            <w:r>
              <w:rPr/>
              <w:t>7.3、仪器在调试通过后提供一年保修服务，在保修期内，所有服务及配件所需全部费用均包含在投标报价中；</w:t>
            </w:r>
            <w:r>
              <w:br/>
            </w:r>
            <w:r>
              <w:rPr/>
              <w:t>7.4、供应商在国内必须设有专业的维修站，有专职的维修工程师及应用工程师有效保证售后维修的及时、快捷，并负责提供技术支持，4小时响应，48小时到场，保证仪器的正常操作。</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采购包2（溶剂辅助蒸馏装置）：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中华人民共和国关境内提供的货物合同签订之日起 30 日（日历日）；中华人民共和国关境外提供的货物免税办理后120天内。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1期：支付比例100%，1、合同生效后5个工作日,采购人向中标供应商支付合同总价的60%； 2、全部货物到现场后5个工作日,采购人向中标供应商支付合同总价的30%； 3、全部货物完成安装、调试并通过验收后5个工作日,采购人向中标供应商支付合同总价的10%； 4、每笔款项支付前，中标供应商须提交与每笔款项金额相等的发票； 5、支付方式：采用支票、银行汇付（含电汇）等形式。</w:t>
            </w:r>
          </w:p>
        </w:tc>
      </w:tr>
      <w:tr>
        <w:tc>
          <w:tcPr>
            <w:tcW w:type="dxa" w:w="4153"/>
          </w:tcPr>
          <w:p>
            <w:r>
              <w:rPr/>
              <w:t>验收要求</w:t>
            </w:r>
          </w:p>
        </w:tc>
        <w:tc>
          <w:tcPr>
            <w:tcW w:type="dxa" w:w="4153"/>
          </w:tcPr>
          <w:p>
            <w:pPr>
              <w:jc w:val="left"/>
            </w:p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Pr>
              <w:jc w:val="left"/>
            </w:pPr>
          </w:p>
          <w:p/>
          <w:p/>
          <w:p/>
          <w:p>
            <w:r>
              <w:rPr/>
              <w:t>收取比例：10%,说明：中标供应商与采购人签订合同后5个工作日内，按合同总价的10%(若中标供应商为中小企业则只收取5%)向采购人提交履约保证金（以支票、汇票、本票或者金融机构、担保机构出具的保函等非现金形式提交）。若中标供应商没有违约行为，履约保证金自全部设备验收合格之日起正常使用满3个月后15个工作日内由采购人以非现金形式无息退还中标供应商。 履约保证金不予退还的情形：拒绝履行合同义务的；履约验收不合格的。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技术培训:1、中标供应商每台设备提供现场安装调试和培训。 2、应提供完整的培训计划和方案，列明培训人员数量、达到的水平等，培训内容包括设备的操作、日常维修、简单故障的识别及排除等。培训天数不少于7天。培训所需全部费用均由中标供应商负责。“技术标准与要求”中另有要求的，以其中的要求为准。</w:t>
            </w:r>
          </w:p>
          <w:p/>
          <w:p>
            <w:r>
              <w:rPr/>
              <w:t>质量保证期:1、质量保证期  1  年。并提供终身维修服务。保修期内，所有服务及配件全部包含在报价中。 2、“技术标准与要求”中另有要求的，以其中的要求为准。 3、质量保证期自采购人和中标供应商代表在货物安装调试验收后的验收书上签字之日起计算。质量保证期内中标供应商对所供货物实行包修、包换、包退、包维护保养，保修期后设备维修配件更换只收取成本费用。 4、质量保证期内，如设备或零部件因非人为因素出现故障而造成短期停用时，则质量保证期相应顺延。如停用时间累计超过60天则质量保证期重新计算。 5、在质量保证期内，如货品非因采购人的人为原因而出现的问题由中标供应商负责保修、包换或包退，并承担修理、调换或退货的实际费用。 6、质量保证期内，中标供应商负责对其提供的货物整机进行维修和系统维护，不再收取任何费用，但非中标供应商责任的人为因素、自然因素（如火灾、雷击等）造成的故障除外。 7、质量保证期间，同一硬件一个月内连续2次出现同一故障，中标供应商须无偿更换同一档次货物。</w:t>
            </w:r>
          </w:p>
          <w:p/>
          <w:p>
            <w:r>
              <w:rPr/>
              <w:t>售后服务:对采购人的服务通知，中标供应商在接报后 2小时内响应，48小时内到达现场，96小时内处理完毕。若在96小时内仍未能有效解决，中标供应商须提供同一档次的设备予采购人临时使用。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蒸馏及分离式分析仪</w:t>
            </w:r>
          </w:p>
        </w:tc>
        <w:tc>
          <w:tcPr>
            <w:tcW w:type="dxa" w:w="1923"/>
          </w:tcPr>
          <w:p>
            <w:r>
              <w:rPr/>
              <w:t>溶剂辅助蒸馏装置</w:t>
            </w:r>
          </w:p>
        </w:tc>
        <w:tc>
          <w:tcPr>
            <w:tcW w:type="dxa" w:w="385"/>
          </w:tcPr>
          <w:p>
            <w:r>
              <w:rPr/>
              <w:t>套</w:t>
            </w:r>
          </w:p>
        </w:tc>
        <w:tc>
          <w:tcPr>
            <w:tcW w:type="dxa" w:w="769"/>
          </w:tcPr>
          <w:p>
            <w:pPr>
              <w:jc w:val="right"/>
            </w:pPr>
            <w:r>
              <w:rPr/>
              <w:t>1.0000</w:t>
            </w:r>
          </w:p>
        </w:tc>
        <w:tc>
          <w:tcPr>
            <w:tcW w:type="dxa" w:w="769"/>
          </w:tcPr>
          <w:p>
            <w:pPr>
              <w:jc w:val="right"/>
            </w:pPr>
            <w:r>
              <w:rPr/>
              <w:t>108,000.00</w:t>
            </w:r>
          </w:p>
        </w:tc>
        <w:tc>
          <w:tcPr>
            <w:tcW w:type="dxa" w:w="769"/>
          </w:tcPr>
          <w:p>
            <w:pPr>
              <w:jc w:val="right"/>
            </w:pPr>
            <w:r>
              <w:rPr/>
              <w:t>108,000.00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溶剂辅助蒸馏装置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一、技术指标</w:t>
            </w:r>
            <w:r>
              <w:br/>
            </w:r>
            <w:r>
              <w:rPr/>
              <w:t>1.快速、准确地分离食品中的挥发性香气物质，适用于溶剂萃取液、水性食品、水性食品悬浊液等。低温操作，避免温度对样品的影响，对于高沸点的挥发性香气也能实现高回收率。</w:t>
            </w:r>
            <w:r>
              <w:br/>
            </w:r>
            <w:r>
              <w:rPr/>
              <w:t>2.整套系统的工作真空度不高于10-3Pa。</w:t>
            </w:r>
            <w:r>
              <w:br/>
            </w:r>
            <w:r>
              <w:rPr/>
              <w:t>3.溶剂辅助蒸馏器由高纯度玻璃原料制成，一次高温成型。装置内部管路设计合理，保证挥发物质与冷却水、冷阱充分接触。</w:t>
            </w:r>
            <w:r>
              <w:br/>
            </w:r>
            <w:r>
              <w:rPr/>
              <w:t>4.整套系统密闭性能卓越，能在10-5Pa的高真空度下正常工作。</w:t>
            </w:r>
            <w:r>
              <w:br/>
            </w:r>
            <w:r>
              <w:rPr/>
              <w:t>5.分子泵的抽气速度：≥150L/s，极限真空度不低于10-5Pa。</w:t>
            </w:r>
            <w:r>
              <w:br/>
            </w:r>
            <w:r>
              <w:rPr/>
              <w:t>6.包含全量程真空计，可实时显示系统内部的真空度。</w:t>
            </w:r>
            <w:r>
              <w:br/>
            </w:r>
            <w:r>
              <w:rPr/>
              <w:t>7.提供整套系统专用连接组件，保证系统真空度符合操作要求。</w:t>
            </w:r>
            <w:r>
              <w:br/>
            </w:r>
            <w:r>
              <w:rPr/>
              <w:t>8. 配备外循环水浴，水浴温度范围：25-60℃，外循环流量：≥6L/min。</w:t>
            </w:r>
            <w:r>
              <w:br/>
            </w:r>
            <w:r>
              <w:rPr/>
              <w:t>9.整套系统控温精度：± 0.1℃。</w:t>
            </w:r>
            <w:r>
              <w:br/>
            </w:r>
            <w:r>
              <w:rPr/>
              <w:t>10.提供水浴杯，保证水浴温度与溶剂辅助蒸馏器内循环水温度一致。</w:t>
            </w:r>
            <w:r>
              <w:br/>
            </w:r>
            <w:r>
              <w:rPr/>
              <w:t>11.通过韦氏蒸馏器对溶剂辅助蒸馏器处理后样品进行除去溶剂操作。</w:t>
            </w:r>
            <w:r>
              <w:br/>
            </w:r>
            <w:r>
              <w:rPr/>
              <w:t>12.通过微蒸馏器对韦氏蒸馏器处理后样品进行最终浓缩，最低浓缩体积为15-100µl。</w:t>
            </w:r>
            <w:r>
              <w:br/>
            </w:r>
            <w:r>
              <w:rPr/>
              <w:t>★13.微蒸馏器利用螺旋分馏柱在真空套管内分离溶剂与非挥发性组分，有效提高沸点≥100℃的挥发物的回收率，最大样品量：5ml。</w:t>
            </w:r>
            <w:r>
              <w:br/>
            </w:r>
            <w:r>
              <w:rPr/>
              <w:t>14.包含必备固定部件及连接组件，保证各个玻璃部件固定牢固且方便操作。</w:t>
            </w:r>
            <w:r>
              <w:br/>
            </w:r>
            <w:r>
              <w:rPr/>
              <w:t>15.配备低温循环水泵，用于浓缩时快速冷凝溶剂，温度范围：0-60℃，控温精度不高于0.05℃。</w:t>
            </w:r>
            <w:r>
              <w:br/>
            </w:r>
            <w:r>
              <w:rPr/>
              <w:t>16.配置要求</w:t>
            </w:r>
          </w:p>
          <w:tbl>
            <w:tblPr>
              <w:tblBorders>
                <w:top w:val="none" w:color="000000" w:sz="4"/>
                <w:left w:val="none" w:color="000000" w:sz="4"/>
                <w:bottom w:val="none" w:color="000000" w:sz="4"/>
                <w:right w:val="none" w:color="000000" w:sz="4"/>
                <w:insideH w:val="none"/>
                <w:insideV w:val="none"/>
              </w:tblBorders>
            </w:tblPr>
            <w:tblGrid>
              <w:gridCol w:w="833"/>
              <w:gridCol w:w="2473"/>
              <w:gridCol w:w="1209"/>
              <w:gridCol w:w="1083"/>
            </w:tblGrid>
            <w:tr>
              <w:tc>
                <w:tcPr>
                  <w:tcW w:type="dxa" w:w="833"/>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2473"/>
                  <w:tcBorders>
                    <w:top w:val="single" w:color="000000" w:sz="4"/>
                    <w:left w:val="none" w:color="000000" w:sz="4"/>
                    <w:bottom w:val="single" w:color="000000" w:sz="4"/>
                    <w:right w:val="single" w:color="000000" w:sz="4"/>
                  </w:tcBorders>
                  <w:vAlign w:val="top"/>
                </w:tcPr>
                <w:p>
                  <w:pPr>
                    <w:jc w:val="center"/>
                  </w:pPr>
                  <w:r>
                    <w:rPr>
                      <w:b/>
                      <w:color w:val="000000"/>
                      <w:sz w:val="21"/>
                    </w:rPr>
                    <w:t>配置列表</w:t>
                  </w:r>
                </w:p>
              </w:tc>
              <w:tc>
                <w:tcPr>
                  <w:tcW w:type="dxa" w:w="1209"/>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c>
                <w:tcPr>
                  <w:tcW w:type="dxa" w:w="1083"/>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r>
            <w:tr>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473"/>
                  <w:tcBorders>
                    <w:top w:val="none" w:color="000000" w:sz="4"/>
                    <w:left w:val="none" w:color="000000" w:sz="4"/>
                    <w:bottom w:val="single" w:color="000000" w:sz="4"/>
                    <w:right w:val="single" w:color="000000" w:sz="4"/>
                  </w:tcBorders>
                  <w:vAlign w:val="top"/>
                </w:tcPr>
                <w:p>
                  <w:pPr>
                    <w:jc w:val="left"/>
                  </w:pPr>
                  <w:r>
                    <w:rPr>
                      <w:color w:val="000000"/>
                      <w:sz w:val="21"/>
                    </w:rPr>
                    <w:t>溶剂辅助蒸馏器</w:t>
                  </w:r>
                </w:p>
              </w:tc>
              <w:tc>
                <w:tcPr>
                  <w:tcW w:type="dxa" w:w="120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083"/>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473"/>
                  <w:tcBorders>
                    <w:top w:val="none" w:color="000000" w:sz="4"/>
                    <w:left w:val="none" w:color="000000" w:sz="4"/>
                    <w:bottom w:val="single" w:color="000000" w:sz="4"/>
                    <w:right w:val="single" w:color="000000" w:sz="4"/>
                  </w:tcBorders>
                  <w:vAlign w:val="top"/>
                </w:tcPr>
                <w:p>
                  <w:pPr>
                    <w:jc w:val="left"/>
                  </w:pPr>
                  <w:r>
                    <w:rPr>
                      <w:color w:val="000000"/>
                      <w:sz w:val="21"/>
                    </w:rPr>
                    <w:t>分子泵机组</w:t>
                  </w:r>
                </w:p>
              </w:tc>
              <w:tc>
                <w:tcPr>
                  <w:tcW w:type="dxa" w:w="120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083"/>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473"/>
                  <w:tcBorders>
                    <w:top w:val="none" w:color="000000" w:sz="4"/>
                    <w:left w:val="none" w:color="000000" w:sz="4"/>
                    <w:bottom w:val="single" w:color="000000" w:sz="4"/>
                    <w:right w:val="single" w:color="000000" w:sz="4"/>
                  </w:tcBorders>
                  <w:vAlign w:val="top"/>
                </w:tcPr>
                <w:p>
                  <w:pPr>
                    <w:jc w:val="left"/>
                  </w:pPr>
                  <w:r>
                    <w:rPr>
                      <w:color w:val="000000"/>
                      <w:sz w:val="21"/>
                    </w:rPr>
                    <w:t>超级恒温槽</w:t>
                  </w:r>
                </w:p>
              </w:tc>
              <w:tc>
                <w:tcPr>
                  <w:tcW w:type="dxa" w:w="120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083"/>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473"/>
                  <w:tcBorders>
                    <w:top w:val="none" w:color="000000" w:sz="4"/>
                    <w:left w:val="none" w:color="000000" w:sz="4"/>
                    <w:bottom w:val="single" w:color="000000" w:sz="4"/>
                    <w:right w:val="single" w:color="000000" w:sz="4"/>
                  </w:tcBorders>
                  <w:vAlign w:val="top"/>
                </w:tcPr>
                <w:p>
                  <w:pPr>
                    <w:jc w:val="left"/>
                  </w:pPr>
                  <w:r>
                    <w:rPr>
                      <w:color w:val="000000"/>
                      <w:sz w:val="21"/>
                    </w:rPr>
                    <w:t>水浴杯</w:t>
                  </w:r>
                </w:p>
              </w:tc>
              <w:tc>
                <w:tcPr>
                  <w:tcW w:type="dxa" w:w="120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083"/>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473"/>
                  <w:tcBorders>
                    <w:top w:val="none" w:color="000000" w:sz="4"/>
                    <w:left w:val="none" w:color="000000" w:sz="4"/>
                    <w:bottom w:val="single" w:color="000000" w:sz="4"/>
                    <w:right w:val="single" w:color="000000" w:sz="4"/>
                  </w:tcBorders>
                  <w:vAlign w:val="top"/>
                </w:tcPr>
                <w:p>
                  <w:pPr>
                    <w:jc w:val="left"/>
                  </w:pPr>
                  <w:r>
                    <w:rPr>
                      <w:color w:val="000000"/>
                      <w:sz w:val="21"/>
                    </w:rPr>
                    <w:t>连接附件及不锈钢</w:t>
                  </w:r>
                  <w:r>
                    <w:rPr>
                      <w:color w:val="000000"/>
                      <w:sz w:val="21"/>
                    </w:rPr>
                    <w:t>架</w:t>
                  </w:r>
                </w:p>
              </w:tc>
              <w:tc>
                <w:tcPr>
                  <w:tcW w:type="dxa" w:w="120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083"/>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473"/>
                  <w:tcBorders>
                    <w:top w:val="none" w:color="000000" w:sz="4"/>
                    <w:left w:val="none" w:color="000000" w:sz="4"/>
                    <w:bottom w:val="single" w:color="000000" w:sz="4"/>
                    <w:right w:val="single" w:color="000000" w:sz="4"/>
                  </w:tcBorders>
                  <w:vAlign w:val="top"/>
                </w:tcPr>
                <w:p>
                  <w:pPr>
                    <w:jc w:val="left"/>
                  </w:pPr>
                  <w:r>
                    <w:rPr>
                      <w:color w:val="000000"/>
                      <w:sz w:val="21"/>
                    </w:rPr>
                    <w:t>液氮罐</w:t>
                  </w:r>
                </w:p>
              </w:tc>
              <w:tc>
                <w:tcPr>
                  <w:tcW w:type="dxa" w:w="120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083"/>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473"/>
                  <w:tcBorders>
                    <w:top w:val="none" w:color="000000" w:sz="4"/>
                    <w:left w:val="none" w:color="000000" w:sz="4"/>
                    <w:bottom w:val="single" w:color="000000" w:sz="4"/>
                    <w:right w:val="single" w:color="000000" w:sz="4"/>
                  </w:tcBorders>
                  <w:vAlign w:val="top"/>
                </w:tcPr>
                <w:p>
                  <w:pPr>
                    <w:jc w:val="left"/>
                  </w:pPr>
                  <w:r>
                    <w:rPr>
                      <w:color w:val="000000"/>
                      <w:sz w:val="21"/>
                    </w:rPr>
                    <w:t>韦氏蒸馏器</w:t>
                  </w:r>
                </w:p>
              </w:tc>
              <w:tc>
                <w:tcPr>
                  <w:tcW w:type="dxa" w:w="120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083"/>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473"/>
                  <w:tcBorders>
                    <w:top w:val="none" w:color="000000" w:sz="4"/>
                    <w:left w:val="none" w:color="000000" w:sz="4"/>
                    <w:bottom w:val="single" w:color="000000" w:sz="4"/>
                    <w:right w:val="single" w:color="000000" w:sz="4"/>
                  </w:tcBorders>
                  <w:vAlign w:val="top"/>
                </w:tcPr>
                <w:p>
                  <w:pPr>
                    <w:jc w:val="left"/>
                  </w:pPr>
                  <w:r>
                    <w:rPr>
                      <w:color w:val="000000"/>
                      <w:sz w:val="21"/>
                    </w:rPr>
                    <w:t>微蒸馏器</w:t>
                  </w:r>
                </w:p>
              </w:tc>
              <w:tc>
                <w:tcPr>
                  <w:tcW w:type="dxa" w:w="120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083"/>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833"/>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473"/>
                  <w:tcBorders>
                    <w:top w:val="none" w:color="000000" w:sz="4"/>
                    <w:left w:val="none" w:color="000000" w:sz="4"/>
                    <w:bottom w:val="single" w:color="000000" w:sz="4"/>
                    <w:right w:val="single" w:color="000000" w:sz="4"/>
                  </w:tcBorders>
                  <w:vAlign w:val="top"/>
                </w:tcPr>
                <w:p>
                  <w:pPr>
                    <w:jc w:val="left"/>
                  </w:pPr>
                  <w:r>
                    <w:rPr>
                      <w:color w:val="000000"/>
                      <w:sz w:val="21"/>
                    </w:rPr>
                    <w:t>低温循环泵</w:t>
                  </w:r>
                </w:p>
              </w:tc>
              <w:tc>
                <w:tcPr>
                  <w:tcW w:type="dxa" w:w="120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1083"/>
                  <w:tcBorders>
                    <w:top w:val="none" w:color="000000" w:sz="4"/>
                    <w:left w:val="none" w:color="000000" w:sz="4"/>
                    <w:bottom w:val="single" w:color="000000" w:sz="4"/>
                    <w:right w:val="single" w:color="000000" w:sz="4"/>
                  </w:tcBorders>
                  <w:vAlign w:val="top"/>
                </w:tcPr>
                <w:p>
                  <w:pPr>
                    <w:jc w:val="center"/>
                  </w:pPr>
                  <w:r>
                    <w:rPr>
                      <w:color w:val="000000"/>
                      <w:sz w:val="21"/>
                    </w:rPr>
                    <w:t>台</w:t>
                  </w:r>
                </w:p>
              </w:tc>
            </w:tr>
          </w:tbl>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采购包3（荧光定量基因扩增仪等）：</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中华人民共和国关境内提供的货物合同签订之日起 30 日（日历日）；中华人民共和国关境外提供的货物免税办理后120天内。</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1期：支付比例100%，1、中标供应商提供中华人民共和国关境内货物的按以下方式付款： （1）合同生效后5个工作日,采购人向中标供应商支付合同总价的60%； （2）全部货物到现场后5个工作日,采购人向中标供应商支付合同总价的30%； （3）全部货物完成安装、调试并通过验收后5个工作日,采购人向中标供应商支付合同总价的10%； （4）每笔款项支付前，中标供应商须提交与每笔款项金额相等的发票； （5）支付方式：采用支票、银行汇付（含电汇）等形式。 2、中标供应商提供中华人民共和国关境外货物的按以下方式付款： （1）结算货币：人民币。 （2）本项目由采购人指定进口代理公司（采购人、中标供应商、进口代理公司签订三方合同），合同签订后5个工作日内，进口代理公司向采购人提交合同总价100%预付款保函； （3）采购人收到进口代理公司提交的预付款保函后5个工作日内，支付合同总价100%预付款给进口代理公司； （4）进口代理公司于收到预付款后5个工作日内，向中标供应商指定的境外供应商支付货款总额的60%；全部货物送达采购人指定地点后5个工作日内，进口代理公司向中标供应商指定的境外供应商支付货款总额的30%；全部货物完成安装、调试并通过验收后5个工作日内，进口代理公司向中标供应商指定的境外供应商支付货款总额的10%； （5）进口代理公司上交进口货物的进口所有单证、代理进口业务发票的原件、外商发票的原件、付汇水单的复印件（加盖进口代理公司的公章）给采购人。</w:t>
            </w:r>
          </w:p>
        </w:tc>
      </w:tr>
      <w:tr>
        <w:tc>
          <w:tcPr>
            <w:tcW w:type="dxa" w:w="4153"/>
          </w:tcPr>
          <w:p>
            <w:r>
              <w:rPr/>
              <w:t>验收要求</w:t>
            </w:r>
          </w:p>
        </w:tc>
        <w:tc>
          <w:tcPr>
            <w:tcW w:type="dxa" w:w="4153"/>
          </w:tcPr>
          <w:p>
            <w:pPr>
              <w:jc w:val="left"/>
            </w:p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Pr>
              <w:jc w:val="left"/>
            </w:pPr>
          </w:p>
          <w:p/>
          <w:p/>
          <w:p/>
          <w:p>
            <w:r>
              <w:rPr/>
              <w:t>收取比例：10%,说明：中标供应商与采购人签订合同后5个工作日内，按合同总价的10%(若中标供应商为中小企业则只收取5%)向采购人提交履约保证金（以支票、汇票、本票或者金融机构、担保机构出具的保函等非现金形式提交）。若中标供应商没有违约行为，履约保证金自全部设备验收合格之日起正常使用满3个月后15个工作日内由采购人以非现金形式无息退还中标供应商。 履约保证金不予退还的情形：拒绝履行合同义务的；履约验收不合格的。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技术培训:1、中标供应商每台设备提供现场安装调试和培训。 2、应提供完整的培训计划和方案，列明培训人员数量、达到的水平等，培训内容包括设备的操作、日常维修、简单故障的识别及排除等。培训天数不少于7天。培训所需全部费用均由中标供应商负责。“技术标准与要求”中另有要求的，以其中的要求为准。</w:t>
            </w:r>
          </w:p>
          <w:p/>
          <w:p>
            <w:r>
              <w:rPr/>
              <w:t>质量保证期:1、质量保证期  1  年。并提供终身维修服务。保修期内，所有服务及配件全部包含在报价中。 2、“技术标准与要求”中另有要求的，以其中的要求为准。 3、质量保证期自采购人和中标供应商代表在货物安装调试验收后的验收书上签字之日起计算。质量保证期内中标供应商对所供货物实行包修、包换、包退、包维护保养，保修期后设备维修配件更换只收取成本费用。 4、质量保证期内，如设备或零部件因非人为因素出现故障而造成短期停用时，则质量保证期相应顺延。如停用时间累计超过60天则质量保证期重新计算。 5、在质量保证期内，如货品非因采购人的人为原因而出现的问题由中标供应商负责保修、包换或包退，并承担修理、调换或退货的实际费用。 6、质量保证期内，中标供应商负责对其提供的货物整机进行维修和系统维护，不再收取任何费用，但非中标供应商责任的人为因素、自然因素（如火灾、雷击等）造成的故障除外。 7、质量保证期间，同一硬件一个月内连续2次出现同一故障，中标供应商须无偿更换同一档次货物。</w:t>
            </w:r>
          </w:p>
          <w:p/>
          <w:p>
            <w:r>
              <w:rPr/>
              <w:t>售后服务:对采购人的服务通知，中标供应商在接报后 2小时内响应，48小时内到达现场，96小时内处理完毕。若在96小时内仍未能有效解决，中标供应商须提供同一档次的设备予采购人临时使用。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其他仪器仪表</w:t>
            </w:r>
          </w:p>
        </w:tc>
        <w:tc>
          <w:tcPr>
            <w:tcW w:type="dxa" w:w="1923"/>
          </w:tcPr>
          <w:p>
            <w:r>
              <w:rPr/>
              <w:t>轮转式切片机</w:t>
            </w:r>
          </w:p>
        </w:tc>
        <w:tc>
          <w:tcPr>
            <w:tcW w:type="dxa" w:w="385"/>
          </w:tcPr>
          <w:p>
            <w:r>
              <w:rPr/>
              <w:t>台</w:t>
            </w:r>
          </w:p>
        </w:tc>
        <w:tc>
          <w:tcPr>
            <w:tcW w:type="dxa" w:w="769"/>
          </w:tcPr>
          <w:p>
            <w:pPr>
              <w:jc w:val="right"/>
            </w:pPr>
            <w:r>
              <w:rPr/>
              <w:t>1.0000</w:t>
            </w:r>
          </w:p>
        </w:tc>
        <w:tc>
          <w:tcPr>
            <w:tcW w:type="dxa" w:w="769"/>
          </w:tcPr>
          <w:p>
            <w:pPr>
              <w:jc w:val="right"/>
            </w:pPr>
            <w:r>
              <w:rPr/>
              <w:t>140,000.00</w:t>
            </w:r>
          </w:p>
        </w:tc>
        <w:tc>
          <w:tcPr>
            <w:tcW w:type="dxa" w:w="769"/>
          </w:tcPr>
          <w:p>
            <w:pPr>
              <w:jc w:val="right"/>
            </w:pPr>
            <w:r>
              <w:rPr/>
              <w:t>140,000.00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其他仪器仪表</w:t>
            </w:r>
          </w:p>
        </w:tc>
        <w:tc>
          <w:tcPr>
            <w:tcW w:type="dxa" w:w="1923"/>
          </w:tcPr>
          <w:p>
            <w:r>
              <w:rPr/>
              <w:t>烤片机</w:t>
            </w:r>
          </w:p>
        </w:tc>
        <w:tc>
          <w:tcPr>
            <w:tcW w:type="dxa" w:w="385"/>
          </w:tcPr>
          <w:p>
            <w:r>
              <w:rPr/>
              <w:t>台</w:t>
            </w:r>
          </w:p>
        </w:tc>
        <w:tc>
          <w:tcPr>
            <w:tcW w:type="dxa" w:w="769"/>
          </w:tcPr>
          <w:p>
            <w:pPr>
              <w:jc w:val="right"/>
            </w:pPr>
            <w:r>
              <w:rPr/>
              <w:t>1.0000</w:t>
            </w:r>
          </w:p>
        </w:tc>
        <w:tc>
          <w:tcPr>
            <w:tcW w:type="dxa" w:w="769"/>
          </w:tcPr>
          <w:p>
            <w:pPr>
              <w:jc w:val="right"/>
            </w:pPr>
            <w:r>
              <w:rPr/>
              <w:t>12,000.00</w:t>
            </w:r>
          </w:p>
        </w:tc>
        <w:tc>
          <w:tcPr>
            <w:tcW w:type="dxa" w:w="769"/>
          </w:tcPr>
          <w:p>
            <w:pPr>
              <w:jc w:val="right"/>
            </w:pPr>
            <w:r>
              <w:rPr/>
              <w:t>12,000.00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显微镜</w:t>
            </w:r>
          </w:p>
        </w:tc>
        <w:tc>
          <w:tcPr>
            <w:tcW w:type="dxa" w:w="1923"/>
          </w:tcPr>
          <w:p>
            <w:r>
              <w:rPr/>
              <w:t>普通倒置显微镜</w:t>
            </w:r>
          </w:p>
        </w:tc>
        <w:tc>
          <w:tcPr>
            <w:tcW w:type="dxa" w:w="385"/>
          </w:tcPr>
          <w:p>
            <w:r>
              <w:rPr/>
              <w:t>台</w:t>
            </w:r>
          </w:p>
        </w:tc>
        <w:tc>
          <w:tcPr>
            <w:tcW w:type="dxa" w:w="769"/>
          </w:tcPr>
          <w:p>
            <w:pPr>
              <w:jc w:val="right"/>
            </w:pPr>
            <w:r>
              <w:rPr/>
              <w:t>1.0000</w:t>
            </w:r>
          </w:p>
        </w:tc>
        <w:tc>
          <w:tcPr>
            <w:tcW w:type="dxa" w:w="769"/>
          </w:tcPr>
          <w:p>
            <w:pPr>
              <w:jc w:val="right"/>
            </w:pPr>
            <w:r>
              <w:rPr/>
              <w:t>100,000.00</w:t>
            </w:r>
          </w:p>
        </w:tc>
        <w:tc>
          <w:tcPr>
            <w:tcW w:type="dxa" w:w="769"/>
          </w:tcPr>
          <w:p>
            <w:pPr>
              <w:jc w:val="right"/>
            </w:pPr>
            <w:r>
              <w:rPr/>
              <w:t>100,000.00</w:t>
            </w:r>
          </w:p>
        </w:tc>
        <w:tc>
          <w:tcPr>
            <w:tcW w:type="dxa" w:w="769"/>
          </w:tcPr>
          <w:p>
            <w:r>
              <w:rPr/>
              <w:t>工业</w:t>
            </w:r>
          </w:p>
        </w:tc>
        <w:tc>
          <w:tcPr>
            <w:tcW w:type="dxa" w:w="385"/>
          </w:tcPr>
          <w:p>
            <w:r>
              <w:rPr/>
              <w:t>详见附表三</w:t>
            </w:r>
          </w:p>
        </w:tc>
      </w:tr>
      <w:tr>
        <w:tc>
          <w:tcPr>
            <w:tcW w:type="dxa" w:w="231"/>
          </w:tcPr>
          <w:p>
            <w:r>
              <w:rPr/>
              <w:t>4</w:t>
            </w:r>
          </w:p>
        </w:tc>
        <w:tc>
          <w:tcPr>
            <w:tcW w:type="dxa" w:w="385"/>
          </w:tcPr>
          <w:p>
            <w:r>
              <w:rPr/>
              <w:t>△</w:t>
            </w:r>
          </w:p>
        </w:tc>
        <w:tc>
          <w:tcPr>
            <w:tcW w:type="dxa" w:w="1923"/>
          </w:tcPr>
          <w:p>
            <w:r>
              <w:rPr/>
              <w:t>其他仪器仪表</w:t>
            </w:r>
          </w:p>
        </w:tc>
        <w:tc>
          <w:tcPr>
            <w:tcW w:type="dxa" w:w="1923"/>
          </w:tcPr>
          <w:p>
            <w:r>
              <w:rPr/>
              <w:t>荧光定量基因扩增仪</w:t>
            </w:r>
          </w:p>
        </w:tc>
        <w:tc>
          <w:tcPr>
            <w:tcW w:type="dxa" w:w="385"/>
          </w:tcPr>
          <w:p>
            <w:r>
              <w:rPr/>
              <w:t>台</w:t>
            </w:r>
          </w:p>
        </w:tc>
        <w:tc>
          <w:tcPr>
            <w:tcW w:type="dxa" w:w="769"/>
          </w:tcPr>
          <w:p>
            <w:pPr>
              <w:jc w:val="right"/>
            </w:pPr>
            <w:r>
              <w:rPr/>
              <w:t>1.0000</w:t>
            </w:r>
          </w:p>
        </w:tc>
        <w:tc>
          <w:tcPr>
            <w:tcW w:type="dxa" w:w="769"/>
          </w:tcPr>
          <w:p>
            <w:pPr>
              <w:jc w:val="right"/>
            </w:pPr>
            <w:r>
              <w:rPr/>
              <w:t>278,000.00</w:t>
            </w:r>
          </w:p>
        </w:tc>
        <w:tc>
          <w:tcPr>
            <w:tcW w:type="dxa" w:w="769"/>
          </w:tcPr>
          <w:p>
            <w:pPr>
              <w:jc w:val="right"/>
            </w:pPr>
            <w:r>
              <w:rPr/>
              <w:t>278,000.00</w:t>
            </w:r>
          </w:p>
        </w:tc>
        <w:tc>
          <w:tcPr>
            <w:tcW w:type="dxa" w:w="769"/>
          </w:tcPr>
          <w:p>
            <w:r>
              <w:rPr/>
              <w:t>工业</w:t>
            </w:r>
          </w:p>
        </w:tc>
        <w:tc>
          <w:tcPr>
            <w:tcW w:type="dxa" w:w="385"/>
          </w:tcPr>
          <w:p>
            <w:r>
              <w:rPr/>
              <w:t>详见附表四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轮转式切片机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一、性能参数：</w:t>
            </w:r>
            <w:r>
              <w:br/>
            </w:r>
            <w:r>
              <w:rPr/>
              <w:t>1.切片厚度范围为1-60μm。</w:t>
            </w:r>
            <w:r>
              <w:br/>
            </w:r>
            <w:r>
              <w:rPr/>
              <w:t>2.修块模式≥2种，修块厚度10µm和30µm。</w:t>
            </w:r>
            <w:r>
              <w:br/>
            </w:r>
            <w:r>
              <w:rPr/>
              <w:t>3.手动切片模式≥2种，半刀模式和全手轮旋转模式。</w:t>
            </w:r>
            <w:r>
              <w:br/>
            </w:r>
            <w:r>
              <w:rPr/>
              <w:t>4.水平进样幅度范围:≥24mm。</w:t>
            </w:r>
            <w:r>
              <w:br/>
            </w:r>
            <w:r>
              <w:rPr/>
              <w:t>★5.垂直样品行程范围：≥70mm。</w:t>
            </w:r>
            <w:r>
              <w:br/>
            </w:r>
            <w:r>
              <w:rPr/>
              <w:t>6.静音样品回缩范围：≥40μm。</w:t>
            </w:r>
            <w:r>
              <w:br/>
            </w:r>
            <w:r>
              <w:rPr/>
              <w:t>7.最大样品尺寸（L×H×W）≥55×50×30mm。</w:t>
            </w:r>
            <w:r>
              <w:br/>
            </w:r>
            <w:r>
              <w:rPr/>
              <w:t>8.手轮为弹簧原理平衡系统，手轮平滑。</w:t>
            </w:r>
            <w:r>
              <w:br/>
            </w:r>
            <w:r>
              <w:rPr/>
              <w:t>★9.二合一刀架可以同时适用于宽刀片和窄刀片。</w:t>
            </w:r>
            <w:r>
              <w:br/>
            </w:r>
            <w:r>
              <w:rPr/>
              <w:t>10.个性化的小手轮，可自定义顺时针及逆时针转动方向。</w:t>
            </w:r>
            <w:r>
              <w:br/>
            </w:r>
            <w:r>
              <w:rPr/>
              <w:t>11.带0位的样本定位系统，可对X/Y轴进行调节，8度水平定位样本。</w:t>
            </w:r>
            <w:r>
              <w:br/>
            </w:r>
            <w:r>
              <w:rPr/>
              <w:t>12.废屑槽可拆卸，具有抗静电功能和磁力吸附功能。</w:t>
            </w:r>
            <w:r>
              <w:br/>
            </w:r>
            <w:r>
              <w:rPr/>
              <w:t>13.可选配储物盘功能。</w:t>
            </w:r>
            <w:r>
              <w:br/>
            </w:r>
            <w:r>
              <w:rPr/>
              <w:t>14.刀架带有红色护手。</w:t>
            </w:r>
            <w:r>
              <w:br/>
            </w:r>
            <w:r>
              <w:rPr/>
              <w:t>15.具备刀架三点锁定及侧向移动功能，可充分利用刀片全长。</w:t>
            </w:r>
            <w:r>
              <w:br/>
            </w:r>
            <w:r>
              <w:rPr/>
              <w:t>16.手轮有2个独立的安全锁定系统。</w:t>
            </w:r>
            <w:r>
              <w:br/>
            </w:r>
            <w:r>
              <w:rPr/>
              <w:t>17.快速转换样本夹，可单手操作。</w:t>
            </w:r>
            <w:r>
              <w:br/>
            </w:r>
            <w:r>
              <w:rPr/>
              <w:t>二、详细配置</w:t>
            </w:r>
            <w:r>
              <w:br/>
            </w:r>
            <w:r>
              <w:rPr/>
              <w:t>1）切片机主机1台；</w:t>
            </w:r>
            <w:r>
              <w:br/>
            </w:r>
            <w:r>
              <w:rPr/>
              <w:t>2）精确定位：带精确样品定位功能的样品夹固定器；</w:t>
            </w:r>
            <w:r>
              <w:br/>
            </w:r>
            <w:r>
              <w:rPr/>
              <w:t>3）通用样品夹；</w:t>
            </w:r>
            <w:r>
              <w:br/>
            </w:r>
            <w:r>
              <w:rPr/>
              <w:t>4）标准样品夹（50*55mm）；</w:t>
            </w:r>
            <w:r>
              <w:br/>
            </w:r>
            <w:r>
              <w:rPr/>
              <w:t>5）刀架底座；</w:t>
            </w:r>
            <w:r>
              <w:br/>
            </w:r>
            <w:r>
              <w:rPr/>
              <w:t>6）二合一刀架（同时兼容宽刀片和窄刀片）；</w:t>
            </w:r>
            <w:r>
              <w:br/>
            </w:r>
            <w:r>
              <w:rPr/>
              <w:t>7）防静电废物槽。</w:t>
            </w:r>
            <w:r>
              <w:br/>
            </w:r>
            <w:r>
              <w:rPr/>
              <w:t>▲三、为保证售后服务及货物的质量，如投标人必须获得制造商或总代理商针对本项目的授权书及售后服务承诺书。</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烤片机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一、性能参数</w:t>
            </w:r>
          </w:p>
          <w:p>
            <w:pPr>
              <w:jc w:val="left"/>
            </w:pPr>
            <w:r>
              <w:rPr>
                <w:sz w:val="21"/>
              </w:rPr>
              <w:t>1.</w:t>
            </w:r>
            <w:r>
              <w:rPr>
                <w:sz w:val="21"/>
              </w:rPr>
              <w:t>精确而稳定的温度控制，环境温度约75℃, 温控精度： ±1℃。</w:t>
            </w:r>
          </w:p>
          <w:p>
            <w:pPr>
              <w:jc w:val="left"/>
            </w:pPr>
            <w:r>
              <w:rPr>
                <w:sz w:val="21"/>
              </w:rPr>
              <w:t>2.</w:t>
            </w:r>
            <w:r>
              <w:rPr>
                <w:sz w:val="21"/>
              </w:rPr>
              <w:t>黑色防腐蚀、防划铝制表面导热速度快，也便于观察载玻片上样品。</w:t>
            </w:r>
          </w:p>
          <w:p>
            <w:pPr>
              <w:jc w:val="left"/>
            </w:pPr>
            <w:r>
              <w:rPr>
                <w:sz w:val="21"/>
              </w:rPr>
              <w:t>3.</w:t>
            </w:r>
            <w:r>
              <w:rPr>
                <w:sz w:val="21"/>
              </w:rPr>
              <w:t>可快速设定需要的温度，并有LED温度时时显示。</w:t>
            </w:r>
          </w:p>
          <w:p>
            <w:pPr>
              <w:jc w:val="left"/>
            </w:pPr>
            <w:r>
              <w:rPr>
                <w:sz w:val="21"/>
              </w:rPr>
              <w:t>4.</w:t>
            </w:r>
            <w:r>
              <w:rPr>
                <w:sz w:val="21"/>
              </w:rPr>
              <w:t>平滑的表面便于快速清洁。</w:t>
            </w:r>
          </w:p>
          <w:p>
            <w:pPr>
              <w:jc w:val="left"/>
            </w:pPr>
            <w:r>
              <w:rPr>
                <w:sz w:val="21"/>
              </w:rPr>
              <w:t>5.</w:t>
            </w:r>
            <w:r>
              <w:rPr>
                <w:sz w:val="21"/>
              </w:rPr>
              <w:t>容积：1.9L。</w:t>
            </w:r>
          </w:p>
          <w:p>
            <w:pPr>
              <w:jc w:val="left"/>
            </w:pPr>
            <w:r>
              <w:rPr>
                <w:b/>
                <w:sz w:val="21"/>
              </w:rPr>
              <w:t>二、配置清单</w:t>
            </w:r>
          </w:p>
          <w:p>
            <w:pPr>
              <w:jc w:val="both"/>
            </w:pPr>
            <w:r>
              <w:rPr>
                <w:sz w:val="21"/>
              </w:rPr>
              <w:t>1.</w:t>
            </w:r>
            <w:r>
              <w:rPr>
                <w:sz w:val="21"/>
              </w:rPr>
              <w:t>主机一台。</w:t>
            </w:r>
          </w:p>
          <w:p>
            <w:r>
              <w:rPr>
                <w:sz w:val="21"/>
              </w:rPr>
              <w:t>2.</w:t>
            </w:r>
            <w:r>
              <w:rPr>
                <w:sz w:val="21"/>
              </w:rPr>
              <w:t>说明资料一份。</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普通倒置显微镜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一、性能参数</w:t>
            </w:r>
          </w:p>
          <w:p>
            <w:pPr>
              <w:jc w:val="left"/>
            </w:pPr>
            <w:r>
              <w:rPr>
                <w:sz w:val="21"/>
              </w:rPr>
              <w:t>1.</w:t>
            </w:r>
            <w:r>
              <w:rPr>
                <w:sz w:val="21"/>
              </w:rPr>
              <w:t>具备明场、相衬功能。</w:t>
            </w:r>
          </w:p>
          <w:p>
            <w:pPr>
              <w:jc w:val="left"/>
            </w:pPr>
            <w:r>
              <w:rPr>
                <w:sz w:val="21"/>
              </w:rPr>
              <w:t>2.</w:t>
            </w:r>
            <w:r>
              <w:rPr>
                <w:sz w:val="21"/>
              </w:rPr>
              <w:t>无限远校正光学系统。</w:t>
            </w:r>
          </w:p>
          <w:p>
            <w:pPr>
              <w:jc w:val="left"/>
            </w:pPr>
            <w:r>
              <w:rPr>
                <w:sz w:val="21"/>
              </w:rPr>
              <w:t>3.</w:t>
            </w:r>
            <w:r>
              <w:rPr>
                <w:sz w:val="21"/>
              </w:rPr>
              <w:t>调焦方式：总行程≥8mm,粗调行程：≥35mm/转，微调行程：0.2mm/转，最小微调读数1微米，粗调再定焦机构。</w:t>
            </w:r>
          </w:p>
          <w:p>
            <w:pPr>
              <w:jc w:val="left"/>
            </w:pPr>
            <w:r>
              <w:rPr>
                <w:sz w:val="21"/>
              </w:rPr>
              <w:t>4.</w:t>
            </w:r>
            <w:r>
              <w:rPr>
                <w:sz w:val="21"/>
              </w:rPr>
              <w:t>双目观察筒,提供0.45X数码接口。</w:t>
            </w:r>
          </w:p>
          <w:p>
            <w:pPr>
              <w:jc w:val="left"/>
            </w:pPr>
            <w:r>
              <w:rPr>
                <w:sz w:val="21"/>
              </w:rPr>
              <w:t>5. LED</w:t>
            </w:r>
            <w:r>
              <w:rPr>
                <w:sz w:val="21"/>
              </w:rPr>
              <w:t>灯透射光照明立柱，预定心柯勒照明系统，视场光阑可调，内置复眼照明</w:t>
            </w:r>
          </w:p>
          <w:p>
            <w:pPr>
              <w:jc w:val="left"/>
            </w:pPr>
            <w:r>
              <w:rPr>
                <w:sz w:val="21"/>
              </w:rPr>
              <w:t>6.</w:t>
            </w:r>
            <w:r>
              <w:rPr>
                <w:sz w:val="21"/>
              </w:rPr>
              <w:t>三目观察镜筒，内置勃氏透镜，视场数≥22mm。</w:t>
            </w:r>
          </w:p>
          <w:p>
            <w:pPr>
              <w:jc w:val="left"/>
            </w:pPr>
            <w:r>
              <w:rPr>
                <w:sz w:val="21"/>
              </w:rPr>
              <w:t>7.</w:t>
            </w:r>
            <w:r>
              <w:rPr>
                <w:sz w:val="21"/>
              </w:rPr>
              <w:t>平场宽视野10X目镜，视场数≥22mm，双侧屈光度可调，带目镜测微尺。</w:t>
            </w:r>
          </w:p>
          <w:p>
            <w:pPr>
              <w:jc w:val="left"/>
            </w:pPr>
            <w:r>
              <w:rPr>
                <w:sz w:val="21"/>
              </w:rPr>
              <w:t>8.</w:t>
            </w:r>
            <w:r>
              <w:rPr>
                <w:sz w:val="21"/>
              </w:rPr>
              <w:t>载物台：长方行机械载物台-横向行程：≥X115 x Y70mm，标本夹。</w:t>
            </w:r>
          </w:p>
          <w:p>
            <w:pPr>
              <w:jc w:val="left"/>
            </w:pPr>
            <w:r>
              <w:rPr>
                <w:sz w:val="21"/>
              </w:rPr>
              <w:t>9.</w:t>
            </w:r>
            <w:r>
              <w:rPr>
                <w:sz w:val="21"/>
              </w:rPr>
              <w:t>长工作距离系统聚光镜，N.A. ≥0.25，工作距离≥70mm，具备相差光学元件。</w:t>
            </w:r>
          </w:p>
          <w:p>
            <w:pPr>
              <w:jc w:val="left"/>
            </w:pPr>
            <w:r>
              <w:rPr>
                <w:sz w:val="21"/>
              </w:rPr>
              <w:t>10.</w:t>
            </w:r>
            <w:r>
              <w:rPr>
                <w:sz w:val="21"/>
              </w:rPr>
              <w:t>内置≥5 孔位物镜转换器。</w:t>
            </w:r>
          </w:p>
          <w:p>
            <w:pPr>
              <w:jc w:val="left"/>
            </w:pPr>
            <w:r>
              <w:rPr>
                <w:sz w:val="21"/>
              </w:rPr>
              <w:t>11.</w:t>
            </w:r>
            <w:r>
              <w:rPr>
                <w:sz w:val="21"/>
              </w:rPr>
              <w:t>物镜含：</w:t>
            </w:r>
          </w:p>
          <w:p>
            <w:pPr>
              <w:ind w:firstLine="420"/>
              <w:jc w:val="left"/>
            </w:pPr>
            <w:r>
              <w:rPr>
                <w:sz w:val="21"/>
              </w:rPr>
              <w:t>4X N.A.</w:t>
            </w:r>
            <w:r>
              <w:rPr>
                <w:sz w:val="21"/>
              </w:rPr>
              <w:t>≥0.13, W.D. ≥15mm PHL；</w:t>
            </w:r>
          </w:p>
          <w:p>
            <w:pPr>
              <w:ind w:firstLine="420"/>
              <w:jc w:val="left"/>
            </w:pPr>
            <w:r>
              <w:rPr>
                <w:sz w:val="21"/>
              </w:rPr>
              <w:t>10X/N.A.</w:t>
            </w:r>
            <w:r>
              <w:rPr>
                <w:sz w:val="21"/>
              </w:rPr>
              <w:t>≥0.25, W.D. ≥6.2mm PH1；</w:t>
            </w:r>
          </w:p>
          <w:p>
            <w:pPr>
              <w:ind w:firstLine="420"/>
              <w:jc w:val="left"/>
            </w:pPr>
            <w:r>
              <w:rPr>
                <w:sz w:val="21"/>
              </w:rPr>
              <w:t>20X/N.A.</w:t>
            </w:r>
            <w:r>
              <w:rPr>
                <w:sz w:val="21"/>
              </w:rPr>
              <w:t>≥0.40, W.D. ≥3.1mm PH1；</w:t>
            </w:r>
          </w:p>
          <w:p>
            <w:pPr>
              <w:ind w:firstLine="420"/>
              <w:jc w:val="left"/>
            </w:pPr>
            <w:r>
              <w:rPr>
                <w:sz w:val="21"/>
              </w:rPr>
              <w:t>40X /N.A</w:t>
            </w:r>
            <w:r>
              <w:rPr>
                <w:sz w:val="21"/>
              </w:rPr>
              <w:t>≥.0.55, W.D.≥ 2.1 mm,PH1；</w:t>
            </w:r>
          </w:p>
          <w:p>
            <w:pPr>
              <w:ind w:firstLine="420"/>
              <w:jc w:val="left"/>
            </w:pPr>
            <w:r>
              <w:rPr>
                <w:sz w:val="21"/>
              </w:rPr>
              <w:t>20X</w:t>
            </w:r>
            <w:r>
              <w:rPr>
                <w:sz w:val="21"/>
              </w:rPr>
              <w:t>平场半复消色差物镜N.A≥.0.50, W.D.≥ 2.0 mm；</w:t>
            </w:r>
          </w:p>
          <w:p>
            <w:pPr>
              <w:ind w:firstLine="420"/>
              <w:jc w:val="left"/>
            </w:pPr>
            <w:r>
              <w:rPr>
                <w:sz w:val="21"/>
              </w:rPr>
              <w:t>40X</w:t>
            </w:r>
            <w:r>
              <w:rPr>
                <w:sz w:val="21"/>
              </w:rPr>
              <w:t>平场半复消色差物镜N.A≥.0.75, W.D.≥ 0.6 mm。</w:t>
            </w:r>
          </w:p>
          <w:p>
            <w:pPr>
              <w:jc w:val="left"/>
            </w:pPr>
            <w:r>
              <w:rPr>
                <w:sz w:val="21"/>
              </w:rPr>
              <w:t>12.</w:t>
            </w:r>
            <w:r>
              <w:rPr>
                <w:sz w:val="21"/>
              </w:rPr>
              <w:t>提供600万分辨率数码相机</w:t>
            </w:r>
          </w:p>
          <w:p>
            <w:pPr>
              <w:ind w:firstLine="210"/>
              <w:jc w:val="left"/>
            </w:pPr>
            <w:r>
              <w:rPr>
                <w:sz w:val="21"/>
              </w:rPr>
              <w:t>1</w:t>
            </w:r>
            <w:r>
              <w:rPr>
                <w:sz w:val="21"/>
              </w:rPr>
              <w:t>） 芯片类型：Sony IMX178，芯片大小：1/1.8英寸；</w:t>
            </w:r>
          </w:p>
          <w:p>
            <w:pPr>
              <w:ind w:firstLine="210"/>
              <w:jc w:val="left"/>
            </w:pPr>
            <w:r>
              <w:rPr>
                <w:sz w:val="21"/>
              </w:rPr>
              <w:t>2</w:t>
            </w:r>
            <w:r>
              <w:rPr>
                <w:sz w:val="21"/>
              </w:rPr>
              <w:t>） 分辨率 600万分辨率，采集像素：3072×2048；</w:t>
            </w:r>
          </w:p>
          <w:p>
            <w:pPr>
              <w:ind w:firstLine="210"/>
              <w:jc w:val="left"/>
            </w:pPr>
            <w:r>
              <w:rPr>
                <w:sz w:val="21"/>
              </w:rPr>
              <w:t>3</w:t>
            </w:r>
            <w:r>
              <w:rPr>
                <w:sz w:val="21"/>
              </w:rPr>
              <w:t>） 曝光时间50us-10s；</w:t>
            </w:r>
          </w:p>
          <w:p>
            <w:pPr>
              <w:ind w:firstLine="210"/>
              <w:jc w:val="left"/>
            </w:pPr>
            <w:r>
              <w:rPr>
                <w:sz w:val="21"/>
              </w:rPr>
              <w:t>4</w:t>
            </w:r>
            <w:r>
              <w:rPr>
                <w:sz w:val="21"/>
              </w:rPr>
              <w:t>） 增益：1-10X；</w:t>
            </w:r>
          </w:p>
          <w:p>
            <w:pPr>
              <w:ind w:firstLine="210"/>
              <w:jc w:val="left"/>
            </w:pPr>
            <w:r>
              <w:rPr>
                <w:sz w:val="21"/>
              </w:rPr>
              <w:t>5</w:t>
            </w:r>
            <w:r>
              <w:rPr>
                <w:sz w:val="21"/>
              </w:rPr>
              <w:t>） 采集速度：30FPS@ 3072×2048；</w:t>
            </w:r>
          </w:p>
          <w:p>
            <w:pPr>
              <w:ind w:firstLine="210"/>
              <w:jc w:val="left"/>
            </w:pPr>
            <w:r>
              <w:rPr>
                <w:sz w:val="21"/>
              </w:rPr>
              <w:t>6</w:t>
            </w:r>
            <w:r>
              <w:rPr>
                <w:sz w:val="21"/>
              </w:rPr>
              <w:t>） A/D 转换12bit ；</w:t>
            </w:r>
          </w:p>
          <w:p>
            <w:pPr>
              <w:ind w:firstLine="210"/>
              <w:jc w:val="left"/>
            </w:pPr>
            <w:r>
              <w:rPr>
                <w:sz w:val="21"/>
              </w:rPr>
              <w:t>7</w:t>
            </w:r>
            <w:r>
              <w:rPr>
                <w:sz w:val="21"/>
              </w:rPr>
              <w:t>）读出噪声2.5e- ；</w:t>
            </w:r>
          </w:p>
          <w:p>
            <w:pPr>
              <w:ind w:firstLine="210"/>
              <w:jc w:val="left"/>
            </w:pPr>
            <w:r>
              <w:rPr>
                <w:sz w:val="21"/>
              </w:rPr>
              <w:t>8</w:t>
            </w:r>
            <w:r>
              <w:rPr>
                <w:sz w:val="21"/>
              </w:rPr>
              <w:t>）满阱容量15000e；</w:t>
            </w:r>
          </w:p>
          <w:p>
            <w:pPr>
              <w:ind w:firstLine="210"/>
              <w:jc w:val="left"/>
            </w:pPr>
            <w:r>
              <w:rPr>
                <w:sz w:val="21"/>
              </w:rPr>
              <w:t>9</w:t>
            </w:r>
            <w:r>
              <w:rPr>
                <w:sz w:val="21"/>
              </w:rPr>
              <w:t>）动态范围76db, 6000:1 ；</w:t>
            </w:r>
          </w:p>
          <w:p>
            <w:pPr>
              <w:ind w:firstLine="210"/>
              <w:jc w:val="left"/>
            </w:pPr>
            <w:r>
              <w:rPr>
                <w:sz w:val="21"/>
              </w:rPr>
              <w:t>10</w:t>
            </w:r>
            <w:r>
              <w:rPr>
                <w:sz w:val="21"/>
              </w:rPr>
              <w:t>） QE峰值67% ；</w:t>
            </w:r>
          </w:p>
          <w:p>
            <w:pPr>
              <w:ind w:firstLine="210"/>
              <w:jc w:val="left"/>
            </w:pPr>
            <w:r>
              <w:rPr>
                <w:sz w:val="21"/>
              </w:rPr>
              <w:t>11</w:t>
            </w:r>
            <w:r>
              <w:rPr>
                <w:sz w:val="21"/>
              </w:rPr>
              <w:t>）数据接口USB3.0；</w:t>
            </w:r>
          </w:p>
          <w:p>
            <w:pPr>
              <w:ind w:firstLine="210"/>
              <w:jc w:val="left"/>
            </w:pPr>
            <w:r>
              <w:rPr>
                <w:sz w:val="21"/>
              </w:rPr>
              <w:t>12</w:t>
            </w:r>
            <w:r>
              <w:rPr>
                <w:sz w:val="21"/>
              </w:rPr>
              <w:t>） 图像分析处理软件，含测量分析功能。</w:t>
            </w:r>
          </w:p>
          <w:p>
            <w:pPr>
              <w:jc w:val="left"/>
            </w:pPr>
            <w:r>
              <w:rPr>
                <w:sz w:val="21"/>
              </w:rPr>
              <w:t>13.</w:t>
            </w:r>
            <w:r>
              <w:rPr>
                <w:sz w:val="21"/>
              </w:rPr>
              <w:t>配套工作站：配置不低于I5，8G，256ssd+1T机械盘，23寸显示器，WIN10操作系统。</w:t>
            </w:r>
          </w:p>
          <w:p>
            <w:pPr>
              <w:jc w:val="left"/>
            </w:pPr>
            <w:r>
              <w:rPr>
                <w:b/>
                <w:sz w:val="21"/>
              </w:rPr>
              <w:t>二、配置清单</w:t>
            </w:r>
          </w:p>
          <w:p>
            <w:pPr>
              <w:ind w:firstLine="210"/>
              <w:jc w:val="left"/>
            </w:pPr>
            <w:r>
              <w:rPr>
                <w:sz w:val="21"/>
              </w:rPr>
              <w:t>1</w:t>
            </w:r>
            <w:r>
              <w:rPr>
                <w:sz w:val="21"/>
              </w:rPr>
              <w:t>）</w:t>
            </w:r>
            <w:r>
              <w:rPr>
                <w:color w:val="000000"/>
                <w:sz w:val="22"/>
              </w:rPr>
              <w:t>倒置显微镜主机架 1台；</w:t>
            </w:r>
          </w:p>
          <w:p>
            <w:pPr>
              <w:ind w:firstLine="220"/>
              <w:jc w:val="left"/>
            </w:pPr>
            <w:r>
              <w:rPr>
                <w:color w:val="000000"/>
                <w:sz w:val="22"/>
              </w:rPr>
              <w:t>2</w:t>
            </w:r>
            <w:r>
              <w:rPr>
                <w:color w:val="000000"/>
                <w:sz w:val="22"/>
              </w:rPr>
              <w:t>）目</w:t>
            </w:r>
            <w:r>
              <w:rPr>
                <w:color w:val="000000"/>
                <w:sz w:val="22"/>
              </w:rPr>
              <w:t>镜：</w:t>
            </w:r>
            <w:r>
              <w:rPr>
                <w:sz w:val="21"/>
              </w:rPr>
              <w:t>≥</w:t>
            </w:r>
            <w:r>
              <w:rPr>
                <w:color w:val="000000"/>
                <w:sz w:val="24"/>
              </w:rPr>
              <w:t>1</w:t>
            </w:r>
            <w:r>
              <w:rPr>
                <w:color w:val="000000"/>
                <w:sz w:val="24"/>
              </w:rPr>
              <w:t>个</w:t>
            </w:r>
            <w:r>
              <w:rPr>
                <w:color w:val="000000"/>
                <w:sz w:val="22"/>
              </w:rPr>
              <w:t>；</w:t>
            </w:r>
          </w:p>
          <w:p>
            <w:pPr>
              <w:ind w:firstLine="220"/>
              <w:jc w:val="left"/>
            </w:pPr>
            <w:r>
              <w:rPr>
                <w:color w:val="000000"/>
                <w:sz w:val="22"/>
              </w:rPr>
              <w:t>3)</w:t>
            </w:r>
            <w:r>
              <w:rPr>
                <w:color w:val="000000"/>
                <w:sz w:val="22"/>
              </w:rPr>
              <w:t>相差滑块 2个；</w:t>
            </w:r>
          </w:p>
          <w:p>
            <w:pPr>
              <w:ind w:firstLine="220"/>
              <w:jc w:val="left"/>
            </w:pPr>
            <w:r>
              <w:rPr>
                <w:color w:val="000000"/>
                <w:sz w:val="22"/>
              </w:rPr>
              <w:t>4)</w:t>
            </w:r>
            <w:r>
              <w:rPr>
                <w:color w:val="000000"/>
                <w:sz w:val="22"/>
              </w:rPr>
              <w:t>4X</w:t>
            </w:r>
            <w:r>
              <w:rPr>
                <w:color w:val="000000"/>
                <w:sz w:val="22"/>
              </w:rPr>
              <w:t>平场半复消色差荧光相差物</w:t>
            </w:r>
            <w:r>
              <w:rPr>
                <w:color w:val="000000"/>
                <w:sz w:val="22"/>
              </w:rPr>
              <w:t>镜；</w:t>
            </w:r>
          </w:p>
          <w:p>
            <w:pPr>
              <w:ind w:firstLine="220"/>
              <w:jc w:val="left"/>
            </w:pPr>
            <w:r>
              <w:rPr>
                <w:color w:val="000000"/>
                <w:sz w:val="22"/>
              </w:rPr>
              <w:t>5)</w:t>
            </w:r>
            <w:r>
              <w:rPr>
                <w:color w:val="000000"/>
                <w:sz w:val="22"/>
              </w:rPr>
              <w:t>10X</w:t>
            </w:r>
            <w:r>
              <w:rPr>
                <w:color w:val="000000"/>
                <w:sz w:val="22"/>
              </w:rPr>
              <w:t>长工作距离相差物</w:t>
            </w:r>
            <w:r>
              <w:rPr>
                <w:color w:val="000000"/>
                <w:sz w:val="22"/>
              </w:rPr>
              <w:t>镜；</w:t>
            </w:r>
          </w:p>
          <w:p>
            <w:pPr>
              <w:ind w:firstLine="220"/>
              <w:jc w:val="left"/>
            </w:pPr>
            <w:r>
              <w:rPr>
                <w:color w:val="000000"/>
                <w:sz w:val="22"/>
              </w:rPr>
              <w:t>6)</w:t>
            </w:r>
            <w:r>
              <w:rPr>
                <w:color w:val="000000"/>
                <w:sz w:val="22"/>
              </w:rPr>
              <w:t>20X</w:t>
            </w:r>
            <w:r>
              <w:rPr>
                <w:color w:val="000000"/>
                <w:sz w:val="22"/>
              </w:rPr>
              <w:t>长工作距离相差物</w:t>
            </w:r>
            <w:r>
              <w:rPr>
                <w:color w:val="000000"/>
                <w:sz w:val="22"/>
              </w:rPr>
              <w:t>镜；</w:t>
            </w:r>
          </w:p>
          <w:p>
            <w:pPr>
              <w:ind w:firstLine="220"/>
              <w:jc w:val="left"/>
            </w:pPr>
            <w:r>
              <w:rPr>
                <w:color w:val="000000"/>
                <w:sz w:val="22"/>
              </w:rPr>
              <w:t>7)</w:t>
            </w:r>
            <w:r>
              <w:rPr>
                <w:color w:val="000000"/>
                <w:sz w:val="22"/>
              </w:rPr>
              <w:t>40X</w:t>
            </w:r>
            <w:r>
              <w:rPr>
                <w:color w:val="000000"/>
                <w:sz w:val="22"/>
              </w:rPr>
              <w:t>长工作距离相差物</w:t>
            </w:r>
            <w:r>
              <w:rPr>
                <w:color w:val="000000"/>
                <w:sz w:val="22"/>
              </w:rPr>
              <w:t>镜；</w:t>
            </w:r>
          </w:p>
          <w:p>
            <w:pPr>
              <w:ind w:firstLine="220"/>
              <w:jc w:val="left"/>
            </w:pPr>
            <w:r>
              <w:rPr>
                <w:color w:val="000000"/>
                <w:sz w:val="22"/>
              </w:rPr>
              <w:t>8)</w:t>
            </w:r>
            <w:r>
              <w:rPr>
                <w:color w:val="000000"/>
                <w:sz w:val="22"/>
              </w:rPr>
              <w:t>20X</w:t>
            </w:r>
            <w:r>
              <w:rPr>
                <w:color w:val="000000"/>
                <w:sz w:val="22"/>
              </w:rPr>
              <w:t>平场半复消色差荧光物</w:t>
            </w:r>
            <w:r>
              <w:rPr>
                <w:color w:val="000000"/>
                <w:sz w:val="22"/>
              </w:rPr>
              <w:t>镜；</w:t>
            </w:r>
          </w:p>
          <w:p>
            <w:pPr>
              <w:ind w:firstLine="220"/>
              <w:jc w:val="left"/>
            </w:pPr>
            <w:r>
              <w:rPr>
                <w:color w:val="000000"/>
                <w:sz w:val="22"/>
              </w:rPr>
              <w:t>9)</w:t>
            </w:r>
            <w:r>
              <w:rPr>
                <w:color w:val="000000"/>
                <w:sz w:val="22"/>
              </w:rPr>
              <w:t>40X</w:t>
            </w:r>
            <w:r>
              <w:rPr>
                <w:color w:val="000000"/>
                <w:sz w:val="22"/>
              </w:rPr>
              <w:t>平场半复消色差荧光物</w:t>
            </w:r>
            <w:r>
              <w:rPr>
                <w:color w:val="000000"/>
                <w:sz w:val="22"/>
              </w:rPr>
              <w:t>镜；</w:t>
            </w:r>
          </w:p>
          <w:p>
            <w:pPr>
              <w:ind w:firstLine="220"/>
              <w:jc w:val="left"/>
            </w:pPr>
            <w:r>
              <w:rPr>
                <w:color w:val="000000"/>
                <w:sz w:val="22"/>
              </w:rPr>
              <w:t>10)</w:t>
            </w:r>
            <w:r>
              <w:rPr>
                <w:color w:val="000000"/>
                <w:sz w:val="22"/>
              </w:rPr>
              <w:t>XY</w:t>
            </w:r>
            <w:r>
              <w:rPr>
                <w:color w:val="000000"/>
                <w:sz w:val="22"/>
              </w:rPr>
              <w:t>移动平</w:t>
            </w:r>
            <w:r>
              <w:rPr>
                <w:color w:val="000000"/>
                <w:sz w:val="22"/>
              </w:rPr>
              <w:t>台；</w:t>
            </w:r>
          </w:p>
          <w:p>
            <w:pPr>
              <w:ind w:firstLine="220"/>
              <w:jc w:val="left"/>
            </w:pPr>
            <w:r>
              <w:rPr>
                <w:color w:val="000000"/>
                <w:sz w:val="22"/>
              </w:rPr>
              <w:t>11)</w:t>
            </w:r>
            <w:r>
              <w:rPr>
                <w:color w:val="000000"/>
                <w:sz w:val="22"/>
              </w:rPr>
              <w:t>万能标本</w:t>
            </w:r>
            <w:r>
              <w:rPr>
                <w:color w:val="000000"/>
                <w:sz w:val="22"/>
              </w:rPr>
              <w:t>架；</w:t>
            </w:r>
          </w:p>
          <w:p>
            <w:pPr>
              <w:ind w:firstLine="220"/>
              <w:jc w:val="left"/>
            </w:pPr>
            <w:r>
              <w:rPr>
                <w:color w:val="000000"/>
                <w:sz w:val="22"/>
              </w:rPr>
              <w:t>12)</w:t>
            </w:r>
            <w:r>
              <w:rPr>
                <w:sz w:val="21"/>
              </w:rPr>
              <w:t>≥</w:t>
            </w:r>
            <w:r>
              <w:rPr>
                <w:sz w:val="22"/>
              </w:rPr>
              <w:t>600</w:t>
            </w:r>
            <w:r>
              <w:rPr>
                <w:sz w:val="22"/>
              </w:rPr>
              <w:t>万分辨率彩色相</w:t>
            </w:r>
            <w:r>
              <w:rPr>
                <w:sz w:val="22"/>
              </w:rPr>
              <w:t>机；</w:t>
            </w:r>
          </w:p>
          <w:p>
            <w:r>
              <w:rPr>
                <w:sz w:val="22"/>
              </w:rPr>
              <w:t>13)</w:t>
            </w:r>
            <w:r>
              <w:rPr>
                <w:sz w:val="22"/>
              </w:rPr>
              <w:t>配套工作站：配置不低于</w:t>
            </w:r>
            <w:r>
              <w:rPr>
                <w:sz w:val="22"/>
              </w:rPr>
              <w:t>i5</w:t>
            </w:r>
            <w:r>
              <w:rPr>
                <w:sz w:val="22"/>
              </w:rPr>
              <w:t>，</w:t>
            </w:r>
            <w:r>
              <w:rPr>
                <w:sz w:val="22"/>
              </w:rPr>
              <w:t>8g</w:t>
            </w:r>
            <w:r>
              <w:rPr>
                <w:sz w:val="22"/>
              </w:rPr>
              <w:t>，</w:t>
            </w:r>
            <w:r>
              <w:rPr>
                <w:sz w:val="22"/>
              </w:rPr>
              <w:t>256ssd+1T</w:t>
            </w:r>
            <w:r>
              <w:rPr>
                <w:sz w:val="22"/>
              </w:rPr>
              <w:t>机械盘</w:t>
            </w:r>
            <w:r>
              <w:rPr>
                <w:sz w:val="22"/>
              </w:rPr>
              <w:t>，</w:t>
            </w:r>
            <w:r>
              <w:rPr>
                <w:sz w:val="22"/>
              </w:rPr>
              <w:t>23</w:t>
            </w:r>
            <w:r>
              <w:rPr>
                <w:sz w:val="22"/>
              </w:rPr>
              <w:t>寸显示</w:t>
            </w:r>
            <w:r>
              <w:rPr>
                <w:sz w:val="22"/>
              </w:rPr>
              <w:t>器，win10操作系统。</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荧光定量基因扩增仪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一、性能参数</w:t>
            </w:r>
          </w:p>
          <w:p>
            <w:pPr>
              <w:jc w:val="left"/>
            </w:pPr>
            <w:r>
              <w:rPr>
                <w:sz w:val="21"/>
              </w:rPr>
              <w:t>1.</w:t>
            </w:r>
            <w:r>
              <w:rPr>
                <w:sz w:val="21"/>
              </w:rPr>
              <w:t>样品容量：96x0.2ml，可使用0.2ml单管、八联管、96孔板等。</w:t>
            </w:r>
          </w:p>
          <w:p>
            <w:pPr>
              <w:jc w:val="left"/>
            </w:pPr>
            <w:r>
              <w:rPr>
                <w:sz w:val="21"/>
              </w:rPr>
              <w:t>2.</w:t>
            </w:r>
            <w:r>
              <w:rPr>
                <w:sz w:val="21"/>
              </w:rPr>
              <w:t>推荐最适反应体系：5-100ul。</w:t>
            </w:r>
          </w:p>
          <w:p>
            <w:pPr>
              <w:jc w:val="left"/>
            </w:pPr>
            <w:r>
              <w:rPr>
                <w:sz w:val="21"/>
              </w:rPr>
              <w:t>3.</w:t>
            </w:r>
            <w:r>
              <w:rPr>
                <w:sz w:val="21"/>
              </w:rPr>
              <w:t>加热模块：采用纯银镀金反应模块。</w:t>
            </w:r>
          </w:p>
          <w:p>
            <w:pPr>
              <w:jc w:val="left"/>
            </w:pPr>
            <w:r>
              <w:rPr>
                <w:sz w:val="21"/>
              </w:rPr>
              <w:t>4.</w:t>
            </w:r>
            <w:r>
              <w:rPr>
                <w:sz w:val="21"/>
              </w:rPr>
              <w:t>加热/冷却技术(温控方式)：半导体。</w:t>
            </w:r>
          </w:p>
          <w:p>
            <w:pPr>
              <w:jc w:val="left"/>
            </w:pPr>
            <w:r>
              <w:rPr>
                <w:sz w:val="21"/>
              </w:rPr>
              <w:t>5.</w:t>
            </w:r>
            <w:r>
              <w:rPr>
                <w:sz w:val="21"/>
              </w:rPr>
              <w:t>温度控制模式：具有模块控制和仿真的样品管控制两种模式。</w:t>
            </w:r>
          </w:p>
          <w:p>
            <w:pPr>
              <w:jc w:val="left"/>
            </w:pPr>
            <w:r>
              <w:rPr>
                <w:sz w:val="21"/>
              </w:rPr>
              <w:t>▲</w:t>
            </w:r>
            <w:r>
              <w:rPr>
                <w:sz w:val="21"/>
              </w:rPr>
              <w:t>6.</w:t>
            </w:r>
            <w:r>
              <w:rPr>
                <w:sz w:val="21"/>
              </w:rPr>
              <w:t>标配为高速反应模块，最高变温速率：</w:t>
            </w:r>
            <w:r>
              <w:rPr>
                <w:sz w:val="21"/>
              </w:rPr>
              <w:t>≥</w:t>
            </w:r>
            <w:r>
              <w:rPr>
                <w:sz w:val="21"/>
              </w:rPr>
              <w:t>8</w:t>
            </w:r>
            <w:r>
              <w:rPr>
                <w:sz w:val="21"/>
              </w:rPr>
              <w:t>℃/s。</w:t>
            </w:r>
          </w:p>
          <w:p>
            <w:pPr>
              <w:jc w:val="left"/>
            </w:pPr>
            <w:r>
              <w:rPr>
                <w:sz w:val="21"/>
              </w:rPr>
              <w:t>★7. 反应模块控温准确性：</w:t>
            </w:r>
            <w:r>
              <w:rPr>
                <w:sz w:val="21"/>
              </w:rPr>
              <w:t>≤ ±</w:t>
            </w:r>
            <w:r>
              <w:rPr>
                <w:sz w:val="21"/>
              </w:rPr>
              <w:t>0.1</w:t>
            </w:r>
            <w:r>
              <w:rPr>
                <w:sz w:val="21"/>
              </w:rPr>
              <w:t>℃。</w:t>
            </w:r>
          </w:p>
          <w:p>
            <w:pPr>
              <w:jc w:val="left"/>
            </w:pPr>
            <w:r>
              <w:rPr>
                <w:sz w:val="21"/>
              </w:rPr>
              <w:t>8.</w:t>
            </w:r>
            <w:r>
              <w:rPr>
                <w:sz w:val="21"/>
              </w:rPr>
              <w:t>反应模块控温均一性：</w:t>
            </w:r>
            <w:r>
              <w:rPr>
                <w:sz w:val="21"/>
              </w:rPr>
              <w:t>≤ ±</w:t>
            </w:r>
            <w:r>
              <w:rPr>
                <w:sz w:val="21"/>
              </w:rPr>
              <w:t>0.15</w:t>
            </w:r>
            <w:r>
              <w:rPr>
                <w:sz w:val="21"/>
              </w:rPr>
              <w:t>℃。</w:t>
            </w:r>
          </w:p>
          <w:p>
            <w:pPr>
              <w:jc w:val="left"/>
            </w:pPr>
            <w:r>
              <w:rPr>
                <w:sz w:val="21"/>
              </w:rPr>
              <w:t>9.</w:t>
            </w:r>
            <w:r>
              <w:rPr>
                <w:sz w:val="21"/>
              </w:rPr>
              <w:t>带有温度梯度功能；可同时优化不少于12个温度点。</w:t>
            </w:r>
          </w:p>
          <w:p>
            <w:pPr>
              <w:jc w:val="left"/>
            </w:pPr>
            <w:r>
              <w:rPr>
                <w:sz w:val="21"/>
              </w:rPr>
              <w:t>▲</w:t>
            </w:r>
            <w:r>
              <w:rPr>
                <w:sz w:val="21"/>
              </w:rPr>
              <w:t>10.</w:t>
            </w:r>
            <w:r>
              <w:rPr>
                <w:sz w:val="21"/>
              </w:rPr>
              <w:t>具有不少于两种温度梯度设计模式：线性温度梯度和随机温度梯度模式。</w:t>
            </w:r>
          </w:p>
          <w:p>
            <w:pPr>
              <w:jc w:val="left"/>
            </w:pPr>
            <w:r>
              <w:rPr>
                <w:sz w:val="21"/>
              </w:rPr>
              <w:t>11.</w:t>
            </w:r>
            <w:r>
              <w:rPr>
                <w:sz w:val="21"/>
              </w:rPr>
              <w:t>热盖：最高温度可达110℃，自动调节接触压力。</w:t>
            </w:r>
          </w:p>
          <w:p>
            <w:pPr>
              <w:jc w:val="left"/>
            </w:pPr>
            <w:r>
              <w:rPr>
                <w:sz w:val="21"/>
              </w:rPr>
              <w:t>▲</w:t>
            </w:r>
            <w:r>
              <w:rPr>
                <w:sz w:val="21"/>
              </w:rPr>
              <w:t>12.</w:t>
            </w:r>
            <w:r>
              <w:rPr>
                <w:sz w:val="21"/>
              </w:rPr>
              <w:t>标配光源：不少于红、绿、蓝和白色全波长的四个LED光源。</w:t>
            </w:r>
          </w:p>
          <w:p>
            <w:pPr>
              <w:jc w:val="left"/>
            </w:pPr>
            <w:r>
              <w:rPr>
                <w:sz w:val="21"/>
              </w:rPr>
              <w:t>13.</w:t>
            </w:r>
            <w:r>
              <w:rPr>
                <w:sz w:val="21"/>
              </w:rPr>
              <w:t>检测器：高灵敏度的通道式光电倍增管（CPMT）。</w:t>
            </w:r>
          </w:p>
          <w:p>
            <w:pPr>
              <w:jc w:val="left"/>
            </w:pPr>
            <w:r>
              <w:rPr>
                <w:sz w:val="21"/>
              </w:rPr>
              <w:t>14.</w:t>
            </w:r>
            <w:r>
              <w:rPr>
                <w:sz w:val="21"/>
              </w:rPr>
              <w:t>光路传导：光纤传导，光程长度固定，无需校正通道。</w:t>
            </w:r>
          </w:p>
          <w:p>
            <w:pPr>
              <w:jc w:val="left"/>
            </w:pPr>
            <w:r>
              <w:rPr>
                <w:sz w:val="21"/>
              </w:rPr>
              <w:t>15.</w:t>
            </w:r>
            <w:r>
              <w:rPr>
                <w:sz w:val="21"/>
              </w:rPr>
              <w:t>光学系统：标配可同时进行不少于3色荧光检测，并最高可升级到不少于六通道检测系统。</w:t>
            </w:r>
          </w:p>
          <w:p>
            <w:pPr>
              <w:jc w:val="left"/>
            </w:pPr>
            <w:r>
              <w:rPr>
                <w:sz w:val="21"/>
              </w:rPr>
              <w:t>16.</w:t>
            </w:r>
            <w:r>
              <w:rPr>
                <w:sz w:val="21"/>
              </w:rPr>
              <w:t>原厂提供有不少于12种检测通道组合模块。</w:t>
            </w:r>
          </w:p>
          <w:p>
            <w:pPr>
              <w:jc w:val="left"/>
            </w:pPr>
            <w:r>
              <w:rPr>
                <w:sz w:val="21"/>
              </w:rPr>
              <w:t>17.</w:t>
            </w:r>
            <w:r>
              <w:rPr>
                <w:sz w:val="21"/>
              </w:rPr>
              <w:t>标配带有蛋白熔解曲线模块，开拓了设备从核酸到蛋白领域的应用。</w:t>
            </w:r>
          </w:p>
          <w:p>
            <w:pPr>
              <w:jc w:val="left"/>
            </w:pPr>
            <w:r>
              <w:rPr>
                <w:sz w:val="21"/>
              </w:rPr>
              <w:t>18.</w:t>
            </w:r>
            <w:r>
              <w:rPr>
                <w:sz w:val="21"/>
              </w:rPr>
              <w:t>检测灵敏度：能检测到单拷贝DNA模板。</w:t>
            </w:r>
          </w:p>
          <w:p>
            <w:pPr>
              <w:jc w:val="left"/>
            </w:pPr>
            <w:r>
              <w:rPr>
                <w:sz w:val="21"/>
              </w:rPr>
              <w:t>19.</w:t>
            </w:r>
            <w:r>
              <w:rPr>
                <w:sz w:val="21"/>
              </w:rPr>
              <w:t>检测线性范围：</w:t>
            </w:r>
            <w:r>
              <w:rPr>
                <w:sz w:val="21"/>
              </w:rPr>
              <w:t>≥</w:t>
            </w:r>
            <w:r>
              <w:rPr>
                <w:sz w:val="21"/>
              </w:rPr>
              <w:t>10</w:t>
            </w:r>
            <w:r>
              <w:rPr>
                <w:sz w:val="21"/>
              </w:rPr>
              <w:t>个数量级。</w:t>
            </w:r>
          </w:p>
          <w:p>
            <w:pPr>
              <w:jc w:val="left"/>
            </w:pPr>
            <w:r>
              <w:rPr>
                <w:sz w:val="21"/>
              </w:rPr>
              <w:t xml:space="preserve"> 20.</w:t>
            </w:r>
            <w:r>
              <w:rPr>
                <w:sz w:val="21"/>
              </w:rPr>
              <w:t>激发光谱范围：370-750nm。</w:t>
            </w:r>
          </w:p>
          <w:p>
            <w:pPr>
              <w:jc w:val="left"/>
            </w:pPr>
            <w:r>
              <w:rPr>
                <w:sz w:val="21"/>
              </w:rPr>
              <w:t xml:space="preserve"> 21.</w:t>
            </w:r>
            <w:r>
              <w:rPr>
                <w:sz w:val="21"/>
              </w:rPr>
              <w:t>具有光学补偿功能，最大限度的避免的荧光交叉干扰问题。</w:t>
            </w:r>
          </w:p>
          <w:p>
            <w:pPr>
              <w:jc w:val="left"/>
            </w:pPr>
            <w:r>
              <w:rPr>
                <w:sz w:val="21"/>
              </w:rPr>
              <w:t xml:space="preserve"> 22.</w:t>
            </w:r>
            <w:r>
              <w:rPr>
                <w:sz w:val="21"/>
              </w:rPr>
              <w:t>多重数据分析：标配软件可同时分析不少于6个检测通道荧光数据。</w:t>
            </w:r>
          </w:p>
          <w:p>
            <w:pPr>
              <w:jc w:val="left"/>
            </w:pPr>
            <w:r>
              <w:rPr>
                <w:sz w:val="21"/>
              </w:rPr>
              <w:t xml:space="preserve"> 23.</w:t>
            </w:r>
            <w:r>
              <w:rPr>
                <w:sz w:val="21"/>
              </w:rPr>
              <w:t>数据分析模式： 标准曲线定量、融解曲线、△CT 或△△CT 基因表达分析、等位基因分析、基于扩增效率的数据分析模式等数据分析功能。</w:t>
            </w:r>
          </w:p>
          <w:p>
            <w:pPr>
              <w:jc w:val="left"/>
            </w:pPr>
            <w:r>
              <w:rPr>
                <w:sz w:val="21"/>
              </w:rPr>
              <w:t>★24．控制分析软件可至少在中文和英文间自由切换。</w:t>
            </w:r>
          </w:p>
          <w:p>
            <w:pPr>
              <w:jc w:val="left"/>
            </w:pPr>
            <w:r>
              <w:rPr>
                <w:sz w:val="21"/>
              </w:rPr>
              <w:t>25.</w:t>
            </w:r>
            <w:r>
              <w:rPr>
                <w:sz w:val="21"/>
              </w:rPr>
              <w:t>软件标配带有三级账户权限管理功能。</w:t>
            </w:r>
          </w:p>
          <w:p>
            <w:pPr>
              <w:jc w:val="left"/>
            </w:pPr>
            <w:r>
              <w:rPr>
                <w:sz w:val="21"/>
              </w:rPr>
              <w:t>★26．仪器整机质保期两年。</w:t>
            </w:r>
          </w:p>
          <w:p>
            <w:pPr>
              <w:jc w:val="left"/>
            </w:pPr>
            <w:r>
              <w:rPr>
                <w:sz w:val="21"/>
              </w:rPr>
              <w:t>二、配置清单</w:t>
            </w:r>
          </w:p>
          <w:p>
            <w:pPr>
              <w:jc w:val="left"/>
            </w:pPr>
            <w:r>
              <w:rPr>
                <w:sz w:val="21"/>
              </w:rPr>
              <w:t xml:space="preserve">1. </w:t>
            </w:r>
            <w:r>
              <w:rPr>
                <w:sz w:val="21"/>
              </w:rPr>
              <w:t>仪器主机一台；</w:t>
            </w:r>
          </w:p>
          <w:p>
            <w:pPr>
              <w:jc w:val="left"/>
            </w:pPr>
            <w:r>
              <w:rPr>
                <w:sz w:val="21"/>
              </w:rPr>
              <w:t xml:space="preserve">2. </w:t>
            </w:r>
            <w:r>
              <w:rPr>
                <w:sz w:val="21"/>
              </w:rPr>
              <w:t>使用说明书一份；</w:t>
            </w:r>
          </w:p>
          <w:p>
            <w:pPr>
              <w:jc w:val="left"/>
            </w:pPr>
            <w:r>
              <w:rPr>
                <w:sz w:val="21"/>
              </w:rPr>
              <w:t xml:space="preserve">3. </w:t>
            </w:r>
            <w:r>
              <w:rPr>
                <w:sz w:val="21"/>
              </w:rPr>
              <w:t>带中文的控制分析软件一个；</w:t>
            </w:r>
          </w:p>
          <w:p>
            <w:pPr>
              <w:jc w:val="left"/>
            </w:pPr>
            <w:r>
              <w:rPr>
                <w:sz w:val="21"/>
              </w:rPr>
              <w:t xml:space="preserve">4. </w:t>
            </w:r>
            <w:r>
              <w:rPr>
                <w:sz w:val="21"/>
              </w:rPr>
              <w:t>数据线一根；</w:t>
            </w:r>
          </w:p>
          <w:p>
            <w:pPr>
              <w:jc w:val="left"/>
            </w:pPr>
            <w:r>
              <w:rPr>
                <w:sz w:val="21"/>
              </w:rPr>
              <w:t xml:space="preserve">5. </w:t>
            </w:r>
            <w:r>
              <w:rPr>
                <w:sz w:val="21"/>
              </w:rPr>
              <w:t>配套工作站：配置不低于</w:t>
            </w:r>
            <w:r>
              <w:rPr>
                <w:sz w:val="22"/>
              </w:rPr>
              <w:t>i5</w:t>
            </w:r>
            <w:r>
              <w:rPr>
                <w:sz w:val="22"/>
              </w:rPr>
              <w:t>，</w:t>
            </w:r>
            <w:r>
              <w:rPr>
                <w:sz w:val="22"/>
              </w:rPr>
              <w:t>8g</w:t>
            </w:r>
            <w:r>
              <w:rPr>
                <w:sz w:val="22"/>
              </w:rPr>
              <w:t>，</w:t>
            </w:r>
            <w:r>
              <w:rPr>
                <w:sz w:val="22"/>
              </w:rPr>
              <w:t>256ssd+1T</w:t>
            </w:r>
            <w:r>
              <w:rPr>
                <w:sz w:val="22"/>
              </w:rPr>
              <w:t>机械盘</w:t>
            </w:r>
            <w:r>
              <w:rPr>
                <w:sz w:val="22"/>
              </w:rPr>
              <w:t>，</w:t>
            </w:r>
            <w:r>
              <w:rPr>
                <w:sz w:val="22"/>
              </w:rPr>
              <w:t>23</w:t>
            </w:r>
            <w:r>
              <w:rPr>
                <w:sz w:val="22"/>
              </w:rPr>
              <w:t>寸显示</w:t>
            </w:r>
            <w:r>
              <w:rPr>
                <w:sz w:val="22"/>
              </w:rPr>
              <w:t>器，win10操作系统</w:t>
            </w:r>
            <w:r>
              <w:rPr>
                <w:sz w:val="21"/>
              </w:rPr>
              <w:t>。</w:t>
            </w:r>
          </w:p>
          <w:p>
            <w:r>
              <w:rPr>
                <w:sz w:val="21"/>
              </w:rPr>
              <w:t>▲</w:t>
            </w:r>
            <w:r>
              <w:rPr>
                <w:b/>
                <w:sz w:val="21"/>
              </w:rPr>
              <w:t>三、为保证售后服务及货物的质量，如投标人必须获得制造商对本项目的授权书及售后服务承诺书。</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广东省农业科学院蔬菜研究所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采购预算金额为计算基数参照国家计委颁布的（计价格【2002】1980号）及国家发改委颁布的（发改办价格【2003】857号）标准进行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p>
            <w:pPr>
              <w:jc w:val="left"/>
            </w:pPr>
            <w:r>
              <w:rPr/>
              <w:t>采购包3：否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李先生、董小姐</w:t>
      </w:r>
    </w:p>
    <w:p>
      <w:pPr>
        <w:ind w:firstLine="480"/>
      </w:pPr>
      <w:r>
        <w:rPr/>
        <w:t>电话：</w:t>
      </w:r>
      <w:r>
        <w:rPr/>
        <w:t>020-31603842、87776423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采购包1(嗅闻仪-气质联用仪系统)：综合评分法,是指投标文件满足招标文件全部实质性要求，且按照评审因素的量化指标评审得分最高的投标人为中标候选人的评标方法。（最低报价不是中标的唯一依据。）</w:t>
      </w:r>
    </w:p>
    <w:p/>
    <w:p>
      <w:r>
        <w:rPr/>
        <w:t>采购包2(溶剂辅助蒸馏装置)：综合评分法,是指投标文件满足招标文件全部实质性要求，且按照评审因素的量化指标评审得分最高的投标人为中标候选人的评标方法。（最低报价不是中标的唯一依据。）</w:t>
      </w:r>
    </w:p>
    <w:p/>
    <w:p>
      <w:r>
        <w:rPr/>
        <w:t>采购包3(荧光定量基因扩增仪等)：综合评分法,是指投标文件满足招标文件全部实质性要求，且按照评审因素的量化指标评审得分最高的投标人为中标候选人的评标方法。（最低报价不是中标的唯一依据。）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采购包1（嗅闻仪-气质联用仪系统）：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（一）节能产品 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（二）环境标志产品 1、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2、对环境标志产品价格扣除的规定：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采购包2（溶剂辅助蒸馏装置）：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（一）节能产品 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（二）环境标志产品 1、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2、对环境标志产品价格扣除的规定：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采购包3（荧光定量基因扩增仪等）：</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（一）节能产品 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（二）环境标志产品 1、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2、对环境标志产品价格扣除的规定：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采购包1（嗅闻仪-气质联用仪系统）：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采购包2（溶剂辅助蒸馏装置）：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采购包3（荧光定量基因扩增仪等）：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采购包1（嗅闻仪-气质联用仪系统）：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采购包2（溶剂辅助蒸馏装置）：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t>采购包3（荧光定量基因扩增仪等）：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投标报价是固定价且未超过本项目对应采购包的采购预算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嗅闻仪-气质联用仪系统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(24.0分)</w:t>
            </w:r>
          </w:p>
        </w:tc>
        <w:tc>
          <w:tcPr>
            <w:tcW w:type="dxa" w:w="5076"/>
          </w:tcPr>
          <w:p>
            <w:pPr>
              <w:jc w:val="left"/>
            </w:pPr>
            <w:r>
              <w:rPr/>
              <w:t>（1）完全响应或正偏离“技术标准与要求”中所有带“▲”条款（共12项）的，得24分，每项带“▲”条款负偏离扣2分，本项最高扣24分。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(10.0分)</w:t>
            </w:r>
          </w:p>
        </w:tc>
        <w:tc>
          <w:tcPr>
            <w:tcW w:type="dxa" w:w="5076"/>
          </w:tcPr>
          <w:p>
            <w:pPr>
              <w:jc w:val="left"/>
            </w:pPr>
            <w:r>
              <w:rPr/>
              <w:t>（1）投标产品的技术先进性、可靠性高，货物制造技术、制造设备、生产工艺达到行业内高水平、使用材料与部件等方面达到行业高质量，得10分； （2）投标产品的技术先进性、可靠性较高，货物制造技术、制造设备、生产工艺为行业内较高水平，使用材料与部件等方面达到行业较高质量，得7分； （3）投标产品的技术先进性、可靠性一般，货物制造技术、制造设备、生产工艺为业内一般水平、使用材料与部件等方面质量一般，得4分。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(8.0分)</w:t>
            </w:r>
          </w:p>
        </w:tc>
        <w:tc>
          <w:tcPr>
            <w:tcW w:type="dxa" w:w="5076"/>
          </w:tcPr>
          <w:p>
            <w:pPr>
              <w:jc w:val="left"/>
            </w:pPr>
            <w:r>
              <w:rPr/>
              <w:t>根据各投标人提供的质量保障措施或方案进行评审： （1）质量保障措施详细具体，方案可行性高，完全满足并优于采购要求，得8分； （2）质量保障措施较详细具体，方案可行性较高，完全满足采购要求，得5分； （3）质量保障措施具体性一般，方案可行性一般，基本满足采购要求，得3分； （4）质量保障措施具体性差，方案可行性差，不能满足采购要求，得1分. 注：不提供质量保障措施或方案不得分。</w:t>
            </w:r>
          </w:p>
        </w:tc>
      </w:tr>
      <w:tr>
        <w:tc>
          <w:tcPr>
            <w:tcW w:type="dxa" w:w="922"/>
            <w:gridSpan w:val="2"/>
            <w:vMerge/>
          </w:tcPr>
          <w:p/>
        </w:tc>
        <w:tc>
          <w:tcPr>
            <w:tcW w:type="dxa" w:w="2307"/>
          </w:tcPr>
          <w:p>
            <w:pPr>
              <w:jc w:val="left"/>
            </w:pPr>
            <w:r>
              <w:rPr/>
              <w:t>产品交货、安装调试、培训计划、验收方案 (8.0分)</w:t>
            </w:r>
          </w:p>
        </w:tc>
        <w:tc>
          <w:tcPr>
            <w:tcW w:type="dxa" w:w="5076"/>
          </w:tcPr>
          <w:p>
            <w:pPr>
              <w:jc w:val="left"/>
            </w:pPr>
            <w:r>
              <w:rPr/>
              <w:t>根据投标人产品交货、包装、安装、调试、培训、验收方案等对采购人采购需求中的要求，进行综合评价： （1）方案详细具体，内容针对性强、可操作性强，得8分； （2）方案较为详细具体，内容有一定针对性、可操作性较强，得5分； （3）方案基本完整，具有一定合理性、可操作性，得3分；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投标人2019年1月1日至今完成的同类项目：每一项得0.5分，最高得2.5分。 注：需要提供合同复印件，以合同的签订日期为准，不提供或专家无法认定的不得分。</w:t>
            </w:r>
          </w:p>
        </w:tc>
      </w:tr>
      <w:tr>
        <w:tc>
          <w:tcPr>
            <w:tcW w:type="dxa" w:w="922"/>
            <w:gridSpan w:val="2"/>
            <w:vMerge/>
          </w:tcPr>
          <w:p/>
        </w:tc>
        <w:tc>
          <w:tcPr>
            <w:tcW w:type="dxa" w:w="2307"/>
          </w:tcPr>
          <w:p>
            <w:pPr>
              <w:jc w:val="left"/>
            </w:pPr>
            <w:r>
              <w:rPr/>
              <w:t>拟投入团队人员情况 (7.5分)</w:t>
            </w:r>
          </w:p>
        </w:tc>
        <w:tc>
          <w:tcPr>
            <w:tcW w:type="dxa" w:w="5076"/>
          </w:tcPr>
          <w:p>
            <w:pPr>
              <w:jc w:val="left"/>
            </w:pPr>
            <w:r>
              <w:rPr/>
              <w:t>根据投标人拟投入本项目的团队人员的配备计划、人员类似项目经验、资质证书情况等，进行综合评价： （1）拟投入项目成员人数充足、专业知识强、经验丰富，得7.5分； （2）拟投入项目成员人数较充足、专业知识较强、经验较强，得5分； （3）拟投入项目成员人数一般、专业知识一般、经验一般，得2.5分； （4）拟投入项目组成员数量欠缺、专业知识和经验弱，得1分。 注：需提供以上拟投入本项目的团队人员的配备计方案、从业经验证明材料、资质证书及在投标人单位任职的投标截止之日前三个月内任意一个月的社保或代缴个人所得税证明作为证明资料，不提供或专家无法认定的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（1）售后服务方案合理可行，维护计划详细，售后服务措施完善，服务承诺详细，得10分； （2）售后服务方案较合理可行，维护计划较详细，售后服务措施较完善，服务承诺完整，得7分； （3）售后服务方案基本完整，维护计划一般，售后服务措施基本满足要求，服务承诺一般，得4分； （4）售后服务方案有重大偏差或缺漏，维护计划查或服务承诺差，得1分。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溶剂辅助蒸馏装置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(5.0分)</w:t>
            </w:r>
          </w:p>
        </w:tc>
        <w:tc>
          <w:tcPr>
            <w:tcW w:type="dxa" w:w="5076"/>
          </w:tcPr>
          <w:p>
            <w:pPr>
              <w:jc w:val="left"/>
            </w:pPr>
            <w:r>
              <w:rPr/>
              <w:t>（1）完全响应并有优于“技术标准与要求”的，得 5 分； （2）完全响应“技术标准与要求”的，得 3 分； （3）对“技术标准与要求”有负偏离的，得 1 分。</w:t>
            </w:r>
          </w:p>
        </w:tc>
      </w:tr>
      <w:tr>
        <w:tc>
          <w:tcPr>
            <w:tcW w:type="dxa" w:w="922"/>
            <w:gridSpan w:val="2"/>
            <w:vMerge/>
          </w:tcPr>
          <w:p/>
        </w:tc>
        <w:tc>
          <w:tcPr>
            <w:tcW w:type="dxa" w:w="2307"/>
          </w:tcPr>
          <w:p>
            <w:pPr>
              <w:jc w:val="left"/>
            </w:pPr>
            <w:r>
              <w:rPr/>
              <w:t>技术先进性、可靠性 (15.0分)</w:t>
            </w:r>
          </w:p>
        </w:tc>
        <w:tc>
          <w:tcPr>
            <w:tcW w:type="dxa" w:w="5076"/>
          </w:tcPr>
          <w:p>
            <w:pPr>
              <w:jc w:val="left"/>
            </w:pPr>
            <w:r>
              <w:rPr/>
              <w:t>（1）投标产品的技术先进性、可靠性高，货物制造技术、制造设备、生产工艺达到行业内高水平、使用材料与部件等方面达到行业高质量，得15分； （2）投标产品的技术先进性、可靠性较高，货物制造技术、制造设备、生产工艺为行业内较高水平，使用材料与部件等方面达到行业较高质量，得10分； （3）投标产品的技术先进性、可靠性一般，货物制造技术、制造设备、生产工艺为业内一般水平、使用材料与部件等方面质量一般，得5分。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(15.0分)</w:t>
            </w:r>
          </w:p>
        </w:tc>
        <w:tc>
          <w:tcPr>
            <w:tcW w:type="dxa" w:w="5076"/>
          </w:tcPr>
          <w:p>
            <w:pPr>
              <w:jc w:val="left"/>
            </w:pPr>
            <w:r>
              <w:rPr/>
              <w:t>根据各投标人提供的质量保障措施或方案进行评审： （1）质量保障措施详细具体，方案可行性高，完全满足并优于采购要求，得15分； （2）质量保障措施较详细具体，方案可行性较高，完全满足采购要求，得10分； （3）质量保障措施具体性一般，方案可行性一般，基本满足采购要求，得5分； （4）质量保障措施具体性差，方案可行性差，不能满足采购要求，得1分. 注：不提供质量保障措施或方案不得分。</w:t>
            </w:r>
          </w:p>
        </w:tc>
      </w:tr>
      <w:tr>
        <w:tc>
          <w:tcPr>
            <w:tcW w:type="dxa" w:w="922"/>
            <w:gridSpan w:val="2"/>
            <w:vMerge/>
          </w:tcPr>
          <w:p/>
        </w:tc>
        <w:tc>
          <w:tcPr>
            <w:tcW w:type="dxa" w:w="2307"/>
          </w:tcPr>
          <w:p>
            <w:pPr>
              <w:jc w:val="left"/>
            </w:pPr>
            <w:r>
              <w:rPr/>
              <w:t>产品交货、安装调试、培训计划、验收方案 (15.0分)</w:t>
            </w:r>
          </w:p>
        </w:tc>
        <w:tc>
          <w:tcPr>
            <w:tcW w:type="dxa" w:w="5076"/>
          </w:tcPr>
          <w:p>
            <w:pPr>
              <w:jc w:val="left"/>
            </w:pPr>
            <w:r>
              <w:rPr/>
              <w:t>根据投标人产品交货、包装、安装、调试、培训、验收方案等对采购人采购需求中的要求，进行综合评价： （1）方案详细具体，内容针对性强、可操作性强，得15分； （2）方案较为详细具体，内容有一定针对性、可操作性较强，得10分； （3）方案基本完整，具有一定合理性、可操作性，得5分；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投标人2019年1月1日至今完成的同类项目：每一项得0.5分，最高得2.5分。 注：需要提供合同复印件，以合同的签订日期为准，不提供或专家无法认定的不得分。</w:t>
            </w:r>
          </w:p>
        </w:tc>
      </w:tr>
      <w:tr>
        <w:tc>
          <w:tcPr>
            <w:tcW w:type="dxa" w:w="922"/>
            <w:gridSpan w:val="2"/>
            <w:vMerge/>
          </w:tcPr>
          <w:p/>
        </w:tc>
        <w:tc>
          <w:tcPr>
            <w:tcW w:type="dxa" w:w="2307"/>
          </w:tcPr>
          <w:p>
            <w:pPr>
              <w:jc w:val="left"/>
            </w:pPr>
            <w:r>
              <w:rPr/>
              <w:t>拟投入团队人员情况 (7.5分)</w:t>
            </w:r>
          </w:p>
        </w:tc>
        <w:tc>
          <w:tcPr>
            <w:tcW w:type="dxa" w:w="5076"/>
          </w:tcPr>
          <w:p>
            <w:pPr>
              <w:jc w:val="left"/>
            </w:pPr>
            <w:r>
              <w:rPr/>
              <w:t>根据投标人拟投入本项目的团队人员的配备计划、人员类似项目经验、资质证书情况等，进行综合评价： （1）拟投入项目成员人数充足、专业知识强、经验丰富，得7.5分； （2）拟投入项目成员人数较充足、专业知识较强、经验较强，得5分； （3）拟投入项目成员人数一般、专业知识一般、经验一般，得2.5分； （4）拟投入项目组成员数量欠缺、专业知识和经验弱，得1分。 注：需提供以上拟投入本项目的团队人员的配备计方案、从业经验证明材料、资质证书及在投标人单位任职的投标截止之日前三个月内任意一个月的社保或代缴个人所得税证明作为证明资料，不提供或专家无法认定的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（1）售后服务方案合理可行，维护计划详细，售后服务措施完善，服务承诺详细，得10分； （2）售后服务方案较合理可行，维护计划较详细，售后服务措施较完善，服务承诺完整，得7分； （3）售后服务方案基本完整，维护计划一般，售后服务措施基本满足要求，服务承诺一般，得4分； （4）售后服务方案有重大偏差或缺漏，维护计划查或服务承诺差，得1分。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荧光定量基因扩增仪等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(15.0分)</w:t>
            </w:r>
          </w:p>
        </w:tc>
        <w:tc>
          <w:tcPr>
            <w:tcW w:type="dxa" w:w="5076"/>
          </w:tcPr>
          <w:p>
            <w:pPr>
              <w:jc w:val="left"/>
            </w:pPr>
            <w:r>
              <w:rPr/>
              <w:t>（1）完全响应或正偏离“技术标准与要求”中所有带“▲”条款（共5项）的，得15分，每项带“▲”条款负偏离扣3分，本项最高扣15分。 注：所有▲指标以提供所投货物的原厂宣传彩页或参数证明函（加盖制造厂商公章）或相关检测报告为准，未提供的不得分、证明资料数据不全视为不满足。</w:t>
            </w:r>
          </w:p>
        </w:tc>
      </w:tr>
      <w:tr>
        <w:tc>
          <w:tcPr>
            <w:tcW w:type="dxa" w:w="922"/>
            <w:gridSpan w:val="2"/>
            <w:vMerge/>
          </w:tcPr>
          <w:p/>
        </w:tc>
        <w:tc>
          <w:tcPr>
            <w:tcW w:type="dxa" w:w="2307"/>
          </w:tcPr>
          <w:p>
            <w:pPr>
              <w:jc w:val="left"/>
            </w:pPr>
            <w:r>
              <w:rPr/>
              <w:t>技术先进性、可靠性 (15.0分)</w:t>
            </w:r>
          </w:p>
        </w:tc>
        <w:tc>
          <w:tcPr>
            <w:tcW w:type="dxa" w:w="5076"/>
          </w:tcPr>
          <w:p>
            <w:pPr>
              <w:jc w:val="left"/>
            </w:pPr>
            <w:r>
              <w:rPr/>
              <w:t>（1）投标产品的技术先进性、可靠性高，货物制造技术、制造设备、生产工艺达到行业内高水平、使用材料与部件等方面达到行业高质量，得15分； （2）投标产品的技术先进性、可靠性较高，货物制造技术、制造设备、生产工艺为行业内较高水平，使用材料与部件等方面达到行业较高质量，得10分； （3）投标产品的技术先进性、可靠性一般，货物制造技术、制造设备、生产工艺为业内一般水平、使用材料与部件等方面质量一般，得5分。 （4）投标产品的技术先进性、可靠性差，货物制造技术、制造设备、生产工艺为业内低水平、使用材料与部件等方面质量差，得1分。</w:t>
            </w:r>
          </w:p>
        </w:tc>
      </w:tr>
      <w:tr>
        <w:tc>
          <w:tcPr>
            <w:tcW w:type="dxa" w:w="922"/>
            <w:gridSpan w:val="2"/>
            <w:vMerge/>
          </w:tcPr>
          <w:p/>
        </w:tc>
        <w:tc>
          <w:tcPr>
            <w:tcW w:type="dxa" w:w="2307"/>
          </w:tcPr>
          <w:p>
            <w:pPr>
              <w:jc w:val="left"/>
            </w:pPr>
            <w:r>
              <w:rPr/>
              <w:t>质量保证 (10.0分)</w:t>
            </w:r>
          </w:p>
        </w:tc>
        <w:tc>
          <w:tcPr>
            <w:tcW w:type="dxa" w:w="5076"/>
          </w:tcPr>
          <w:p>
            <w:pPr>
              <w:jc w:val="left"/>
            </w:pPr>
            <w:r>
              <w:rPr/>
              <w:t>根据各投标人提供的质量保障措施或方案进行评审： （1）质量保障措施详细具体，方案可行性高，完全满足并优于采购要求，得10分； （2）质量保障措施较详细具体，方案可行性较高，完全满足采购要求，得7分； （3）质量保障措施具体性一般，方案可行性一般，基本满足采购要求，得4分； （4）质量保障措施具体性差，方案可行性差，不能满足采购要求，得1分。 注：不提供质量保障措施或方案不得分。</w:t>
            </w:r>
          </w:p>
        </w:tc>
      </w:tr>
      <w:tr>
        <w:tc>
          <w:tcPr>
            <w:tcW w:type="dxa" w:w="922"/>
            <w:gridSpan w:val="2"/>
            <w:vMerge/>
          </w:tcPr>
          <w:p/>
        </w:tc>
        <w:tc>
          <w:tcPr>
            <w:tcW w:type="dxa" w:w="2307"/>
          </w:tcPr>
          <w:p>
            <w:pPr>
              <w:jc w:val="left"/>
            </w:pPr>
            <w:r>
              <w:rPr/>
              <w:t>产品交货、安装调试、培训计划、验收方案 (10.0分)</w:t>
            </w:r>
          </w:p>
        </w:tc>
        <w:tc>
          <w:tcPr>
            <w:tcW w:type="dxa" w:w="5076"/>
          </w:tcPr>
          <w:p>
            <w:pPr>
              <w:jc w:val="left"/>
            </w:pPr>
            <w:r>
              <w:rPr/>
              <w:t>根据投标人产品交货、包装、安装、调试、培训、验收方案等对采购人采购需求中的要求，进行综合评价： （1）方案详细具体，内容针对性强、可操作性强，得10分； （2）方案较为详细具体，内容有一定针对性、可操作性较强，得7分； （3）方案基本完整，具有一定合理性、可操作性，得4分； （4）方案有重大偏差或缺漏，合理性、可操作性较差，得1分。 注：不提供不得分。</w:t>
            </w:r>
          </w:p>
        </w:tc>
      </w:tr>
      <w:tr>
        <w:tc>
          <w:tcPr>
            <w:tcW w:type="dxa" w:w="922"/>
            <w:gridSpan w:val="2"/>
            <w:vMerge w:val="restart"/>
          </w:tcPr>
          <w:p>
            <w:pPr>
              <w:jc w:val="center"/>
            </w:pPr>
            <w:r>
              <w:rPr/>
              <w:t>商务部分</w:t>
            </w:r>
          </w:p>
        </w:tc>
        <w:tc>
          <w:tcPr>
            <w:tcW w:type="dxa" w:w="2307"/>
          </w:tcPr>
          <w:p>
            <w:pPr>
              <w:jc w:val="left"/>
            </w:pPr>
            <w:r>
              <w:rPr/>
              <w:t>同类项目经验 (2.5分)</w:t>
            </w:r>
          </w:p>
        </w:tc>
        <w:tc>
          <w:tcPr>
            <w:tcW w:type="dxa" w:w="5076"/>
          </w:tcPr>
          <w:p>
            <w:pPr>
              <w:jc w:val="left"/>
            </w:pPr>
            <w:r>
              <w:rPr/>
              <w:t>投标人2019年1月1日至今完成的同类项目：每一项得0.5分，最高得2.5分。 注：需要提供合同复印件，以合同的签订日期为准，不提供或专家无法认定的不得分。</w:t>
            </w:r>
          </w:p>
        </w:tc>
      </w:tr>
      <w:tr>
        <w:tc>
          <w:tcPr>
            <w:tcW w:type="dxa" w:w="922"/>
            <w:gridSpan w:val="2"/>
            <w:vMerge/>
          </w:tcPr>
          <w:p/>
        </w:tc>
        <w:tc>
          <w:tcPr>
            <w:tcW w:type="dxa" w:w="2307"/>
          </w:tcPr>
          <w:p>
            <w:pPr>
              <w:jc w:val="left"/>
            </w:pPr>
            <w:r>
              <w:rPr/>
              <w:t>拟投入团队人员情况 (7.5分)</w:t>
            </w:r>
          </w:p>
        </w:tc>
        <w:tc>
          <w:tcPr>
            <w:tcW w:type="dxa" w:w="5076"/>
          </w:tcPr>
          <w:p>
            <w:pPr>
              <w:jc w:val="left"/>
            </w:pPr>
            <w:r>
              <w:rPr/>
              <w:t>根据投标人拟投入本项目的团队人员的配备计划、人员类似项目经验、资质证书情况等，进行综合评价： （1）拟投入项目成员人数充足、专业知识强、经验丰富，得7.5分； （2）拟投入项目成员人数较充足、专业知识较强、经验较强，得5分； （3）拟投入项目成员人数一般、专业知识一般、经验一般，得2.5分； （4）拟投入项目组成员数量欠缺、专业知识和经验弱，得1分。 注：需提供以上拟投入本项目的团队人员的配备计方案、从业经验证明材料、资质证书及在投标人单位任职的投标截止之日前三个月内任意一个月的社保或代缴个人所得税证明作为证明资料，不提供或专家无法认定的不得分。</w:t>
            </w:r>
          </w:p>
        </w:tc>
      </w:tr>
      <w:tr>
        <w:tc>
          <w:tcPr>
            <w:tcW w:type="dxa" w:w="922"/>
            <w:gridSpan w:val="2"/>
            <w:vMerge/>
          </w:tcPr>
          <w:p/>
        </w:tc>
        <w:tc>
          <w:tcPr>
            <w:tcW w:type="dxa" w:w="2307"/>
          </w:tcPr>
          <w:p>
            <w:pPr>
              <w:jc w:val="left"/>
            </w:pPr>
            <w:r>
              <w:rPr/>
              <w:t>售后服务方案 (10.0分)</w:t>
            </w:r>
          </w:p>
        </w:tc>
        <w:tc>
          <w:tcPr>
            <w:tcW w:type="dxa" w:w="5076"/>
          </w:tcPr>
          <w:p>
            <w:pPr>
              <w:jc w:val="left"/>
            </w:pPr>
            <w:r>
              <w:rPr/>
              <w:t>根据投标人的项目售后服务方案（包括但不限于售后服务承诺、生产企业的技术支持、保修期、备品备件价格、维护保养及应急维修时间安排等），进行综合评价： （1）售后服务方案合理可行，维护计划详细，售后服务措施完善，服务承诺详细，得10分； （2）售后服务方案较合理可行，维护计划较详细，售后服务措施较完善，服务承诺完整，得7分； （3）售后服务方案基本完整，维护计划一般，售后服务措施基本满足要求，服务承诺一般，得4分； （4）售后服务方案有重大偏差或缺漏，维护计划查或服务承诺差，得1分。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r>
        <w:rPr>
          <w:b/>
          <w:sz w:val="21"/>
        </w:rPr>
        <w:t>注：</w:t>
      </w:r>
    </w:p>
    <w:p>
      <w:pPr>
        <w:ind w:firstLine="211"/>
        <w:jc w:val="left"/>
      </w:pPr>
      <w:r>
        <w:rPr>
          <w:b/>
          <w:sz w:val="21"/>
        </w:rPr>
        <w:t>1</w:t>
      </w:r>
      <w:r>
        <w:rPr>
          <w:b/>
          <w:sz w:val="21"/>
        </w:rPr>
        <w:t>、合同具体事项须根据采购文件的约定及乙方投标文件的承诺执行；</w:t>
      </w:r>
    </w:p>
    <w:p>
      <w:pPr>
        <w:ind w:firstLine="211"/>
        <w:jc w:val="left"/>
      </w:pPr>
    </w:p>
    <w:p>
      <w:pPr>
        <w:ind w:firstLine="211"/>
        <w:jc w:val="left"/>
      </w:pPr>
    </w:p>
    <w:p>
      <w:pPr>
        <w:jc w:val="center"/>
      </w:pPr>
      <w:r>
        <w:rPr>
          <w:b/>
          <w:sz w:val="30"/>
        </w:rPr>
        <w:t>合同格式一（适用于中华人民共和国关境内提供的货物和服务）</w:t>
      </w: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签订类型：单项合同/年度合同</w:t>
      </w:r>
    </w:p>
    <w:p>
      <w:pPr>
        <w:jc w:val="both"/>
      </w:pPr>
      <w:r>
        <w:rPr>
          <w:sz w:val="21"/>
        </w:rPr>
        <w:t>合同范本：采购合同</w:t>
      </w:r>
    </w:p>
    <w:p>
      <w:pPr>
        <w:jc w:val="both"/>
      </w:pPr>
      <w:r>
        <w:rPr>
          <w:sz w:val="21"/>
        </w:rPr>
        <w:t>合同期限： 20XX年XX月XX日至20XX年XX月XX日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广东省农作物现代种业产业园项目---蔬菜风味和分子育种研究设备采购</w:t>
      </w:r>
      <w:r>
        <w:rPr>
          <w:sz w:val="21"/>
        </w:rPr>
        <w:t>招标文件（项目编号：GZGK22P097A0342Z）的要求，经双方协商，本着平等互利和诚实信用的原则，一致同意签订本合同。</w:t>
      </w:r>
    </w:p>
    <w:p>
      <w:pPr>
        <w:jc w:val="both"/>
      </w:pPr>
      <w:r>
        <w:rPr>
          <w:b/>
          <w:sz w:val="21"/>
        </w:rPr>
        <w:t>一、合同采购内容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19"/>
        <w:gridCol w:w="792"/>
        <w:gridCol w:w="755"/>
        <w:gridCol w:w="755"/>
        <w:gridCol w:w="755"/>
        <w:gridCol w:w="755"/>
        <w:gridCol w:w="755"/>
        <w:gridCol w:w="755"/>
        <w:gridCol w:w="755"/>
        <w:gridCol w:w="755"/>
        <w:gridCol w:w="755"/>
      </w:tblGrid>
      <w:tr>
        <w:tc>
          <w:tcPr>
            <w:tcW w:type="dxa" w:w="719"/>
            <w:tcBorders>
              <w:top w:val="single" w:color="000000" w:sz="4"/>
              <w:left w:val="single" w:color="000000" w:sz="4"/>
              <w:bottom w:val="single" w:color="000000" w:sz="4"/>
              <w:right w:val="single" w:color="000000" w:sz="4"/>
            </w:tcBorders>
          </w:tcPr>
          <w:p>
            <w:pPr>
              <w:jc w:val="center"/>
            </w:pPr>
            <w:r>
              <w:rPr>
                <w:sz w:val="21"/>
              </w:rPr>
              <w:t>序号</w:t>
            </w:r>
          </w:p>
        </w:tc>
        <w:tc>
          <w:tcPr>
            <w:tcW w:type="dxa" w:w="792"/>
            <w:tcBorders>
              <w:top w:val="single" w:color="000000" w:sz="4"/>
              <w:left w:val="none" w:color="000000" w:sz="4"/>
              <w:bottom w:val="single" w:color="000000" w:sz="4"/>
              <w:right w:val="single" w:color="000000" w:sz="4"/>
            </w:tcBorders>
          </w:tcPr>
          <w:p>
            <w:pPr>
              <w:jc w:val="center"/>
            </w:pPr>
            <w:r>
              <w:rPr>
                <w:sz w:val="21"/>
              </w:rPr>
              <w:t>标的名称</w:t>
            </w:r>
          </w:p>
        </w:tc>
        <w:tc>
          <w:tcPr>
            <w:tcW w:type="dxa" w:w="755"/>
            <w:tcBorders>
              <w:top w:val="single" w:color="000000" w:sz="4"/>
              <w:left w:val="none" w:color="000000" w:sz="4"/>
              <w:bottom w:val="single" w:color="000000" w:sz="4"/>
              <w:right w:val="single" w:color="000000" w:sz="4"/>
            </w:tcBorders>
          </w:tcPr>
          <w:p>
            <w:pPr>
              <w:jc w:val="center"/>
            </w:pPr>
            <w:r>
              <w:rPr>
                <w:sz w:val="21"/>
              </w:rPr>
              <w:t>品目编码</w:t>
            </w:r>
          </w:p>
        </w:tc>
        <w:tc>
          <w:tcPr>
            <w:tcW w:type="dxa" w:w="755"/>
            <w:tcBorders>
              <w:top w:val="single" w:color="000000" w:sz="4"/>
              <w:left w:val="none" w:color="000000" w:sz="4"/>
              <w:bottom w:val="single" w:color="000000" w:sz="4"/>
              <w:right w:val="single" w:color="000000" w:sz="4"/>
            </w:tcBorders>
          </w:tcPr>
          <w:p>
            <w:pPr>
              <w:jc w:val="center"/>
            </w:pPr>
            <w:r>
              <w:rPr>
                <w:sz w:val="21"/>
              </w:rPr>
              <w:t>技术要求</w:t>
            </w:r>
          </w:p>
        </w:tc>
        <w:tc>
          <w:tcPr>
            <w:tcW w:type="dxa" w:w="755"/>
            <w:tcBorders>
              <w:top w:val="single" w:color="000000" w:sz="4"/>
              <w:left w:val="none" w:color="000000" w:sz="4"/>
              <w:bottom w:val="single" w:color="000000" w:sz="4"/>
              <w:right w:val="single" w:color="000000" w:sz="4"/>
            </w:tcBorders>
          </w:tcPr>
          <w:p>
            <w:pPr>
              <w:jc w:val="center"/>
            </w:pPr>
            <w:r>
              <w:rPr>
                <w:sz w:val="21"/>
              </w:rPr>
              <w:t>是否进口</w:t>
            </w:r>
          </w:p>
        </w:tc>
        <w:tc>
          <w:tcPr>
            <w:tcW w:type="dxa" w:w="755"/>
            <w:tcBorders>
              <w:top w:val="single" w:color="000000" w:sz="4"/>
              <w:left w:val="none" w:color="000000" w:sz="4"/>
              <w:bottom w:val="single" w:color="000000" w:sz="4"/>
              <w:right w:val="single" w:color="000000" w:sz="4"/>
            </w:tcBorders>
          </w:tcPr>
          <w:p>
            <w:pPr>
              <w:jc w:val="center"/>
            </w:pPr>
            <w:r>
              <w:rPr>
                <w:sz w:val="21"/>
              </w:rPr>
              <w:t>品牌</w:t>
            </w:r>
          </w:p>
        </w:tc>
        <w:tc>
          <w:tcPr>
            <w:tcW w:type="dxa" w:w="755"/>
            <w:tcBorders>
              <w:top w:val="single" w:color="000000" w:sz="4"/>
              <w:left w:val="none" w:color="000000" w:sz="4"/>
              <w:bottom w:val="single" w:color="000000" w:sz="4"/>
              <w:right w:val="single" w:color="000000" w:sz="4"/>
            </w:tcBorders>
          </w:tcPr>
          <w:p>
            <w:pPr>
              <w:jc w:val="center"/>
            </w:pPr>
            <w:r>
              <w:rPr>
                <w:sz w:val="21"/>
              </w:rPr>
              <w:t>规格参数</w:t>
            </w:r>
          </w:p>
        </w:tc>
        <w:tc>
          <w:tcPr>
            <w:tcW w:type="dxa" w:w="755"/>
            <w:tcBorders>
              <w:top w:val="single" w:color="000000" w:sz="4"/>
              <w:left w:val="none" w:color="000000" w:sz="4"/>
              <w:bottom w:val="single" w:color="000000" w:sz="4"/>
              <w:right w:val="single" w:color="000000" w:sz="4"/>
            </w:tcBorders>
          </w:tcPr>
          <w:p>
            <w:pPr>
              <w:jc w:val="center"/>
            </w:pPr>
            <w:r>
              <w:rPr>
                <w:sz w:val="21"/>
              </w:rPr>
              <w:t>采购数量</w:t>
            </w:r>
          </w:p>
        </w:tc>
        <w:tc>
          <w:tcPr>
            <w:tcW w:type="dxa" w:w="755"/>
            <w:tcBorders>
              <w:top w:val="single" w:color="000000" w:sz="4"/>
              <w:left w:val="none" w:color="000000" w:sz="4"/>
              <w:bottom w:val="single" w:color="000000" w:sz="4"/>
              <w:right w:val="single" w:color="000000" w:sz="4"/>
            </w:tcBorders>
          </w:tcPr>
          <w:p>
            <w:pPr>
              <w:jc w:val="center"/>
            </w:pPr>
            <w:r>
              <w:rPr>
                <w:sz w:val="21"/>
              </w:rPr>
              <w:t>计量单位</w:t>
            </w:r>
          </w:p>
        </w:tc>
        <w:tc>
          <w:tcPr>
            <w:tcW w:type="dxa" w:w="755"/>
            <w:tcBorders>
              <w:top w:val="single" w:color="000000" w:sz="4"/>
              <w:left w:val="none" w:color="000000" w:sz="4"/>
              <w:bottom w:val="single" w:color="000000" w:sz="4"/>
              <w:right w:val="single" w:color="000000" w:sz="4"/>
            </w:tcBorders>
          </w:tcPr>
          <w:p>
            <w:pPr>
              <w:jc w:val="center"/>
            </w:pPr>
            <w:r>
              <w:rPr>
                <w:sz w:val="21"/>
              </w:rPr>
              <w:t>单价（元）</w:t>
            </w:r>
          </w:p>
        </w:tc>
        <w:tc>
          <w:tcPr>
            <w:tcW w:type="dxa" w:w="755"/>
            <w:tcBorders>
              <w:top w:val="single" w:color="000000" w:sz="4"/>
              <w:left w:val="none" w:color="000000" w:sz="4"/>
              <w:bottom w:val="single" w:color="000000" w:sz="4"/>
              <w:right w:val="single" w:color="000000" w:sz="4"/>
            </w:tcBorders>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tcPr>
          <w:p>
            <w:pPr>
              <w:jc w:val="center"/>
            </w:pPr>
            <w:r>
              <w:rPr>
                <w:sz w:val="21"/>
              </w:rPr>
              <w:t>1</w:t>
            </w:r>
          </w:p>
        </w:tc>
        <w:tc>
          <w:tcPr>
            <w:tcW w:type="dxa" w:w="792"/>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r>
              <w:rPr>
                <w:sz w:val="21"/>
              </w:rPr>
              <w:t>详见合同文本</w:t>
            </w: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2</w:t>
            </w:r>
          </w:p>
        </w:tc>
        <w:tc>
          <w:tcPr>
            <w:tcW w:type="dxa" w:w="792"/>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w:t>
            </w:r>
          </w:p>
        </w:tc>
        <w:tc>
          <w:tcPr>
            <w:tcW w:type="dxa" w:w="792"/>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w:t>
      </w:r>
      <w:r>
        <w:rPr>
          <w:sz w:val="21"/>
        </w:rPr>
        <w:t>货款、设计、安装、随机零配件、标配工具、运输保险、调试、培训、质量保证期服务、各项税费及合同实施过程中不可预见费用等</w:t>
      </w:r>
      <w:r>
        <w:rPr>
          <w:sz w:val="21"/>
        </w:rPr>
        <w:t>。</w:t>
      </w:r>
    </w:p>
    <w:p>
      <w:pPr>
        <w:ind w:firstLine="420"/>
        <w:jc w:val="both"/>
      </w:pPr>
      <w:r>
        <w:rPr>
          <w:b/>
          <w:sz w:val="21"/>
        </w:rPr>
        <w:t>二、合同金额</w:t>
      </w:r>
    </w:p>
    <w:p>
      <w:pPr>
        <w:jc w:val="both"/>
      </w:pPr>
      <w:r>
        <w:rPr>
          <w:sz w:val="21"/>
        </w:rPr>
        <w:t>合同总金额：小写：￥</w:t>
      </w:r>
      <w:r>
        <w:rPr>
          <w:sz w:val="21"/>
          <w:u w:val="single"/>
        </w:rPr>
        <w:t xml:space="preserve">                 </w:t>
      </w:r>
      <w:r>
        <w:rPr>
          <w:sz w:val="21"/>
        </w:rPr>
        <w:t>； 大写：人民币</w:t>
      </w:r>
      <w:r>
        <w:rPr>
          <w:sz w:val="21"/>
          <w:u w:val="single"/>
        </w:rPr>
        <w:t xml:space="preserve">            </w:t>
      </w:r>
    </w:p>
    <w:p>
      <w:pPr>
        <w:jc w:val="both"/>
      </w:pPr>
      <w:r>
        <w:rPr>
          <w:sz w:val="21"/>
        </w:rPr>
        <w:t>三、</w:t>
      </w:r>
      <w:r>
        <w:rPr>
          <w:b/>
          <w:sz w:val="21"/>
        </w:rPr>
        <w:t>设备要求</w:t>
      </w:r>
    </w:p>
    <w:p>
      <w:pPr>
        <w:jc w:val="both"/>
      </w:pPr>
      <w:r>
        <w:rPr>
          <w:sz w:val="21"/>
        </w:rPr>
        <w:t>1、乙方提供的货物必须符合中华人民共和国“国家安全环保标准”。</w:t>
      </w:r>
    </w:p>
    <w:p>
      <w:pPr>
        <w:jc w:val="both"/>
      </w:pPr>
      <w:r>
        <w:rPr>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3、货物为原厂商未启封全新包装，具出厂合格证，序列号、包装箱号与出厂批号一致，并可追索查阅。</w:t>
      </w:r>
    </w:p>
    <w:p>
      <w:pPr>
        <w:jc w:val="both"/>
      </w:pPr>
      <w:r>
        <w:rPr>
          <w:sz w:val="21"/>
        </w:rPr>
        <w:t>4、乙方应将关键主机设备的用户手册、保修手册、有关单证资料及配备件、随机工具等交付给甲方，使用操作及安全须知等重要资料应附有中文说明。</w:t>
      </w:r>
    </w:p>
    <w:p>
      <w:pPr>
        <w:jc w:val="both"/>
      </w:pPr>
      <w:r>
        <w:rPr>
          <w:sz w:val="21"/>
        </w:rPr>
        <w:t>5、如果发现货物的质量和规格与合同规定不符或货物在质量保证期内被证明有缺陷，包括内在缺陷或使用不适当原材料，甲方将有权要求有关部门进行检验，并依据检验证书向乙方索赔。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四、知识产权</w:t>
      </w:r>
    </w:p>
    <w:p>
      <w:pPr>
        <w:jc w:val="both"/>
      </w:pPr>
      <w:r>
        <w:rPr>
          <w:sz w:val="21"/>
        </w:rPr>
        <w:t>1、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五、交付时间、地点、方式</w:t>
      </w:r>
    </w:p>
    <w:p>
      <w:pPr>
        <w:jc w:val="both"/>
      </w:pPr>
      <w:r>
        <w:rPr>
          <w:sz w:val="21"/>
        </w:rPr>
        <w:t>1、交付时间：（按采购需求要求）</w:t>
      </w:r>
    </w:p>
    <w:p>
      <w:pPr>
        <w:jc w:val="both"/>
      </w:pPr>
      <w:r>
        <w:rPr>
          <w:sz w:val="21"/>
        </w:rPr>
        <w:t>2、交付地点：用户指定地点</w:t>
      </w:r>
    </w:p>
    <w:p>
      <w:pPr>
        <w:jc w:val="both"/>
      </w:pPr>
      <w:r>
        <w:rPr>
          <w:sz w:val="21"/>
        </w:rPr>
        <w:t>3、交付条件：项目验收通过</w:t>
      </w:r>
    </w:p>
    <w:p>
      <w:pPr>
        <w:jc w:val="both"/>
      </w:pPr>
      <w:r>
        <w:rPr>
          <w:sz w:val="21"/>
        </w:rPr>
        <w:t>4、甲方联系人及联系电话：</w:t>
      </w:r>
    </w:p>
    <w:p>
      <w:pPr>
        <w:jc w:val="both"/>
      </w:pPr>
      <w:r>
        <w:rPr>
          <w:sz w:val="21"/>
        </w:rPr>
        <w:t>5、乙方联系人及联系电话：</w:t>
      </w:r>
    </w:p>
    <w:p>
      <w:pPr>
        <w:jc w:val="both"/>
      </w:pPr>
      <w:r>
        <w:rPr>
          <w:b/>
          <w:sz w:val="21"/>
        </w:rPr>
        <w:t>六、付款方式、时间及付款条件</w:t>
      </w:r>
    </w:p>
    <w:p>
      <w:pPr>
        <w:ind w:firstLine="412"/>
        <w:jc w:val="both"/>
      </w:pPr>
      <w:r>
        <w:rPr>
          <w:sz w:val="21"/>
        </w:rPr>
        <w:t>付款时间及条件：（按照采购需求要求的付款方式）</w:t>
      </w:r>
    </w:p>
    <w:p>
      <w:pPr>
        <w:ind w:firstLine="412"/>
        <w:jc w:val="both"/>
      </w:pPr>
      <w:r>
        <w:rPr>
          <w:sz w:val="21"/>
        </w:rPr>
        <w:t>付款方式：</w:t>
      </w:r>
    </w:p>
    <w:p>
      <w:pPr>
        <w:ind w:firstLine="412"/>
        <w:jc w:val="both"/>
      </w:pPr>
      <w:r>
        <w:rPr>
          <w:b/>
          <w:sz w:val="21"/>
        </w:rPr>
        <w:t>七、培训、质量保证期及售后服务要求</w:t>
      </w:r>
    </w:p>
    <w:p>
      <w:pPr>
        <w:ind w:firstLine="412"/>
        <w:jc w:val="both"/>
      </w:pPr>
      <w:r>
        <w:rPr>
          <w:sz w:val="21"/>
        </w:rPr>
        <w:t>1、乙方负责甲方使用人员的使用操作技术及维护技术的培训。</w:t>
      </w:r>
    </w:p>
    <w:p>
      <w:pPr>
        <w:ind w:firstLine="412"/>
        <w:jc w:val="both"/>
      </w:pPr>
      <w:r>
        <w:rPr>
          <w:sz w:val="21"/>
        </w:rPr>
        <w:t>2、本合同的质量保证期（简称“质量保证期”）为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保修期后设备维修配件更换只收取成本费用。</w:t>
      </w:r>
    </w:p>
    <w:p>
      <w:pPr>
        <w:ind w:firstLine="412"/>
        <w:jc w:val="both"/>
      </w:pPr>
      <w:r>
        <w:rPr>
          <w:sz w:val="21"/>
        </w:rPr>
        <w:t>3、质量保证期内，如设备或零部件因非人为因素出现故障而造成短期停用时，则质量保证期相应顺延。如停用时间累计超过60天则质量保证期重新计算。</w:t>
      </w:r>
    </w:p>
    <w:p>
      <w:pPr>
        <w:ind w:firstLine="412"/>
        <w:jc w:val="both"/>
      </w:pPr>
      <w:r>
        <w:rPr>
          <w:sz w:val="21"/>
        </w:rPr>
        <w:t>4、在质量保证期内，如货品非因甲方的人为原因而出现的问题由乙方负责保修、包换或包退，并承担修理、调换或退货的实际费用。</w:t>
      </w:r>
    </w:p>
    <w:p>
      <w:pPr>
        <w:ind w:firstLine="412"/>
        <w:jc w:val="both"/>
      </w:pPr>
      <w:r>
        <w:rPr>
          <w:sz w:val="21"/>
        </w:rPr>
        <w:t>5、质量保证期内，乙方负责对其提供的货物整机进行维修和系统维护，不再收取任何费用，但非乙方责任的人为因素、自然因素（如火灾、雷击等）造成的故障除外。</w:t>
      </w:r>
    </w:p>
    <w:p>
      <w:pPr>
        <w:ind w:firstLine="412"/>
        <w:jc w:val="both"/>
      </w:pPr>
      <w:r>
        <w:rPr>
          <w:sz w:val="21"/>
        </w:rPr>
        <w:t>6、对甲方的服务通知，乙方在接报后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p>
    <w:p>
      <w:pPr>
        <w:ind w:firstLine="412"/>
        <w:jc w:val="both"/>
      </w:pPr>
      <w:r>
        <w:rPr>
          <w:sz w:val="21"/>
        </w:rPr>
        <w:t>7、质量保证期间，同一硬件一个月内连续2次出现同一故障，乙方须无偿更换同一档次货物。</w:t>
      </w:r>
    </w:p>
    <w:p>
      <w:pPr>
        <w:ind w:firstLine="412"/>
        <w:jc w:val="both"/>
      </w:pPr>
      <w:r>
        <w:rPr>
          <w:sz w:val="21"/>
        </w:rPr>
        <w:t>8、负责售后服务维修的单位名称（如有）：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ind w:firstLine="630"/>
        <w:jc w:val="both"/>
      </w:pPr>
      <w:r>
        <w:rPr>
          <w:b/>
          <w:sz w:val="21"/>
        </w:rPr>
        <w:t>八、包装、到货检验、</w:t>
      </w:r>
      <w:r>
        <w:rPr>
          <w:b/>
          <w:sz w:val="21"/>
        </w:rPr>
        <w:t>安装与调试</w:t>
      </w:r>
      <w:r>
        <w:rPr>
          <w:sz w:val="21"/>
        </w:rPr>
        <w:t>:</w:t>
      </w:r>
    </w:p>
    <w:p>
      <w:pPr>
        <w:ind w:firstLine="630"/>
        <w:jc w:val="both"/>
      </w:pPr>
      <w:r>
        <w:rPr>
          <w:sz w:val="21"/>
        </w:rPr>
        <w:t>1、合同货物的包装：货物的包装均应有良好的防湿、防锈、防潮、防雨、防腐及防碰撞的措施。凡由于包装不良造成的损失和由此产生的费用均由乙方承担。</w:t>
      </w:r>
    </w:p>
    <w:p>
      <w:pPr>
        <w:ind w:firstLine="630"/>
        <w:jc w:val="both"/>
      </w:pPr>
      <w:r>
        <w:rPr>
          <w:sz w:val="21"/>
        </w:rPr>
        <w:t>2、到货检验</w:t>
      </w:r>
    </w:p>
    <w:p>
      <w:pPr>
        <w:ind w:firstLine="630"/>
        <w:jc w:val="both"/>
      </w:pP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ind w:firstLine="630"/>
        <w:jc w:val="both"/>
      </w:pPr>
      <w:r>
        <w:rPr>
          <w:sz w:val="21"/>
        </w:rPr>
        <w:t>（2）</w:t>
      </w:r>
      <w:r>
        <w:rPr>
          <w:sz w:val="21"/>
        </w:rPr>
        <w:t>货物送到甲方指定场地后，甲、乙双方同时在场时才能开封检验。</w:t>
      </w:r>
    </w:p>
    <w:p>
      <w:pPr>
        <w:ind w:firstLine="630"/>
        <w:jc w:val="both"/>
      </w:pPr>
      <w:r>
        <w:rPr>
          <w:sz w:val="21"/>
        </w:rPr>
        <w:t>3、合同货物的安装调试：</w:t>
      </w:r>
    </w:p>
    <w:p>
      <w:pPr>
        <w:ind w:firstLine="630"/>
        <w:jc w:val="both"/>
      </w:pPr>
      <w:r>
        <w:rPr>
          <w:sz w:val="21"/>
        </w:rPr>
        <w:t>（1）</w:t>
      </w:r>
      <w:r>
        <w:rPr>
          <w:sz w:val="21"/>
        </w:rPr>
        <w:t>除非甲方另有通知，乙方应按照合同的要求以及合同执行计划的时间安排，派出足够的人员进行现场安装和负责调试工作。</w:t>
      </w:r>
    </w:p>
    <w:p>
      <w:pPr>
        <w:ind w:firstLine="630"/>
        <w:jc w:val="both"/>
      </w:pPr>
      <w:r>
        <w:rPr>
          <w:sz w:val="21"/>
        </w:rPr>
        <w:t>（2）</w:t>
      </w:r>
      <w:r>
        <w:rPr>
          <w:sz w:val="21"/>
        </w:rPr>
        <w:t>乙方必须依照招标文件的要求和投标文件的承诺，将设备、系统安装并调试至正常运行的最佳状态。</w:t>
      </w:r>
    </w:p>
    <w:p>
      <w:pPr>
        <w:ind w:firstLine="630"/>
        <w:jc w:val="both"/>
      </w:pPr>
      <w:r>
        <w:rPr>
          <w:sz w:val="21"/>
        </w:rPr>
        <w:t>（3）</w:t>
      </w:r>
      <w:r>
        <w:rPr>
          <w:sz w:val="21"/>
        </w:rPr>
        <w:t>合同项下的安装调试所发生费用及耗材由乙方承担。</w:t>
      </w:r>
    </w:p>
    <w:p>
      <w:pPr>
        <w:ind w:firstLine="630"/>
        <w:jc w:val="both"/>
      </w:pPr>
      <w:r>
        <w:rPr>
          <w:sz w:val="21"/>
        </w:rPr>
        <w:t>（4）</w:t>
      </w:r>
      <w:r>
        <w:rPr>
          <w:sz w:val="21"/>
        </w:rPr>
        <w:t>乙方安装时须对各安装场地内的其它货物、设施有良好保护措施。</w:t>
      </w:r>
    </w:p>
    <w:p>
      <w:pPr>
        <w:ind w:firstLine="630"/>
        <w:jc w:val="both"/>
      </w:pPr>
      <w:r>
        <w:rPr>
          <w:b/>
          <w:sz w:val="21"/>
        </w:rPr>
        <w:t>九、验收：</w:t>
      </w:r>
    </w:p>
    <w:p>
      <w:pPr>
        <w:ind w:firstLine="630"/>
        <w:jc w:val="both"/>
      </w:pPr>
      <w:r>
        <w:rPr>
          <w:sz w:val="21"/>
        </w:rPr>
        <w:t>1、甲方按照采购合同规定的技术、服务、安全标准组织对乙方履约情况进行验收，并出具验收书。验收书应当包括每一项技术、服务、安全标准的履约情况。</w:t>
      </w:r>
    </w:p>
    <w:p>
      <w:pPr>
        <w:ind w:firstLine="630"/>
        <w:jc w:val="both"/>
      </w:pPr>
      <w:r>
        <w:rPr>
          <w:sz w:val="21"/>
        </w:rPr>
        <w:t>2、交付验收标准依次序对照适用标准为：</w:t>
      </w:r>
    </w:p>
    <w:p>
      <w:pPr>
        <w:ind w:firstLine="630"/>
        <w:jc w:val="both"/>
      </w:pPr>
      <w:r>
        <w:rPr>
          <w:sz w:val="21"/>
        </w:rPr>
        <w:t>（1）符合中华人民共和国“国家安全质量标准、环保标准或行业标准”；</w:t>
      </w:r>
    </w:p>
    <w:p>
      <w:pPr>
        <w:ind w:firstLine="630"/>
        <w:jc w:val="both"/>
      </w:pPr>
      <w:r>
        <w:rPr>
          <w:sz w:val="21"/>
        </w:rPr>
        <w:t>（2）符合招标文件和投标承诺中甲方认可的合理最佳配置、参数及各项要求；</w:t>
      </w:r>
    </w:p>
    <w:p>
      <w:pPr>
        <w:ind w:firstLine="630"/>
        <w:jc w:val="both"/>
      </w:pPr>
      <w:r>
        <w:rPr>
          <w:sz w:val="21"/>
        </w:rPr>
        <w:t>（3）货物来源国官方标准。</w:t>
      </w:r>
    </w:p>
    <w:p>
      <w:pPr>
        <w:ind w:firstLine="630"/>
        <w:jc w:val="both"/>
      </w:pPr>
      <w:r>
        <w:rPr>
          <w:sz w:val="21"/>
        </w:rPr>
        <w:t>3、</w:t>
      </w:r>
      <w:r>
        <w:rPr>
          <w:sz w:val="21"/>
        </w:rPr>
        <w:t>进口产品的必须具备原产地证明和商检局的检验证明及合法进货渠道证明。</w:t>
      </w:r>
    </w:p>
    <w:p>
      <w:pPr>
        <w:ind w:firstLine="630"/>
        <w:jc w:val="both"/>
      </w:pPr>
      <w:r>
        <w:rPr>
          <w:sz w:val="21"/>
        </w:rPr>
        <w:t>4、国内货物必须具备出厂合格证及原厂保修卡。</w:t>
      </w:r>
    </w:p>
    <w:p>
      <w:pPr>
        <w:ind w:firstLine="630"/>
        <w:jc w:val="both"/>
      </w:pPr>
      <w:r>
        <w:rPr>
          <w:sz w:val="21"/>
        </w:rPr>
        <w:t>5、货物为原厂商未启封全新包装，具出厂合格证，序列号、包装箱号与出厂批号一致，并可追索查阅。所有随设备的附件必须齐全。</w:t>
      </w:r>
    </w:p>
    <w:p>
      <w:pPr>
        <w:ind w:firstLine="630"/>
        <w:jc w:val="both"/>
      </w:pPr>
      <w:r>
        <w:rPr>
          <w:sz w:val="21"/>
        </w:rPr>
        <w:t>6、乙方将货物的用户手册、保修手册、有关单证资料及备品备件、随机工具等交付给甲方，使用操作及安全须知等重要资料应附有中文说明。</w:t>
      </w:r>
    </w:p>
    <w:p>
      <w:pPr>
        <w:ind w:firstLine="630"/>
        <w:jc w:val="both"/>
      </w:pPr>
      <w:r>
        <w:rPr>
          <w:sz w:val="21"/>
        </w:rPr>
        <w:t>7、货物验收所发生的检验费用由乙方负担。</w:t>
      </w:r>
    </w:p>
    <w:p>
      <w:pPr>
        <w:ind w:firstLine="630"/>
        <w:jc w:val="both"/>
      </w:pPr>
      <w:r>
        <w:rPr>
          <w:sz w:val="21"/>
        </w:rPr>
        <w:t>8、设备到货并经乙方技术人员安装后，甲方有权委托中国有资格的单位对上述设备进行校准或检验。</w:t>
      </w:r>
    </w:p>
    <w:p>
      <w:pPr>
        <w:ind w:firstLine="630"/>
        <w:jc w:val="both"/>
      </w:pPr>
      <w:r>
        <w:rPr>
          <w:sz w:val="21"/>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ind w:firstLine="630"/>
        <w:jc w:val="both"/>
      </w:pPr>
      <w:r>
        <w:rPr>
          <w:sz w:val="21"/>
        </w:rPr>
        <w:t>10、当出现不合格产品时，乙方要无条件更换合格产品。除甲方认可，否则不接受任何形式的降格处理。</w:t>
      </w:r>
    </w:p>
    <w:p>
      <w:pPr>
        <w:ind w:firstLine="630"/>
        <w:jc w:val="both"/>
      </w:pPr>
      <w:r>
        <w:rPr>
          <w:color w:val="000000"/>
          <w:sz w:val="21"/>
        </w:rPr>
        <w:t>11、验收期限：全部货物到货后</w:t>
      </w:r>
      <w:r>
        <w:rPr>
          <w:sz w:val="21"/>
          <w:u w:val="single"/>
        </w:rPr>
        <w:t xml:space="preserve">  </w:t>
      </w:r>
      <w:r>
        <w:rPr>
          <w:color w:val="000000"/>
          <w:sz w:val="21"/>
        </w:rPr>
        <w:t>天内完成项目验收。</w:t>
      </w:r>
    </w:p>
    <w:p>
      <w:pPr>
        <w:ind w:firstLine="630"/>
        <w:jc w:val="both"/>
      </w:pPr>
      <w:r>
        <w:rPr>
          <w:b/>
          <w:sz w:val="21"/>
        </w:rPr>
        <w:t>十、违约责任与赔偿损失</w:t>
      </w:r>
    </w:p>
    <w:p>
      <w:pPr>
        <w:ind w:firstLine="630"/>
        <w:jc w:val="both"/>
      </w:pPr>
      <w:r>
        <w:rPr>
          <w:sz w:val="21"/>
        </w:rPr>
        <w:t>1、乙方交付的货物不符合招标文件、投标文件或本合同规定的，甲方有权拒收，并且乙方须向甲方支付本合同总价5%的违约金。</w:t>
      </w:r>
    </w:p>
    <w:p>
      <w:pPr>
        <w:ind w:firstLine="630"/>
        <w:jc w:val="both"/>
      </w:pPr>
      <w:r>
        <w:rPr>
          <w:sz w:val="21"/>
        </w:rPr>
        <w:t>2、乙方未能按本合同规定的交货时间交付货物的，从逾期之日起每日按本合同总价3‰的数额向甲方支付违约金；逾期半个月以上的，甲方有权终止合同，由此造成的甲方经济损失由乙方承担。</w:t>
      </w:r>
    </w:p>
    <w:p>
      <w:pPr>
        <w:ind w:firstLine="630"/>
        <w:jc w:val="both"/>
      </w:pPr>
      <w:r>
        <w:rPr>
          <w:sz w:val="21"/>
        </w:rPr>
        <w:t>3、甲方无正当理由拒收货物，不按政府采购支付流程办理付款申请手续的，甲方向乙方偿付本合同总价5%的违约金。甲方逾期未按政府采购支付流程办理付款申请手续的，则每日按本合同总价的3‰向乙方偿付违约金。</w:t>
      </w:r>
    </w:p>
    <w:p>
      <w:pPr>
        <w:ind w:firstLine="630"/>
        <w:jc w:val="both"/>
      </w:pPr>
      <w:r>
        <w:rPr>
          <w:sz w:val="21"/>
        </w:rPr>
        <w:t>4、乙方如没有按合同规定履行售后服务承诺，甲方可由第三方单位进行修复，其费用全部由乙方支付，否则，追究乙方违约的法律责任。</w:t>
      </w:r>
    </w:p>
    <w:p>
      <w:pPr>
        <w:ind w:firstLine="630"/>
        <w:jc w:val="both"/>
      </w:pPr>
      <w:r>
        <w:rPr>
          <w:sz w:val="21"/>
        </w:rPr>
        <w:t>5、因甲方原因导致变更、中止或者终止政府采购合同的，甲方对乙方受到的损失予以赔偿或者补偿，赔偿或者补偿金额为：</w:t>
      </w:r>
      <w:r>
        <w:rPr>
          <w:sz w:val="21"/>
          <w:u w:val="single"/>
        </w:rPr>
        <w:t>本合同总价的 %</w:t>
      </w:r>
      <w:r>
        <w:rPr>
          <w:sz w:val="21"/>
        </w:rPr>
        <w:t>。</w:t>
      </w:r>
    </w:p>
    <w:p>
      <w:pPr>
        <w:ind w:firstLine="630"/>
        <w:jc w:val="both"/>
      </w:pPr>
      <w:r>
        <w:rPr>
          <w:sz w:val="21"/>
        </w:rPr>
        <w:t>6、其它违约责任按《中华人民共和国民法典》处理。</w:t>
      </w:r>
    </w:p>
    <w:p>
      <w:pPr>
        <w:ind w:firstLine="630"/>
        <w:jc w:val="both"/>
      </w:pPr>
      <w:r>
        <w:rPr>
          <w:b/>
          <w:sz w:val="21"/>
        </w:rPr>
        <w:t>十一、履约保证金</w:t>
      </w:r>
    </w:p>
    <w:p>
      <w:pPr>
        <w:ind w:firstLine="630"/>
        <w:jc w:val="both"/>
      </w:pPr>
      <w:r>
        <w:rPr>
          <w:b/>
          <w:sz w:val="21"/>
        </w:rPr>
        <w:t>（按照采购需求要求）</w:t>
      </w:r>
    </w:p>
    <w:p>
      <w:pPr>
        <w:ind w:firstLine="630"/>
        <w:jc w:val="both"/>
      </w:pPr>
      <w:r>
        <w:rPr>
          <w:b/>
          <w:sz w:val="21"/>
        </w:rPr>
        <w:t>十二、</w:t>
      </w:r>
      <w:r>
        <w:rPr>
          <w:b/>
        </w:rPr>
        <w:t>争议的解决</w:t>
      </w:r>
    </w:p>
    <w:p>
      <w:pPr>
        <w:ind w:firstLine="420"/>
        <w:jc w:val="both"/>
      </w:pPr>
      <w:r>
        <w:rPr>
          <w:sz w:val="21"/>
        </w:rPr>
        <w:t>合同执行过程中发生的任何争议，双方应通过友好协商解决，若经协商不能达成协议时，则向甲方所在地人民有管辖权的法院提起诉讼。诉讼期间，双方应继续执行合同其余部分。</w:t>
      </w:r>
    </w:p>
    <w:p>
      <w:pPr>
        <w:ind w:firstLine="420"/>
        <w:jc w:val="both"/>
      </w:pPr>
      <w:r>
        <w:rPr>
          <w:b/>
          <w:sz w:val="21"/>
        </w:rPr>
        <w:t>十三、不可抗力</w:t>
      </w:r>
    </w:p>
    <w:p>
      <w:pPr>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20"/>
        <w:jc w:val="both"/>
      </w:pPr>
      <w:r>
        <w:rPr>
          <w:b/>
          <w:sz w:val="21"/>
        </w:rPr>
        <w:t>十四、税费</w:t>
      </w:r>
    </w:p>
    <w:p>
      <w:pPr>
        <w:ind w:firstLine="420"/>
        <w:jc w:val="both"/>
      </w:pPr>
      <w:r>
        <w:rPr>
          <w:sz w:val="21"/>
        </w:rPr>
        <w:t>在中国境内、外发生的与本合同执行有关的一切税费均由乙方负担。</w:t>
      </w:r>
    </w:p>
    <w:p>
      <w:pPr>
        <w:ind w:firstLine="420"/>
        <w:jc w:val="both"/>
      </w:pPr>
      <w:r>
        <w:rPr>
          <w:b/>
          <w:sz w:val="21"/>
        </w:rPr>
        <w:t>十五、其它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ind w:firstLine="420"/>
        <w:jc w:val="both"/>
      </w:pPr>
      <w:r>
        <w:rPr>
          <w:b/>
          <w:sz w:val="21"/>
        </w:rPr>
        <w:t>十六、合同生效</w:t>
      </w:r>
    </w:p>
    <w:p>
      <w:pPr>
        <w:ind w:firstLine="420"/>
        <w:jc w:val="both"/>
      </w:pPr>
      <w:r>
        <w:rPr>
          <w:sz w:val="21"/>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ind w:firstLine="420"/>
        <w:jc w:val="both"/>
      </w:pPr>
      <w:r>
        <w:rPr>
          <w:sz w:val="21"/>
        </w:rPr>
        <w:t>2、合同一式</w:t>
      </w:r>
      <w:r>
        <w:rPr>
          <w:sz w:val="21"/>
          <w:u w:val="single"/>
        </w:rPr>
        <w:t xml:space="preserve">   </w:t>
      </w:r>
      <w:r>
        <w:rPr>
          <w:sz w:val="21"/>
        </w:rPr>
        <w:t>份。</w:t>
      </w:r>
      <w:r>
        <w:rPr>
          <w:sz w:val="21"/>
        </w:rPr>
        <w:t>甲、乙双方各执</w:t>
      </w:r>
      <w:r>
        <w:rPr>
          <w:sz w:val="21"/>
          <w:u w:val="single"/>
        </w:rPr>
        <w:t xml:space="preserve">   </w:t>
      </w:r>
      <w:r>
        <w:rPr>
          <w:sz w:val="21"/>
        </w:rPr>
        <w:t>份，采购代理机构壹份，具同等法律效力。</w:t>
      </w:r>
    </w:p>
    <w:p>
      <w:pPr>
        <w:jc w:val="both"/>
      </w:pPr>
      <w:r>
        <w:rPr>
          <w:sz w:val="21"/>
        </w:rPr>
        <w:t>（以下无正文）</w:t>
      </w:r>
    </w:p>
    <w:tbl>
      <w:tblPr>
        <w:tblW w:w="0" w:type="auto"/>
        <w:tblBorders>
          <w:top w:val="single"/>
          <w:left w:val="single"/>
          <w:bottom w:val="single"/>
          <w:right w:val="single"/>
          <w:insideH w:val="single"/>
          <w:insideV w:val="singl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jc w:val="left"/>
      </w:pPr>
    </w:p>
    <w:p>
      <w:pPr>
        <w:jc w:val="center"/>
      </w:pPr>
      <w:r>
        <w:rPr>
          <w:b/>
          <w:sz w:val="30"/>
        </w:rPr>
        <w:t>合同格式二（适用于中华人民共和国关境外提供的货物和服务）</w:t>
      </w:r>
    </w:p>
    <w:p>
      <w:pPr>
        <w:jc w:val="center"/>
      </w:pPr>
      <w:r>
        <w:rPr>
          <w:b/>
          <w:color w:val="000000"/>
          <w:sz w:val="28"/>
        </w:rPr>
        <w:t>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签订类型：单项合同/年度合同</w:t>
      </w:r>
    </w:p>
    <w:p>
      <w:pPr>
        <w:jc w:val="both"/>
      </w:pPr>
      <w:r>
        <w:rPr>
          <w:sz w:val="21"/>
        </w:rPr>
        <w:t>合同范本：采购合同</w:t>
      </w:r>
    </w:p>
    <w:p>
      <w:pPr>
        <w:jc w:val="both"/>
      </w:pPr>
      <w:r>
        <w:rPr>
          <w:sz w:val="21"/>
        </w:rPr>
        <w:t>合同期限： 20XX年XX月XX日至20XX年XX月XX日</w:t>
      </w:r>
    </w:p>
    <w:p>
      <w:pPr>
        <w:jc w:val="both"/>
      </w:pPr>
      <w:r>
        <w:rPr>
          <w:sz w:val="21"/>
        </w:rPr>
        <w:t>是否包含涉密条款：否</w:t>
      </w:r>
    </w:p>
    <w:p>
      <w:pPr>
        <w:jc w:val="both"/>
      </w:pPr>
      <w:r>
        <w:rPr>
          <w:sz w:val="21"/>
        </w:rPr>
        <w:t>备注：</w:t>
      </w:r>
    </w:p>
    <w:p>
      <w:pPr>
        <w:jc w:val="both"/>
      </w:pPr>
    </w:p>
    <w:p>
      <w:pPr>
        <w:jc w:val="both"/>
      </w:pPr>
      <w:r>
        <w:rPr>
          <w:color w:val="000000"/>
          <w:sz w:val="21"/>
        </w:rPr>
        <w:t>甲方（采购人）：</w:t>
      </w:r>
    </w:p>
    <w:p>
      <w:pPr>
        <w:jc w:val="both"/>
      </w:pPr>
      <w:r>
        <w:rPr>
          <w:color w:val="000000"/>
          <w:sz w:val="21"/>
        </w:rPr>
        <w:t>乙方（中标供应商）：</w:t>
      </w:r>
    </w:p>
    <w:p>
      <w:pPr>
        <w:jc w:val="both"/>
      </w:pPr>
      <w:r>
        <w:rPr>
          <w:color w:val="000000"/>
          <w:sz w:val="21"/>
        </w:rPr>
        <w:t>丙方（进口</w:t>
      </w:r>
      <w:r>
        <w:rPr>
          <w:color w:val="000000"/>
          <w:sz w:val="21"/>
        </w:rPr>
        <w:t>外贸代理公司</w:t>
      </w:r>
      <w:r>
        <w:rPr>
          <w:color w:val="000000"/>
          <w:sz w:val="21"/>
        </w:rPr>
        <w:t>）：（如果不需要外贸公司代理进口的只签订双方合同）</w:t>
      </w:r>
    </w:p>
    <w:p>
      <w:pPr>
        <w:jc w:val="both"/>
      </w:pPr>
      <w:r>
        <w:rPr>
          <w:sz w:val="21"/>
        </w:rPr>
        <w:t xml:space="preserve">   </w:t>
      </w:r>
      <w:r>
        <w:rPr>
          <w:color w:val="000000"/>
          <w:sz w:val="21"/>
        </w:rPr>
        <w:t>根据</w:t>
      </w:r>
      <w:r>
        <w:rPr>
          <w:sz w:val="21"/>
        </w:rPr>
        <w:t>《中华人民共和国政府采购法》、</w:t>
      </w:r>
      <w:r>
        <w:rPr>
          <w:sz w:val="21"/>
        </w:rPr>
        <w:t>《中华人民共和国民法典》等相关法律法规及</w:t>
      </w:r>
      <w:r>
        <w:rPr>
          <w:sz w:val="21"/>
          <w:u w:val="single"/>
        </w:rPr>
        <w:t>广东省农作物现代种业产业园项目---蔬菜风味和分子育种研究设备采购</w:t>
      </w:r>
      <w:r>
        <w:rPr>
          <w:sz w:val="21"/>
        </w:rPr>
        <w:t>招标文件（项目编号：GZGK22P097A0342Z）的要求</w:t>
      </w:r>
      <w:r>
        <w:rPr>
          <w:sz w:val="21"/>
        </w:rPr>
        <w:t>，经三方协商，本着平等互利和诚实信用的原则，一致同意签订本合同。</w:t>
      </w:r>
    </w:p>
    <w:tbl>
      <w:tblPr>
        <w:tblW w:w="0" w:type="auto"/>
        <w:tblBorders>
          <w:top w:val="none" w:color="000000" w:sz="4"/>
          <w:left w:val="none" w:color="000000" w:sz="4"/>
          <w:bottom w:val="none" w:color="000000" w:sz="4"/>
          <w:right w:val="none" w:color="000000" w:sz="4"/>
          <w:insideH w:val="none"/>
          <w:insideV w:val="none"/>
        </w:tblBorders>
      </w:tblPr>
      <w:tblGrid>
        <w:gridCol w:w="719"/>
        <w:gridCol w:w="792"/>
        <w:gridCol w:w="755"/>
        <w:gridCol w:w="755"/>
        <w:gridCol w:w="755"/>
        <w:gridCol w:w="755"/>
        <w:gridCol w:w="755"/>
        <w:gridCol w:w="755"/>
        <w:gridCol w:w="755"/>
        <w:gridCol w:w="755"/>
        <w:gridCol w:w="755"/>
      </w:tblGrid>
      <w:tr>
        <w:tc>
          <w:tcPr>
            <w:tcW w:type="dxa" w:w="719"/>
            <w:tcBorders>
              <w:top w:val="single" w:color="000000" w:sz="4"/>
              <w:left w:val="single" w:color="000000" w:sz="4"/>
              <w:bottom w:val="single" w:color="000000" w:sz="4"/>
              <w:right w:val="single" w:color="000000" w:sz="4"/>
            </w:tcBorders>
          </w:tcPr>
          <w:p>
            <w:pPr>
              <w:jc w:val="center"/>
            </w:pPr>
            <w:r>
              <w:rPr>
                <w:sz w:val="21"/>
              </w:rPr>
              <w:t>序号</w:t>
            </w:r>
          </w:p>
        </w:tc>
        <w:tc>
          <w:tcPr>
            <w:tcW w:type="dxa" w:w="792"/>
            <w:tcBorders>
              <w:top w:val="single" w:color="000000" w:sz="4"/>
              <w:left w:val="none" w:color="000000" w:sz="4"/>
              <w:bottom w:val="single" w:color="000000" w:sz="4"/>
              <w:right w:val="single" w:color="000000" w:sz="4"/>
            </w:tcBorders>
          </w:tcPr>
          <w:p>
            <w:pPr>
              <w:jc w:val="center"/>
            </w:pPr>
            <w:r>
              <w:rPr>
                <w:sz w:val="21"/>
              </w:rPr>
              <w:t>标的名称</w:t>
            </w:r>
          </w:p>
        </w:tc>
        <w:tc>
          <w:tcPr>
            <w:tcW w:type="dxa" w:w="755"/>
            <w:tcBorders>
              <w:top w:val="single" w:color="000000" w:sz="4"/>
              <w:left w:val="none" w:color="000000" w:sz="4"/>
              <w:bottom w:val="single" w:color="000000" w:sz="4"/>
              <w:right w:val="single" w:color="000000" w:sz="4"/>
            </w:tcBorders>
          </w:tcPr>
          <w:p>
            <w:pPr>
              <w:jc w:val="center"/>
            </w:pPr>
            <w:r>
              <w:rPr>
                <w:sz w:val="21"/>
              </w:rPr>
              <w:t>品目编码</w:t>
            </w:r>
          </w:p>
        </w:tc>
        <w:tc>
          <w:tcPr>
            <w:tcW w:type="dxa" w:w="755"/>
            <w:tcBorders>
              <w:top w:val="single" w:color="000000" w:sz="4"/>
              <w:left w:val="none" w:color="000000" w:sz="4"/>
              <w:bottom w:val="single" w:color="000000" w:sz="4"/>
              <w:right w:val="single" w:color="000000" w:sz="4"/>
            </w:tcBorders>
          </w:tcPr>
          <w:p>
            <w:pPr>
              <w:jc w:val="center"/>
            </w:pPr>
            <w:r>
              <w:rPr>
                <w:sz w:val="21"/>
              </w:rPr>
              <w:t>技术要求</w:t>
            </w:r>
          </w:p>
        </w:tc>
        <w:tc>
          <w:tcPr>
            <w:tcW w:type="dxa" w:w="755"/>
            <w:tcBorders>
              <w:top w:val="single" w:color="000000" w:sz="4"/>
              <w:left w:val="none" w:color="000000" w:sz="4"/>
              <w:bottom w:val="single" w:color="000000" w:sz="4"/>
              <w:right w:val="single" w:color="000000" w:sz="4"/>
            </w:tcBorders>
          </w:tcPr>
          <w:p>
            <w:pPr>
              <w:jc w:val="center"/>
            </w:pPr>
            <w:r>
              <w:rPr>
                <w:sz w:val="21"/>
              </w:rPr>
              <w:t>是否进口</w:t>
            </w:r>
          </w:p>
        </w:tc>
        <w:tc>
          <w:tcPr>
            <w:tcW w:type="dxa" w:w="755"/>
            <w:tcBorders>
              <w:top w:val="single" w:color="000000" w:sz="4"/>
              <w:left w:val="none" w:color="000000" w:sz="4"/>
              <w:bottom w:val="single" w:color="000000" w:sz="4"/>
              <w:right w:val="single" w:color="000000" w:sz="4"/>
            </w:tcBorders>
          </w:tcPr>
          <w:p>
            <w:pPr>
              <w:jc w:val="center"/>
            </w:pPr>
            <w:r>
              <w:rPr>
                <w:sz w:val="21"/>
              </w:rPr>
              <w:t>品牌</w:t>
            </w:r>
          </w:p>
        </w:tc>
        <w:tc>
          <w:tcPr>
            <w:tcW w:type="dxa" w:w="755"/>
            <w:tcBorders>
              <w:top w:val="single" w:color="000000" w:sz="4"/>
              <w:left w:val="none" w:color="000000" w:sz="4"/>
              <w:bottom w:val="single" w:color="000000" w:sz="4"/>
              <w:right w:val="single" w:color="000000" w:sz="4"/>
            </w:tcBorders>
          </w:tcPr>
          <w:p>
            <w:pPr>
              <w:jc w:val="center"/>
            </w:pPr>
            <w:r>
              <w:rPr>
                <w:sz w:val="21"/>
              </w:rPr>
              <w:t>规格参数</w:t>
            </w:r>
          </w:p>
        </w:tc>
        <w:tc>
          <w:tcPr>
            <w:tcW w:type="dxa" w:w="755"/>
            <w:tcBorders>
              <w:top w:val="single" w:color="000000" w:sz="4"/>
              <w:left w:val="none" w:color="000000" w:sz="4"/>
              <w:bottom w:val="single" w:color="000000" w:sz="4"/>
              <w:right w:val="single" w:color="000000" w:sz="4"/>
            </w:tcBorders>
          </w:tcPr>
          <w:p>
            <w:pPr>
              <w:jc w:val="center"/>
            </w:pPr>
            <w:r>
              <w:rPr>
                <w:sz w:val="21"/>
              </w:rPr>
              <w:t>采购数量</w:t>
            </w:r>
          </w:p>
        </w:tc>
        <w:tc>
          <w:tcPr>
            <w:tcW w:type="dxa" w:w="755"/>
            <w:tcBorders>
              <w:top w:val="single" w:color="000000" w:sz="4"/>
              <w:left w:val="none" w:color="000000" w:sz="4"/>
              <w:bottom w:val="single" w:color="000000" w:sz="4"/>
              <w:right w:val="single" w:color="000000" w:sz="4"/>
            </w:tcBorders>
          </w:tcPr>
          <w:p>
            <w:pPr>
              <w:jc w:val="center"/>
            </w:pPr>
            <w:r>
              <w:rPr>
                <w:sz w:val="21"/>
              </w:rPr>
              <w:t>计量单位</w:t>
            </w:r>
          </w:p>
        </w:tc>
        <w:tc>
          <w:tcPr>
            <w:tcW w:type="dxa" w:w="755"/>
            <w:tcBorders>
              <w:top w:val="single" w:color="000000" w:sz="4"/>
              <w:left w:val="none" w:color="000000" w:sz="4"/>
              <w:bottom w:val="single" w:color="000000" w:sz="4"/>
              <w:right w:val="single" w:color="000000" w:sz="4"/>
            </w:tcBorders>
          </w:tcPr>
          <w:p>
            <w:pPr>
              <w:jc w:val="center"/>
            </w:pPr>
            <w:r>
              <w:rPr>
                <w:sz w:val="21"/>
              </w:rPr>
              <w:t>单价（元）</w:t>
            </w:r>
          </w:p>
        </w:tc>
        <w:tc>
          <w:tcPr>
            <w:tcW w:type="dxa" w:w="755"/>
            <w:tcBorders>
              <w:top w:val="single" w:color="000000" w:sz="4"/>
              <w:left w:val="none" w:color="000000" w:sz="4"/>
              <w:bottom w:val="single" w:color="000000" w:sz="4"/>
              <w:right w:val="single" w:color="000000" w:sz="4"/>
            </w:tcBorders>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tcPr>
          <w:p>
            <w:pPr>
              <w:jc w:val="center"/>
            </w:pPr>
            <w:r>
              <w:rPr>
                <w:sz w:val="21"/>
              </w:rPr>
              <w:t>1</w:t>
            </w:r>
          </w:p>
        </w:tc>
        <w:tc>
          <w:tcPr>
            <w:tcW w:type="dxa" w:w="792"/>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r>
              <w:rPr>
                <w:sz w:val="21"/>
              </w:rPr>
              <w:t>详见合同文本</w:t>
            </w: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2</w:t>
            </w:r>
          </w:p>
        </w:tc>
        <w:tc>
          <w:tcPr>
            <w:tcW w:type="dxa" w:w="792"/>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w:t>
            </w:r>
          </w:p>
        </w:tc>
        <w:tc>
          <w:tcPr>
            <w:tcW w:type="dxa" w:w="792"/>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tcPr>
          <w:p>
            <w:pPr>
              <w:jc w:val="both"/>
            </w:pPr>
          </w:p>
        </w:tc>
        <w:tc>
          <w:tcPr>
            <w:tcW w:type="dxa" w:w="755"/>
            <w:tcBorders>
              <w:top w:val="none" w:color="000000" w:sz="4"/>
              <w:left w:val="none" w:color="000000" w:sz="4"/>
              <w:bottom w:val="single" w:color="000000" w:sz="4"/>
              <w:right w:val="single" w:color="000000" w:sz="4"/>
            </w:tcBorders>
            <w:vAlign w:val="top"/>
          </w:tcPr>
          <w:p>
            <w:pPr>
              <w:jc w:val="both"/>
            </w:pPr>
          </w:p>
        </w:tc>
        <w:tc>
          <w:tcPr>
            <w:tcW w:type="dxa" w:w="755"/>
            <w:tcBorders>
              <w:top w:val="none" w:color="000000" w:sz="4"/>
              <w:left w:val="none" w:color="000000" w:sz="4"/>
              <w:bottom w:val="single" w:color="000000" w:sz="4"/>
              <w:right w:val="single" w:color="000000" w:sz="4"/>
            </w:tcBorders>
          </w:tcPr>
          <w:p>
            <w:pPr>
              <w:jc w:val="both"/>
            </w:pPr>
          </w:p>
        </w:tc>
      </w:tr>
      <w:tr>
        <w:tc>
          <w:tcPr>
            <w:tcW w:type="dxa" w:w="8306"/>
            <w:gridSpan w:val="11"/>
            <w:tcBorders>
              <w:top w:val="none" w:color="000000" w:sz="4"/>
              <w:left w:val="single" w:color="000000" w:sz="4"/>
              <w:bottom w:val="single" w:color="000000" w:sz="4"/>
              <w:right w:val="single" w:color="000000" w:sz="4"/>
            </w:tcBorders>
          </w:tcPr>
          <w:p>
            <w:pPr>
              <w:jc w:val="left"/>
            </w:pPr>
            <w:r>
              <w:rPr>
                <w:sz w:val="21"/>
              </w:rPr>
              <w:t>海关免税总金额（ ）:(</w:t>
            </w:r>
            <w:r>
              <w:rPr>
                <w:sz w:val="21"/>
                <w:u w:val="single"/>
              </w:rPr>
              <w:t xml:space="preserve"> </w:t>
            </w:r>
            <w:r>
              <w:rPr>
                <w:sz w:val="21"/>
              </w:rPr>
              <w:t>.</w:t>
            </w:r>
            <w:r>
              <w:rPr>
                <w:sz w:val="21"/>
                <w:u w:val="single"/>
              </w:rPr>
              <w:t xml:space="preserve"> </w:t>
            </w:r>
            <w:r>
              <w:rPr>
                <w:sz w:val="21"/>
              </w:rPr>
              <w:t xml:space="preserve"> </w:t>
            </w:r>
            <w:r>
              <w:rPr>
                <w:sz w:val="21"/>
                <w:u w:val="single"/>
              </w:rPr>
              <w:t xml:space="preserve">  </w:t>
            </w:r>
            <w:r>
              <w:rPr>
                <w:sz w:val="21"/>
              </w:rPr>
              <w:t>)</w:t>
            </w:r>
          </w:p>
          <w:p>
            <w:pPr>
              <w:jc w:val="both"/>
            </w:pPr>
            <w:r>
              <w:rPr>
                <w:sz w:val="21"/>
              </w:rPr>
              <w:t>折合总计RMB: (¥)</w:t>
            </w:r>
            <w:r>
              <w:rPr>
                <w:sz w:val="21"/>
                <w:u w:val="single"/>
              </w:rPr>
              <w:t xml:space="preserve">         </w:t>
            </w:r>
            <w:r>
              <w:rPr>
                <w:sz w:val="21"/>
              </w:rPr>
              <w:t>人民币</w:t>
            </w:r>
            <w:r>
              <w:rPr>
                <w:sz w:val="21"/>
                <w:u w:val="single"/>
              </w:rPr>
              <w:t xml:space="preserve">                   </w:t>
            </w:r>
            <w:r>
              <w:rPr>
                <w:sz w:val="21"/>
              </w:rPr>
              <w:t>(汇差由乙方商承担)</w:t>
            </w:r>
          </w:p>
        </w:tc>
      </w:tr>
    </w:tbl>
    <w:p>
      <w:pPr>
        <w:jc w:val="both"/>
      </w:pPr>
      <w:r>
        <w:rPr>
          <w:b/>
          <w:color w:val="000000"/>
          <w:sz w:val="21"/>
        </w:rPr>
        <w:t>注：货物名称内容必须与响应文件中货物名称内容一致。</w:t>
      </w:r>
    </w:p>
    <w:p>
      <w:pPr>
        <w:jc w:val="both"/>
      </w:pPr>
      <w:r>
        <w:rPr>
          <w:color w:val="000000"/>
          <w:sz w:val="21"/>
        </w:rPr>
        <w:t>1、</w:t>
      </w:r>
      <w:r>
        <w:rPr>
          <w:color w:val="000000"/>
          <w:sz w:val="21"/>
        </w:rPr>
        <w:t>价格总价为指定交货地点的交货</w:t>
      </w:r>
      <w:r>
        <w:rPr>
          <w:sz w:val="21"/>
        </w:rPr>
        <w:t>价。包括：CIP价和其他伴随服务费用。其</w:t>
      </w:r>
      <w:r>
        <w:rPr>
          <w:color w:val="000000"/>
          <w:sz w:val="21"/>
        </w:rPr>
        <w:t>他伴随服务费用包括但不限于以下费用：</w:t>
      </w:r>
    </w:p>
    <w:p>
      <w:pPr>
        <w:jc w:val="both"/>
      </w:pPr>
      <w:r>
        <w:rPr>
          <w:color w:val="000000"/>
          <w:sz w:val="21"/>
        </w:rPr>
        <w:t>（1）</w:t>
      </w:r>
      <w:r>
        <w:rPr>
          <w:color w:val="000000"/>
          <w:sz w:val="21"/>
        </w:rPr>
        <w:t>货物从进口口岸至最终目的地的关境内运输、保险和其他当地发生的伴随费用。</w:t>
      </w:r>
    </w:p>
    <w:p>
      <w:pPr>
        <w:jc w:val="both"/>
      </w:pPr>
      <w:r>
        <w:rPr>
          <w:color w:val="000000"/>
          <w:sz w:val="21"/>
        </w:rPr>
        <w:t>（2）</w:t>
      </w:r>
      <w:r>
        <w:rPr>
          <w:color w:val="000000"/>
          <w:sz w:val="21"/>
        </w:rPr>
        <w:t>安装与调试、验收、检验、培训、技术文件的移交、质量保证期服务、技术服务、卸货费及招标文件要求提供的其它服务。</w:t>
      </w:r>
    </w:p>
    <w:p>
      <w:pPr>
        <w:jc w:val="both"/>
      </w:pPr>
      <w:r>
        <w:rPr>
          <w:color w:val="000000"/>
          <w:sz w:val="21"/>
        </w:rPr>
        <w:t>（3）安装调试中的相关费用（包括安装调试过程中损耗、额外材料、设计费等）。</w:t>
      </w:r>
    </w:p>
    <w:p>
      <w:pPr>
        <w:jc w:val="both"/>
      </w:pPr>
      <w:r>
        <w:rPr>
          <w:color w:val="000000"/>
          <w:sz w:val="21"/>
        </w:rPr>
        <w:t>（4）</w:t>
      </w:r>
      <w:r>
        <w:rPr>
          <w:color w:val="000000"/>
          <w:sz w:val="21"/>
        </w:rPr>
        <w:t>外贸进口有关的一切费用（如外贸公司代理费用、清关费用、银行手续费、海关监管手续费、报关费用、商检费用、申办机电批文费用、机场码头费等）。</w:t>
      </w:r>
    </w:p>
    <w:p>
      <w:pPr>
        <w:jc w:val="both"/>
      </w:pPr>
      <w:r>
        <w:rPr>
          <w:color w:val="000000"/>
          <w:sz w:val="21"/>
        </w:rPr>
        <w:t>（5）</w:t>
      </w:r>
      <w:r>
        <w:rPr>
          <w:color w:val="000000"/>
          <w:sz w:val="21"/>
        </w:rPr>
        <w:t>按照采购需求要求的除以上费用外的其他相关费用。</w:t>
      </w:r>
    </w:p>
    <w:p>
      <w:pPr>
        <w:jc w:val="both"/>
      </w:pPr>
      <w:r>
        <w:rPr>
          <w:color w:val="000000"/>
          <w:sz w:val="21"/>
        </w:rPr>
        <w:t>2、货物进口所需办理的免税手续由乙方协助甲方办理，丙方负责办理货物报关、机场提货、对外付汇及</w:t>
      </w:r>
      <w:r>
        <w:rPr>
          <w:sz w:val="21"/>
        </w:rPr>
        <w:t>付</w:t>
      </w:r>
      <w:r>
        <w:rPr>
          <w:color w:val="000000"/>
          <w:sz w:val="21"/>
        </w:rPr>
        <w:t>汇后的银行结算，乙方支付丙方代理进口业务手续费人民币</w:t>
      </w:r>
      <w:r>
        <w:rPr>
          <w:color w:val="000000"/>
          <w:sz w:val="21"/>
          <w:u w:val="single"/>
        </w:rPr>
        <w:t xml:space="preserve">          </w:t>
      </w:r>
      <w:r>
        <w:rPr>
          <w:color w:val="000000"/>
          <w:sz w:val="21"/>
        </w:rPr>
        <w:t xml:space="preserve"> （¥</w:t>
      </w:r>
      <w:r>
        <w:rPr>
          <w:color w:val="000000"/>
          <w:sz w:val="21"/>
          <w:u w:val="single"/>
        </w:rPr>
        <w:t xml:space="preserve">        </w:t>
      </w:r>
      <w:r>
        <w:rPr>
          <w:color w:val="000000"/>
          <w:sz w:val="21"/>
        </w:rPr>
        <w:t>），含丙方办理进口货物、报关等一切办理进口货物的费用。丙方负责广州口岸提货及将货物从机场运送到甲方指定地点。</w:t>
      </w:r>
    </w:p>
    <w:p>
      <w:pPr>
        <w:jc w:val="both"/>
      </w:pPr>
      <w:r>
        <w:rPr>
          <w:color w:val="000000"/>
          <w:sz w:val="21"/>
        </w:rPr>
        <w:t>3、乙方提货前必须提前通知甲、丙方，提货当天甲、丙方派专人随同前往提货，并由甲方对货物包装箱加贴封条。</w:t>
      </w:r>
    </w:p>
    <w:p>
      <w:pPr>
        <w:jc w:val="both"/>
      </w:pPr>
      <w:r>
        <w:rPr>
          <w:b/>
          <w:color w:val="000000"/>
          <w:sz w:val="21"/>
        </w:rPr>
        <w:t>二、合同金额</w:t>
      </w:r>
    </w:p>
    <w:p>
      <w:pPr>
        <w:jc w:val="both"/>
      </w:pPr>
      <w:r>
        <w:rPr>
          <w:color w:val="000000"/>
          <w:sz w:val="21"/>
        </w:rPr>
        <w:t>合同金额为：</w:t>
      </w:r>
      <w:r>
        <w:rPr>
          <w:color w:val="000000"/>
          <w:sz w:val="21"/>
          <w:u w:val="single"/>
        </w:rPr>
        <w:t xml:space="preserve">（币种：）            </w:t>
      </w:r>
    </w:p>
    <w:p>
      <w:pPr>
        <w:jc w:val="both"/>
      </w:pPr>
      <w:r>
        <w:rPr>
          <w:b/>
          <w:color w:val="000000"/>
          <w:sz w:val="21"/>
        </w:rPr>
        <w:t>三、设备要求</w:t>
      </w:r>
    </w:p>
    <w:p>
      <w:pPr>
        <w:jc w:val="both"/>
      </w:pPr>
      <w:r>
        <w:rPr>
          <w:color w:val="000000"/>
          <w:sz w:val="21"/>
        </w:rPr>
        <w:t>1、乙方提供的货物必须符合中华人民共和国“国家安全环保标准”。</w:t>
      </w:r>
    </w:p>
    <w:p>
      <w:pPr>
        <w:jc w:val="both"/>
      </w:pPr>
      <w:r>
        <w:rPr>
          <w:color w:val="000000"/>
          <w:sz w:val="21"/>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color w:val="000000"/>
          <w:sz w:val="21"/>
        </w:rPr>
        <w:t>3、进口产品必须具备原产地证明和商检局的检验证明及合法进货渠道证明。</w:t>
      </w:r>
    </w:p>
    <w:p>
      <w:pPr>
        <w:jc w:val="both"/>
      </w:pPr>
      <w:r>
        <w:rPr>
          <w:color w:val="000000"/>
          <w:sz w:val="21"/>
        </w:rPr>
        <w:t>4、货物为原厂商未启封全新包装，具出厂合格证，序列号、包装箱号与出厂批号一致，并可追索查阅。</w:t>
      </w:r>
    </w:p>
    <w:p>
      <w:pPr>
        <w:jc w:val="both"/>
      </w:pPr>
      <w:r>
        <w:rPr>
          <w:color w:val="000000"/>
          <w:sz w:val="21"/>
        </w:rPr>
        <w:t>5、乙方应将关键主机设备的用户手册、保修手册、有关单证资料及配备件、随机工具等交付给甲方，使用操作及安全须知等重要资料应附有中文说明。</w:t>
      </w:r>
    </w:p>
    <w:p>
      <w:pPr>
        <w:jc w:val="both"/>
      </w:pPr>
      <w:r>
        <w:rPr>
          <w:color w:val="000000"/>
          <w:sz w:val="21"/>
        </w:rPr>
        <w:t>6、如果发现货物的质量和规格与合同规定不符或货物在质量保证期内被证明有缺陷，包括内在缺陷或使用不适当原材料，甲方将有权要求有关部门进行检验，并依据检验证书向乙方索赔。</w:t>
      </w:r>
    </w:p>
    <w:p>
      <w:pPr>
        <w:jc w:val="both"/>
      </w:pPr>
      <w:r>
        <w:rPr>
          <w:b/>
          <w:color w:val="000000"/>
          <w:sz w:val="21"/>
        </w:rPr>
        <w:t>四、知识产权</w:t>
      </w:r>
    </w:p>
    <w:p>
      <w:pPr>
        <w:ind w:firstLine="420"/>
        <w:jc w:val="both"/>
      </w:pPr>
      <w:r>
        <w:rPr>
          <w:color w:val="000000"/>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ind w:firstLine="420"/>
        <w:jc w:val="both"/>
      </w:pPr>
      <w:r>
        <w:rPr>
          <w:b/>
          <w:sz w:val="21"/>
        </w:rPr>
        <w:t>五、交付时间、地点、方式</w:t>
      </w:r>
    </w:p>
    <w:p>
      <w:pPr>
        <w:ind w:firstLine="420"/>
        <w:jc w:val="both"/>
      </w:pPr>
      <w:r>
        <w:rPr>
          <w:sz w:val="21"/>
        </w:rPr>
        <w:t>1、交付时间：（按采购需求要求）</w:t>
      </w:r>
    </w:p>
    <w:p>
      <w:pPr>
        <w:ind w:firstLine="420"/>
        <w:jc w:val="both"/>
      </w:pPr>
      <w:r>
        <w:rPr>
          <w:sz w:val="21"/>
        </w:rPr>
        <w:t>2、交付地点：用户指定地点</w:t>
      </w:r>
    </w:p>
    <w:p>
      <w:pPr>
        <w:ind w:firstLine="420"/>
        <w:jc w:val="both"/>
      </w:pPr>
      <w:r>
        <w:rPr>
          <w:sz w:val="21"/>
        </w:rPr>
        <w:t>3、交付条件：项目验收通过</w:t>
      </w:r>
    </w:p>
    <w:p>
      <w:pPr>
        <w:ind w:firstLine="420"/>
        <w:jc w:val="both"/>
      </w:pPr>
      <w:r>
        <w:rPr>
          <w:sz w:val="21"/>
        </w:rPr>
        <w:t>4、甲方联系人及联系电话：</w:t>
      </w:r>
    </w:p>
    <w:p>
      <w:pPr>
        <w:ind w:firstLine="420"/>
        <w:jc w:val="both"/>
      </w:pPr>
      <w:r>
        <w:rPr>
          <w:sz w:val="21"/>
        </w:rPr>
        <w:t>5、乙方联系人及联系电话：</w:t>
      </w:r>
      <w:r>
        <w:rPr>
          <w:sz w:val="21"/>
        </w:rPr>
        <w:t xml:space="preserve"> </w:t>
      </w:r>
    </w:p>
    <w:p>
      <w:pPr>
        <w:ind w:firstLine="420"/>
        <w:jc w:val="both"/>
      </w:pPr>
      <w:r>
        <w:rPr>
          <w:b/>
          <w:sz w:val="21"/>
        </w:rPr>
        <w:t>六、付款方式</w:t>
      </w:r>
      <w:r>
        <w:rPr>
          <w:b/>
          <w:sz w:val="21"/>
        </w:rPr>
        <w:t>、时间及付款条件</w:t>
      </w:r>
    </w:p>
    <w:p>
      <w:pPr>
        <w:ind w:firstLine="412"/>
        <w:jc w:val="both"/>
      </w:pPr>
      <w:r>
        <w:rPr>
          <w:sz w:val="21"/>
        </w:rPr>
        <w:t>付款时间及条件：（按采购需求要求）</w:t>
      </w:r>
    </w:p>
    <w:p>
      <w:pPr>
        <w:ind w:firstLine="412"/>
        <w:jc w:val="both"/>
      </w:pPr>
      <w:r>
        <w:rPr>
          <w:sz w:val="21"/>
        </w:rPr>
        <w:t>付款方式：</w:t>
      </w:r>
    </w:p>
    <w:p>
      <w:pPr>
        <w:ind w:firstLine="412"/>
        <w:jc w:val="both"/>
      </w:pPr>
      <w:r>
        <w:rPr>
          <w:b/>
          <w:color w:val="000000"/>
          <w:sz w:val="21"/>
        </w:rPr>
        <w:t>七、培训、质保期及售后服务要求</w:t>
      </w:r>
    </w:p>
    <w:p>
      <w:pPr>
        <w:ind w:firstLine="412"/>
        <w:jc w:val="both"/>
      </w:pPr>
      <w:r>
        <w:rPr>
          <w:color w:val="000000"/>
          <w:sz w:val="21"/>
        </w:rPr>
        <w:t>1、乙方负责甲方使用人员的使用操作技术及维护技术的培训。</w:t>
      </w:r>
    </w:p>
    <w:p>
      <w:pPr>
        <w:ind w:firstLine="412"/>
        <w:jc w:val="both"/>
      </w:pPr>
      <w:r>
        <w:rPr>
          <w:color w:val="000000"/>
          <w:sz w:val="21"/>
        </w:rPr>
        <w:t>2、本合同的质量保证期（简称“质保期”）为</w:t>
      </w:r>
      <w:r>
        <w:rPr>
          <w:color w:val="000000"/>
          <w:sz w:val="21"/>
          <w:u w:val="single"/>
        </w:rPr>
        <w:t xml:space="preserve">   </w:t>
      </w:r>
      <w:r>
        <w:rPr>
          <w:color w:val="000000"/>
          <w:sz w:val="21"/>
        </w:rPr>
        <w:t>年，自甲乙双方代表在货物安装调试后的验收书上签字之日起计算。质保期内乙方对所供货物实行包修、包换、包退、包维护保养，期满后可同时提供终身有偿维修保养服务。</w:t>
      </w:r>
    </w:p>
    <w:p>
      <w:pPr>
        <w:ind w:firstLine="412"/>
        <w:jc w:val="both"/>
      </w:pPr>
      <w:r>
        <w:rPr>
          <w:color w:val="000000"/>
          <w:sz w:val="21"/>
        </w:rPr>
        <w:t>3、质保期内，如设备或零部件因非人为因素出现故障而造成短期停用时，则质保期和维修期相应顺延（费用包含在报价内）。如停用时间累计超过60天则质保期重新计算。</w:t>
      </w:r>
    </w:p>
    <w:p>
      <w:pPr>
        <w:ind w:firstLine="412"/>
        <w:jc w:val="both"/>
      </w:pPr>
      <w:r>
        <w:rPr>
          <w:color w:val="000000"/>
          <w:sz w:val="21"/>
        </w:rPr>
        <w:t>4、在质保期内，如货品非因甲方的人为原因而出现的问题由乙方负责保修、包换或包退，并承担修理、调换或退货的实际费用。</w:t>
      </w:r>
    </w:p>
    <w:p>
      <w:pPr>
        <w:ind w:firstLine="412"/>
        <w:jc w:val="both"/>
      </w:pPr>
      <w:r>
        <w:rPr>
          <w:color w:val="000000"/>
          <w:sz w:val="21"/>
        </w:rPr>
        <w:t>5、质保期内，乙方负责对其提供的货物整机进行维修和系统维护，不再收取任何费用，但非乙方责任的人为因素、自然因素（如火灾、雷击等）造成的故障除外。</w:t>
      </w:r>
    </w:p>
    <w:p>
      <w:pPr>
        <w:ind w:firstLine="412"/>
        <w:jc w:val="both"/>
      </w:pPr>
      <w:r>
        <w:rPr>
          <w:color w:val="000000"/>
          <w:sz w:val="21"/>
        </w:rPr>
        <w:t>6、对甲方的服务通知，乙方在接报后</w:t>
      </w:r>
      <w:r>
        <w:rPr>
          <w:color w:val="000000"/>
          <w:sz w:val="21"/>
          <w:u w:val="single"/>
        </w:rPr>
        <w:t xml:space="preserve">  </w:t>
      </w:r>
      <w:r>
        <w:rPr>
          <w:color w:val="000000"/>
          <w:sz w:val="21"/>
        </w:rPr>
        <w:t>小时内响应，</w:t>
      </w:r>
      <w:r>
        <w:rPr>
          <w:color w:val="000000"/>
          <w:sz w:val="21"/>
          <w:u w:val="single"/>
        </w:rPr>
        <w:t xml:space="preserve">  </w:t>
      </w:r>
      <w:r>
        <w:rPr>
          <w:color w:val="000000"/>
          <w:sz w:val="21"/>
        </w:rPr>
        <w:t>小时内到达现场，</w:t>
      </w:r>
      <w:r>
        <w:rPr>
          <w:color w:val="000000"/>
          <w:sz w:val="21"/>
          <w:u w:val="single"/>
        </w:rPr>
        <w:t xml:space="preserve">  </w:t>
      </w:r>
      <w:r>
        <w:rPr>
          <w:color w:val="000000"/>
          <w:sz w:val="21"/>
        </w:rPr>
        <w:t>小时内处理完毕。若在</w:t>
      </w:r>
      <w:r>
        <w:rPr>
          <w:color w:val="000000"/>
          <w:sz w:val="21"/>
          <w:u w:val="single"/>
        </w:rPr>
        <w:t xml:space="preserve">  </w:t>
      </w:r>
      <w:r>
        <w:rPr>
          <w:color w:val="000000"/>
          <w:sz w:val="21"/>
        </w:rPr>
        <w:t>小时内仍未能有效解决，乙方须提供同档次的设备予甲方临时使用（费用包含在报价内）。</w:t>
      </w:r>
    </w:p>
    <w:p>
      <w:pPr>
        <w:ind w:firstLine="412"/>
        <w:jc w:val="both"/>
      </w:pPr>
      <w:r>
        <w:rPr>
          <w:color w:val="000000"/>
          <w:sz w:val="21"/>
        </w:rPr>
        <w:t>7、质保期间，同一硬件一个月内连续2次出现同一故障，乙方须无偿更换同一档次货物。</w:t>
      </w:r>
    </w:p>
    <w:p>
      <w:pPr>
        <w:ind w:firstLine="412"/>
        <w:jc w:val="both"/>
      </w:pPr>
      <w:r>
        <w:rPr>
          <w:color w:val="000000"/>
          <w:sz w:val="21"/>
        </w:rPr>
        <w:t>8、负责维修的单位名称：</w:t>
      </w:r>
    </w:p>
    <w:p>
      <w:pPr>
        <w:jc w:val="both"/>
      </w:pPr>
      <w:r>
        <w:rPr>
          <w:sz w:val="21"/>
        </w:rPr>
        <w:t xml:space="preserve">   </w:t>
      </w:r>
      <w:r>
        <w:rPr>
          <w:color w:val="000000"/>
          <w:sz w:val="21"/>
        </w:rPr>
        <w:t>地址：</w:t>
      </w:r>
      <w:r>
        <w:rPr>
          <w:color w:val="000000"/>
          <w:sz w:val="21"/>
          <w:u w:val="single"/>
        </w:rPr>
        <w:t xml:space="preserve">        </w:t>
      </w:r>
    </w:p>
    <w:p>
      <w:pPr>
        <w:jc w:val="both"/>
      </w:pPr>
      <w:r>
        <w:rPr>
          <w:sz w:val="21"/>
        </w:rPr>
        <w:t xml:space="preserve"> </w:t>
      </w:r>
      <w:r>
        <w:rPr>
          <w:color w:val="000000"/>
          <w:sz w:val="21"/>
        </w:rPr>
        <w:t>联系人：</w:t>
      </w:r>
      <w:r>
        <w:rPr>
          <w:color w:val="000000"/>
          <w:sz w:val="21"/>
          <w:u w:val="single"/>
        </w:rPr>
        <w:t xml:space="preserve">        </w:t>
      </w:r>
    </w:p>
    <w:p>
      <w:pPr>
        <w:ind w:firstLine="105"/>
        <w:jc w:val="both"/>
      </w:pPr>
      <w:r>
        <w:rPr>
          <w:color w:val="000000"/>
          <w:sz w:val="21"/>
        </w:rPr>
        <w:t xml:space="preserve">电话：    </w:t>
      </w:r>
      <w:r>
        <w:rPr>
          <w:color w:val="000000"/>
          <w:sz w:val="21"/>
          <w:u w:val="single"/>
        </w:rPr>
        <w:t xml:space="preserve">        </w:t>
      </w:r>
      <w:r>
        <w:rPr>
          <w:color w:val="000000"/>
          <w:sz w:val="21"/>
        </w:rPr>
        <w:t xml:space="preserve">      </w:t>
      </w:r>
    </w:p>
    <w:p>
      <w:pPr>
        <w:ind w:firstLine="105"/>
        <w:jc w:val="both"/>
      </w:pPr>
      <w:r>
        <w:rPr>
          <w:color w:val="000000"/>
          <w:sz w:val="21"/>
        </w:rPr>
        <w:t>手机：</w:t>
      </w:r>
      <w:r>
        <w:rPr>
          <w:color w:val="000000"/>
          <w:sz w:val="21"/>
          <w:u w:val="single"/>
        </w:rPr>
        <w:t xml:space="preserve">        </w:t>
      </w:r>
    </w:p>
    <w:p>
      <w:pPr>
        <w:ind w:firstLine="105"/>
        <w:jc w:val="both"/>
      </w:pPr>
      <w:r>
        <w:rPr>
          <w:color w:val="000000"/>
          <w:sz w:val="21"/>
        </w:rPr>
        <w:t>传真：</w:t>
      </w:r>
      <w:r>
        <w:rPr>
          <w:color w:val="000000"/>
          <w:sz w:val="21"/>
          <w:u w:val="single"/>
        </w:rPr>
        <w:t xml:space="preserve">        </w:t>
      </w:r>
    </w:p>
    <w:p>
      <w:pPr>
        <w:ind w:firstLine="105"/>
        <w:jc w:val="both"/>
      </w:pPr>
      <w:r>
        <w:rPr>
          <w:b/>
          <w:color w:val="000000"/>
          <w:sz w:val="21"/>
        </w:rPr>
        <w:t>八、包装、到货检验、安装与调试:</w:t>
      </w:r>
    </w:p>
    <w:p>
      <w:pPr>
        <w:ind w:firstLine="105"/>
        <w:jc w:val="both"/>
      </w:pPr>
      <w:r>
        <w:rPr>
          <w:color w:val="000000"/>
          <w:sz w:val="21"/>
        </w:rPr>
        <w:t>1、合同货物的包装：货物的包装均应有良好的防湿、防锈、防潮、防雨、防腐及防碰撞的措施。凡由于包装不良造成的损失和由此产生的费用均由乙方承担。</w:t>
      </w:r>
    </w:p>
    <w:p>
      <w:pPr>
        <w:ind w:firstLine="105"/>
        <w:jc w:val="both"/>
      </w:pPr>
      <w:r>
        <w:rPr>
          <w:color w:val="000000"/>
          <w:sz w:val="21"/>
        </w:rPr>
        <w:t>2、到货检验</w:t>
      </w:r>
    </w:p>
    <w:p>
      <w:pPr>
        <w:ind w:firstLine="105"/>
        <w:jc w:val="both"/>
      </w:pPr>
      <w:r>
        <w:rPr>
          <w:color w:val="000000"/>
          <w:sz w:val="21"/>
        </w:rPr>
        <w:t>（1）</w:t>
      </w:r>
      <w:r>
        <w:rPr>
          <w:color w:val="000000"/>
          <w:sz w:val="21"/>
        </w:rPr>
        <w:t>货物的到货验收包括：型号、规格、数量、外观质量及货物包装完整无破损，在货物抵达交货目的地后，甲乙双方就货物外观质量、规格和型号进行初步检验。货物为原厂商未启封全新包装，</w:t>
      </w:r>
      <w:r>
        <w:rPr>
          <w:color w:val="000000"/>
          <w:sz w:val="21"/>
        </w:rPr>
        <w:t>具出厂合格证，序列号、包装箱号与出厂批号一致，并可追索查阅。所有随货物的附件必须齐全。如果发现到货的外观质量、规格和型号与合同不符，甲方有权拒收货物，并可向乙方索赔。</w:t>
      </w:r>
    </w:p>
    <w:p>
      <w:pPr>
        <w:ind w:firstLine="105"/>
        <w:jc w:val="both"/>
      </w:pPr>
      <w:r>
        <w:rPr>
          <w:color w:val="000000"/>
          <w:sz w:val="21"/>
        </w:rPr>
        <w:t>（2）</w:t>
      </w:r>
      <w:r>
        <w:rPr>
          <w:color w:val="000000"/>
          <w:sz w:val="21"/>
        </w:rPr>
        <w:t>进口货物送到甲方指定场地后，甲、乙、丙三方同时在场时才能开封检验。</w:t>
      </w:r>
    </w:p>
    <w:p>
      <w:pPr>
        <w:ind w:firstLine="105"/>
        <w:jc w:val="both"/>
      </w:pPr>
      <w:r>
        <w:rPr>
          <w:color w:val="000000"/>
          <w:sz w:val="21"/>
        </w:rPr>
        <w:t>3、合同货物的安装调试：</w:t>
      </w:r>
    </w:p>
    <w:p>
      <w:pPr>
        <w:ind w:firstLine="105"/>
        <w:jc w:val="both"/>
      </w:pPr>
      <w:r>
        <w:rPr>
          <w:color w:val="000000"/>
          <w:sz w:val="21"/>
        </w:rPr>
        <w:t>（1）除非甲方另有通知，乙方应按照合同的要求以及合同执行计划的时间安排，派出足够的人员进行现场安装和负责调试工作。</w:t>
      </w:r>
    </w:p>
    <w:p>
      <w:pPr>
        <w:ind w:firstLine="105"/>
        <w:jc w:val="both"/>
      </w:pPr>
      <w:r>
        <w:rPr>
          <w:color w:val="000000"/>
          <w:sz w:val="21"/>
        </w:rPr>
        <w:t>（2）乙方必须依照招标文件的要求和响应报价文件的承诺，将设备、系统安装并调试至正常运行的最佳状态。</w:t>
      </w:r>
    </w:p>
    <w:p>
      <w:pPr>
        <w:ind w:firstLine="105"/>
        <w:jc w:val="both"/>
      </w:pPr>
      <w:r>
        <w:rPr>
          <w:color w:val="000000"/>
          <w:sz w:val="21"/>
        </w:rPr>
        <w:t>（3）合同项下的安装调试所发生费用及耗材由乙方承担。</w:t>
      </w:r>
    </w:p>
    <w:p>
      <w:pPr>
        <w:ind w:firstLine="105"/>
        <w:jc w:val="both"/>
      </w:pPr>
      <w:r>
        <w:rPr>
          <w:color w:val="000000"/>
          <w:sz w:val="21"/>
        </w:rPr>
        <w:t>（4）乙方安装时须对各安装场地内的其它货物、设施有良好保护措施。</w:t>
      </w:r>
    </w:p>
    <w:p>
      <w:pPr>
        <w:ind w:firstLine="105"/>
        <w:jc w:val="both"/>
      </w:pPr>
      <w:r>
        <w:rPr>
          <w:b/>
          <w:color w:val="000000"/>
          <w:sz w:val="21"/>
        </w:rPr>
        <w:t>九、验收</w:t>
      </w:r>
    </w:p>
    <w:p>
      <w:pPr>
        <w:ind w:firstLine="105"/>
        <w:jc w:val="both"/>
      </w:pPr>
      <w:r>
        <w:rPr>
          <w:color w:val="000000"/>
          <w:sz w:val="21"/>
        </w:rPr>
        <w:t>1、甲方按照采购合同规定的技术、服务、安全标准组织对乙方履约情况进行验收，并出具验收书。验收书应当包括每一项技术、服务、安全标准的履约情况。</w:t>
      </w:r>
    </w:p>
    <w:p>
      <w:pPr>
        <w:ind w:firstLine="105"/>
        <w:jc w:val="both"/>
      </w:pPr>
      <w:r>
        <w:rPr>
          <w:color w:val="000000"/>
          <w:sz w:val="21"/>
        </w:rPr>
        <w:t>2、交付验收标准依次序对照适用标准为：①符合中华人民共和国“国家安全质量标准、环保标准或行业标准”；②符合招标文件和响应承诺中甲方认可的合理最佳配置、参数及各项要求；③货物来源国官方标准。</w:t>
      </w:r>
    </w:p>
    <w:p>
      <w:pPr>
        <w:ind w:firstLine="105"/>
        <w:jc w:val="both"/>
      </w:pPr>
      <w:r>
        <w:rPr>
          <w:color w:val="000000"/>
          <w:sz w:val="21"/>
        </w:rPr>
        <w:t>3、进口产品的必须具备原产地证明和商检局的检验证明及合法进货渠道证明。</w:t>
      </w:r>
    </w:p>
    <w:p>
      <w:pPr>
        <w:ind w:firstLine="105"/>
        <w:jc w:val="both"/>
      </w:pPr>
      <w:r>
        <w:rPr>
          <w:color w:val="000000"/>
          <w:sz w:val="21"/>
        </w:rPr>
        <w:t>4、货物为原厂商未启封全新包装，具出厂合格证，序列号、包装箱号与出厂批号一致，并可追索查阅。所有随设备的附件必须齐全。</w:t>
      </w:r>
    </w:p>
    <w:p>
      <w:pPr>
        <w:ind w:firstLine="105"/>
        <w:jc w:val="both"/>
      </w:pPr>
      <w:r>
        <w:rPr>
          <w:color w:val="000000"/>
          <w:sz w:val="21"/>
        </w:rPr>
        <w:t>5、乙方将货物的用户手册、保修手册、有关单证资料及备品备件、随机工具等交付给甲方，使用操作及安全须知等重要资料应附有中文说明。</w:t>
      </w:r>
    </w:p>
    <w:p>
      <w:pPr>
        <w:ind w:firstLine="105"/>
        <w:jc w:val="both"/>
      </w:pPr>
      <w:r>
        <w:rPr>
          <w:color w:val="000000"/>
          <w:sz w:val="21"/>
        </w:rPr>
        <w:t>6、货物验收所发生的检验费用由乙方负担。</w:t>
      </w:r>
    </w:p>
    <w:p>
      <w:pPr>
        <w:ind w:firstLine="105"/>
        <w:jc w:val="both"/>
      </w:pPr>
      <w:r>
        <w:rPr>
          <w:color w:val="000000"/>
          <w:sz w:val="21"/>
        </w:rPr>
        <w:t>7、设备到货并经乙方技术人员安装后，甲方有权委托中国有资格的单位对上述设备进行校准或检验。</w:t>
      </w:r>
    </w:p>
    <w:p>
      <w:pPr>
        <w:ind w:firstLine="105"/>
        <w:jc w:val="both"/>
      </w:pPr>
      <w:r>
        <w:rPr>
          <w:color w:val="000000"/>
          <w:sz w:val="21"/>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ind w:firstLine="105"/>
        <w:jc w:val="both"/>
      </w:pPr>
      <w:r>
        <w:rPr>
          <w:color w:val="000000"/>
          <w:sz w:val="21"/>
        </w:rPr>
        <w:t>9、当出现不合格产品时，乙方要无条件更换合格产品。除甲方认可，否则不接受任何形式的降格处理。</w:t>
      </w:r>
    </w:p>
    <w:p>
      <w:pPr>
        <w:ind w:firstLine="105"/>
        <w:jc w:val="both"/>
      </w:pPr>
      <w:r>
        <w:rPr>
          <w:color w:val="000000"/>
          <w:sz w:val="21"/>
        </w:rPr>
        <w:t>10、验收期限：全部货物到货后</w:t>
      </w:r>
      <w:r>
        <w:rPr>
          <w:sz w:val="21"/>
          <w:u w:val="single"/>
        </w:rPr>
        <w:t xml:space="preserve">  </w:t>
      </w:r>
      <w:r>
        <w:rPr>
          <w:color w:val="000000"/>
          <w:sz w:val="21"/>
        </w:rPr>
        <w:t>天内完成项目验收。</w:t>
      </w:r>
    </w:p>
    <w:p>
      <w:pPr>
        <w:ind w:firstLine="105"/>
        <w:jc w:val="both"/>
      </w:pPr>
      <w:r>
        <w:rPr>
          <w:b/>
          <w:color w:val="000000"/>
          <w:sz w:val="21"/>
        </w:rPr>
        <w:t>十、违约责任与赔偿损失</w:t>
      </w:r>
    </w:p>
    <w:p>
      <w:pPr>
        <w:ind w:firstLine="105"/>
        <w:jc w:val="both"/>
      </w:pPr>
      <w:r>
        <w:rPr>
          <w:color w:val="000000"/>
          <w:sz w:val="21"/>
        </w:rPr>
        <w:t>1、乙方交付的货物不符合招标文件、报价文件或本合同规定的，甲方有权拒收，并且乙方须向甲方支付本合同总价5%的违约金。</w:t>
      </w:r>
    </w:p>
    <w:p>
      <w:pPr>
        <w:ind w:firstLine="105"/>
        <w:jc w:val="both"/>
      </w:pPr>
      <w:r>
        <w:rPr>
          <w:color w:val="000000"/>
          <w:sz w:val="21"/>
        </w:rPr>
        <w:t>2、乙方未能按本合同规定的交货时间交付货物的，从逾期之日起每日按本合同总价3‰的数额向甲方支付违约金；逾期半个月以上的，甲方有权终止合同，由此造成的甲方经济损失由乙方承担。</w:t>
      </w:r>
    </w:p>
    <w:p>
      <w:pPr>
        <w:ind w:firstLine="105"/>
        <w:jc w:val="both"/>
      </w:pPr>
      <w:r>
        <w:rPr>
          <w:color w:val="000000"/>
          <w:sz w:val="21"/>
        </w:rPr>
        <w:t>3、甲方无正当理由拒收货物，不按政府采购支付流程办理付款申请手续的，甲方向乙方偿付本合同总价5%的违约金。甲方逾期未按政府采购支付流程办理付款申请手续的，则每日按本合同总价的3‰向乙方偿付违约金。</w:t>
      </w:r>
    </w:p>
    <w:p>
      <w:pPr>
        <w:ind w:firstLine="105"/>
        <w:jc w:val="both"/>
      </w:pPr>
      <w:r>
        <w:rPr>
          <w:color w:val="000000"/>
          <w:sz w:val="21"/>
        </w:rPr>
        <w:t>4、乙方如没有按合同规定履行售后服务承诺，甲方可由第三方单位进行修复，其费用全部由乙方支付，并追究乙方违约的法律责任。</w:t>
      </w:r>
    </w:p>
    <w:p>
      <w:pPr>
        <w:ind w:firstLine="105"/>
        <w:jc w:val="both"/>
      </w:pPr>
      <w:r>
        <w:rPr>
          <w:color w:val="000000"/>
          <w:sz w:val="21"/>
        </w:rPr>
        <w:t>5、其它违约责任按《中华人民共和国民法典》处理。</w:t>
      </w:r>
    </w:p>
    <w:p>
      <w:pPr>
        <w:ind w:firstLine="105"/>
        <w:jc w:val="both"/>
      </w:pPr>
      <w:r>
        <w:rPr>
          <w:b/>
          <w:color w:val="000000"/>
          <w:sz w:val="21"/>
        </w:rPr>
        <w:t>十一、履约保证金</w:t>
      </w:r>
    </w:p>
    <w:p>
      <w:pPr>
        <w:jc w:val="both"/>
      </w:pPr>
      <w:r>
        <w:rPr>
          <w:b/>
          <w:color w:val="000000"/>
          <w:sz w:val="21"/>
        </w:rPr>
        <w:t>（按照采购需求要求）</w:t>
      </w:r>
    </w:p>
    <w:p>
      <w:pPr>
        <w:jc w:val="both"/>
      </w:pPr>
      <w:r>
        <w:rPr>
          <w:b/>
          <w:color w:val="000000"/>
          <w:sz w:val="21"/>
        </w:rPr>
        <w:t>十二、争议的解决</w:t>
      </w:r>
    </w:p>
    <w:p>
      <w:pPr>
        <w:jc w:val="both"/>
      </w:pPr>
      <w:r>
        <w:rPr>
          <w:sz w:val="21"/>
        </w:rPr>
        <w:t xml:space="preserve">   </w:t>
      </w:r>
      <w:r>
        <w:rPr>
          <w:color w:val="000000"/>
          <w:sz w:val="21"/>
        </w:rPr>
        <w:t>合同执行过程中发生的任何争议，</w:t>
      </w:r>
      <w:r>
        <w:rPr>
          <w:color w:val="000000"/>
          <w:sz w:val="21"/>
        </w:rPr>
        <w:t>三方应通过友好协商解决，若经协商不能达成协议时，则向甲方所在地有管辖权的人民法院提起诉讼。诉讼期间，双方应继续执行合同其余部分。</w:t>
      </w:r>
    </w:p>
    <w:p>
      <w:pPr>
        <w:jc w:val="both"/>
      </w:pPr>
      <w:r>
        <w:rPr>
          <w:b/>
          <w:color w:val="000000"/>
          <w:sz w:val="21"/>
        </w:rPr>
        <w:t>十三、不可抗力</w:t>
      </w:r>
    </w:p>
    <w:p>
      <w:pPr>
        <w:ind w:firstLine="420"/>
        <w:jc w:val="both"/>
      </w:pPr>
      <w:r>
        <w:rPr>
          <w:color w:val="000000"/>
          <w:sz w:val="21"/>
        </w:rPr>
        <w:t>任何一方由于不可抗力原因不能履行合同时，应在不可抗力事件结束后1日内向其他两方通报，以减轻可能给其他两方造成的损失，在取得有关机构的不可抗力证明或双方谅解确认后，允许延期履行或修订合同，并根据情况可部分或全部免于承担违约责任。</w:t>
      </w:r>
    </w:p>
    <w:p>
      <w:pPr>
        <w:ind w:firstLine="420"/>
        <w:jc w:val="both"/>
      </w:pPr>
      <w:r>
        <w:rPr>
          <w:b/>
          <w:color w:val="000000"/>
          <w:sz w:val="21"/>
        </w:rPr>
        <w:t>十四、其它</w:t>
      </w:r>
    </w:p>
    <w:p>
      <w:pPr>
        <w:ind w:firstLine="420"/>
        <w:jc w:val="both"/>
      </w:pPr>
      <w:r>
        <w:rPr>
          <w:color w:val="000000"/>
          <w:sz w:val="21"/>
        </w:rPr>
        <w:t>1、本合同所有附件、招标文件、响应文件、成交通知书均为合同的有效组成部分，与本合同具有同等法律效力。</w:t>
      </w:r>
    </w:p>
    <w:p>
      <w:pPr>
        <w:ind w:firstLine="420"/>
        <w:jc w:val="both"/>
      </w:pPr>
      <w:r>
        <w:rPr>
          <w:color w:val="000000"/>
          <w:sz w:val="21"/>
        </w:rPr>
        <w:t>2、在执行本合同的过程中，所有经甲乙丙三方签署确认的文件（包括会议纪要、补充协议、合同修改、往来信函）即成为本合同的有效组成部分。</w:t>
      </w:r>
    </w:p>
    <w:p>
      <w:pPr>
        <w:ind w:firstLine="420"/>
        <w:jc w:val="both"/>
      </w:pPr>
      <w:r>
        <w:rPr>
          <w:color w:val="000000"/>
          <w:sz w:val="21"/>
        </w:rPr>
        <w:t>3、如一方地址、电话、传真号码有变更，应在变更当日内书面通知其他两方，否则，应承担相应责任。</w:t>
      </w:r>
    </w:p>
    <w:p>
      <w:pPr>
        <w:ind w:firstLine="420"/>
        <w:jc w:val="both"/>
      </w:pPr>
      <w:r>
        <w:rPr>
          <w:color w:val="000000"/>
          <w:sz w:val="21"/>
        </w:rPr>
        <w:t>4、除甲方事先以书面形式确认同意外，乙方、丙方不得部分或全部转让其应履行的合同项下的义务。</w:t>
      </w:r>
    </w:p>
    <w:p>
      <w:pPr>
        <w:ind w:firstLine="420"/>
        <w:jc w:val="both"/>
      </w:pPr>
      <w:r>
        <w:rPr>
          <w:b/>
          <w:color w:val="000000"/>
          <w:sz w:val="21"/>
        </w:rPr>
        <w:t>十五、合同生效</w:t>
      </w:r>
    </w:p>
    <w:p>
      <w:pPr>
        <w:ind w:firstLine="420"/>
        <w:jc w:val="both"/>
      </w:pPr>
      <w:r>
        <w:rPr>
          <w:color w:val="000000"/>
          <w:sz w:val="21"/>
        </w:rPr>
        <w:t>1、本合同在甲乙丙三方法人代表或其授权代表签字并盖章及乙方提交履约保证金后生效。如果不需要提交履约保证金的则甲乙丙三方法人代表或其授权代表签字并盖章后生效。</w:t>
      </w:r>
    </w:p>
    <w:p>
      <w:pPr>
        <w:ind w:firstLine="420"/>
        <w:jc w:val="both"/>
      </w:pPr>
      <w:r>
        <w:rPr>
          <w:color w:val="000000"/>
          <w:sz w:val="21"/>
        </w:rPr>
        <w:t>2、合同壹式</w:t>
      </w:r>
      <w:r>
        <w:rPr>
          <w:color w:val="000000"/>
          <w:sz w:val="21"/>
          <w:u w:val="single"/>
        </w:rPr>
        <w:t xml:space="preserve">   </w:t>
      </w:r>
      <w:r>
        <w:rPr>
          <w:color w:val="000000"/>
          <w:sz w:val="21"/>
        </w:rPr>
        <w:t>份。甲乙丙三方</w:t>
      </w:r>
      <w:r>
        <w:rPr>
          <w:color w:val="000000"/>
          <w:sz w:val="21"/>
        </w:rPr>
        <w:t>各执</w:t>
      </w:r>
      <w:r>
        <w:rPr>
          <w:color w:val="000000"/>
          <w:sz w:val="21"/>
          <w:u w:val="single"/>
        </w:rPr>
        <w:t xml:space="preserve">   </w:t>
      </w:r>
      <w:r>
        <w:rPr>
          <w:color w:val="000000"/>
          <w:sz w:val="21"/>
        </w:rPr>
        <w:t>份，招标代理机构壹份，具同等法律效力。</w:t>
      </w:r>
    </w:p>
    <w:p>
      <w:pPr>
        <w:jc w:val="both"/>
      </w:pPr>
      <w:r>
        <w:rPr>
          <w:color w:val="000000"/>
          <w:sz w:val="21"/>
        </w:rPr>
        <w:t>（以下无正文）</w:t>
      </w:r>
    </w:p>
    <w:tbl>
      <w:tblPr>
        <w:tblW w:w="0" w:type="auto"/>
        <w:tblBorders>
          <w:top w:val="single"/>
          <w:left w:val="single"/>
          <w:bottom w:val="single"/>
          <w:right w:val="single"/>
          <w:insideH w:val="single"/>
          <w:insideV w:val="singl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sz w:val="21"/>
        </w:rPr>
        <w:t>丙方</w:t>
      </w:r>
      <w:r>
        <w:rPr>
          <w:sz w:val="21"/>
        </w:rPr>
        <w:t>（公章）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r>
        <w:br/>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440001-2022-36007</w:t>
      </w:r>
    </w:p>
    <w:p>
      <w:pPr>
        <w:jc w:val="center"/>
      </w:pPr>
      <w:r>
        <w:rPr>
          <w:b/>
          <w:sz w:val="24"/>
        </w:rPr>
        <w:t>采购项目编号：</w:t>
      </w:r>
      <w:r>
        <w:rPr>
          <w:b/>
          <w:sz w:val="24"/>
        </w:rPr>
        <w:t>GZGK22P097A0342Z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广东省农作物现代种业产业园项目---蔬菜风味和分子育种研究设备采购</w:t>
      </w:r>
      <w:r>
        <w:rPr/>
        <w:t>项目的招标[采购项目编号为：</w:t>
      </w:r>
      <w:r>
        <w:rPr>
          <w:u w:val="single"/>
        </w:rPr>
        <w:t>GZGK22P097A0342Z</w:t>
      </w:r>
      <w:r>
        <w:rPr/>
        <w:t>]，我方愿参与投标。</w:t>
      </w:r>
    </w:p>
    <w:p>
      <w:pPr>
        <w:ind w:firstLine="480"/>
      </w:pPr>
      <w:r>
        <w:rPr/>
        <w:t>我方确认收到贵方提供的</w:t>
      </w:r>
      <w:r>
        <w:rPr>
          <w:u w:val="single"/>
        </w:rPr>
        <w:t>广东省农作物现代种业产业园项目---蔬菜风味和分子育种研究设备采购</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广东省农作物现代种业产业园项目---蔬菜风味和分子育种研究设备采购</w:t>
      </w:r>
      <w:r>
        <w:rPr/>
        <w:t>项目采购[采购项目编号为</w:t>
      </w:r>
      <w:r>
        <w:rPr/>
        <w:t>GZGK22P097A0342Z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广东省农业科学院蔬菜研究所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广东省农作物现代种业产业园项目---蔬菜风味和分子育种研究设备采购</w:t>
      </w:r>
      <w:r>
        <w:rPr/>
        <w:t>招标中获中标（采购项目编号：</w:t>
      </w:r>
      <w:r>
        <w:rPr/>
        <w:t>GZGK22P097A0342Z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广东省农作物现代种业产业园项目---蔬菜风味和分子育种研究设备采购</w:t>
      </w:r>
      <w:r>
        <w:rPr/>
        <w:t>项目（采购项目编号：</w:t>
      </w:r>
      <w:r>
        <w:rPr/>
        <w:t>GZGK22P097A0342Z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