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440111-2023-04243</w:t>
      </w:r>
    </w:p>
    <w:p>
      <w:pPr>
        <w:jc w:val="center"/>
      </w:pPr>
      <w:r>
        <w:rPr>
          <w:b/>
          <w:sz w:val="24"/>
        </w:rPr>
        <w:t>采购项目编号：</w:t>
      </w:r>
      <w:r>
        <w:rPr>
          <w:b/>
          <w:sz w:val="24"/>
        </w:rPr>
        <w:t>GZGK23D226C0662Z</w:t>
      </w:r>
    </w:p>
    <w:p>
      <w:pPr>
        <w:jc w:val="center"/>
      </w:pPr>
      <w:r>
        <w:rPr>
          <w:b/>
          <w:sz w:val="24"/>
        </w:rPr>
        <w:t>项目名称：</w:t>
      </w:r>
      <w:r>
        <w:rPr>
          <w:b/>
          <w:sz w:val="24"/>
        </w:rPr>
        <w:t>广州市白云区人民政府同和街道办事处社工站购买服务项目</w:t>
      </w:r>
    </w:p>
    <w:p>
      <w:pPr>
        <w:jc w:val="center"/>
      </w:pPr>
      <w:r>
        <w:rPr>
          <w:b/>
          <w:sz w:val="24"/>
        </w:rPr>
        <w:t>采购人：</w:t>
      </w:r>
      <w:r>
        <w:rPr>
          <w:b/>
          <w:sz w:val="24"/>
        </w:rPr>
        <w:t>广州市白云区人民政府同和街道办事处</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广州市白云区人民政府同和街道办事处</w:t>
      </w:r>
      <w:r>
        <w:rPr/>
        <w:t>的委托，采用</w:t>
      </w:r>
      <w:r>
        <w:rPr/>
        <w:t>公开招标</w:t>
      </w:r>
      <w:r>
        <w:rPr/>
        <w:t>方式组织采购</w:t>
      </w:r>
      <w:r>
        <w:rPr/>
        <w:t>广州市白云区人民政府同和街道办事处社工站购买服务项目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广州市白云区人民政府同和街道办事处社工站购买服务项目</w:t>
      </w:r>
    </w:p>
    <w:p>
      <w:pPr>
        <w:ind w:firstLine="480"/>
      </w:pPr>
      <w:r>
        <w:rPr/>
        <w:t>采购计划编号：</w:t>
      </w:r>
      <w:r>
        <w:rPr/>
        <w:t>440111-2023-04243</w:t>
      </w:r>
    </w:p>
    <w:p>
      <w:pPr>
        <w:ind w:firstLine="480"/>
      </w:pPr>
      <w:r>
        <w:rPr/>
        <w:t>采购项目编号：</w:t>
      </w:r>
      <w:r>
        <w:rPr/>
        <w:t>GZGK23D226C0662Z</w:t>
      </w:r>
    </w:p>
    <w:p>
      <w:pPr>
        <w:ind w:firstLine="480"/>
      </w:pPr>
      <w:r>
        <w:rPr/>
        <w:t>采购方式：</w:t>
      </w:r>
      <w:r>
        <w:rPr/>
        <w:t>公开招标</w:t>
      </w:r>
    </w:p>
    <w:p>
      <w:pPr>
        <w:ind w:firstLine="480"/>
      </w:pPr>
      <w:r>
        <w:rPr/>
        <w:t>预算金额：</w:t>
      </w:r>
      <w:r>
        <w:rPr/>
        <w:t>6,000,000.00</w:t>
      </w:r>
      <w:r>
        <w:rPr/>
        <w:t>元</w:t>
      </w:r>
    </w:p>
    <w:p>
      <w:r>
        <w:rPr>
          <w:b/>
          <w:sz w:val="24"/>
        </w:rPr>
        <w:t>2.项目内容及需求情况（采购项目技术规格、参数及要求）</w:t>
      </w:r>
    </w:p>
    <w:p>
      <w:pPr>
        <w:ind w:firstLine="480"/>
      </w:pPr>
    </w:p>
    <w:p/>
    <w:p>
      <w:r>
        <w:rPr/>
        <w:t>采购包1(广州市白云区人民政府同和街道办事处社工站购买服务项目):</w:t>
      </w:r>
    </w:p>
    <w:p>
      <w:r>
        <w:rPr/>
        <w:t>采购包预算金额：6,000,000.00元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社会工作服务</w:t>
            </w:r>
          </w:p>
        </w:tc>
        <w:tc>
          <w:tcPr>
            <w:tcW w:type="dxa" w:w="2136"/>
          </w:tcPr>
          <w:p>
            <w:r>
              <w:rPr/>
              <w:t>广州市白云区人民政府同和街道办事处社工站购买服务</w:t>
            </w:r>
          </w:p>
        </w:tc>
        <w:tc>
          <w:tcPr>
            <w:tcW w:type="dxa" w:w="1187"/>
          </w:tcPr>
          <w:p>
            <w:r>
              <w:rPr/>
              <w:t>2.50(年)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采购包1（广州市白云区人民政府同和街道办事处社工站购买服务项目）：</w:t>
      </w:r>
      <w:r>
        <w:rPr/>
        <w:t>本采购包不属于专门面向中小企业采购的项目。</w:t>
      </w:r>
    </w:p>
    <w:p/>
    <w:p>
      <w:r>
        <w:rPr>
          <w:b/>
          <w:sz w:val="24"/>
        </w:rPr>
        <w:t>3.本项目特定的资格要求：</w:t>
      </w:r>
    </w:p>
    <w:p>
      <w:pPr>
        <w:ind w:firstLine="480"/>
      </w:pPr>
    </w:p>
    <w:p/>
    <w:p>
      <w:r>
        <w:rPr/>
        <w:t>采购包1（广州市白云区人民政府同和街道办事处社工站购买服务项目）：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广州市白云区人民政府同和街道办事处</w:t>
      </w:r>
    </w:p>
    <w:p>
      <w:pPr>
        <w:ind w:firstLine="480"/>
      </w:pPr>
      <w:r>
        <w:rPr/>
        <w:t>地址：</w:t>
      </w:r>
      <w:r>
        <w:rPr/>
        <w:t>广州市白云区广州大道北2077号同和街道办事处</w:t>
      </w:r>
    </w:p>
    <w:p>
      <w:pPr>
        <w:ind w:firstLine="480"/>
      </w:pPr>
      <w:r>
        <w:rPr/>
        <w:t>联系方式：</w:t>
      </w:r>
      <w:r>
        <w:rPr/>
        <w:t>020-37377759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020-87684726、020-87688847</w:t>
      </w:r>
    </w:p>
    <w:p>
      <w:r>
        <w:rPr>
          <w:b/>
          <w:sz w:val="24"/>
        </w:rPr>
        <w:t>3.项目联系方式</w:t>
      </w:r>
    </w:p>
    <w:p>
      <w:pPr>
        <w:ind w:firstLine="480"/>
      </w:pPr>
      <w:r>
        <w:rPr/>
        <w:t>项目联系人：</w:t>
      </w:r>
      <w:r>
        <w:rPr/>
        <w:t>李玉霜、李年秀</w:t>
      </w:r>
    </w:p>
    <w:p>
      <w:pPr>
        <w:ind w:firstLine="480"/>
      </w:pPr>
      <w:r>
        <w:rPr/>
        <w:t>电话：</w:t>
      </w:r>
      <w:r>
        <w:rPr/>
        <w:t>020-87684726、020-87688847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color w:val="000000"/>
          <w:sz w:val="21"/>
        </w:rPr>
        <w:t>（一）</w:t>
      </w:r>
      <w:r>
        <w:rPr>
          <w:b/>
          <w:color w:val="000000"/>
          <w:sz w:val="21"/>
        </w:rPr>
        <w:t>项目编号：</w:t>
      </w:r>
      <w:r>
        <w:rPr>
          <w:color w:val="000000"/>
          <w:sz w:val="21"/>
        </w:rPr>
        <w:t>GZGK23D226C0662Z</w:t>
      </w:r>
    </w:p>
    <w:p>
      <w:pPr>
        <w:jc w:val="both"/>
      </w:pPr>
      <w:r>
        <w:rPr>
          <w:b/>
          <w:color w:val="000000"/>
          <w:sz w:val="21"/>
        </w:rPr>
        <w:t>（二）</w:t>
      </w:r>
      <w:r>
        <w:rPr>
          <w:b/>
          <w:color w:val="000000"/>
          <w:sz w:val="21"/>
        </w:rPr>
        <w:t>项目名称：</w:t>
      </w:r>
      <w:r>
        <w:rPr>
          <w:color w:val="000000"/>
          <w:sz w:val="21"/>
        </w:rPr>
        <w:t>广州市白云区人民政府同和街道办事处社工站购买服务项目</w:t>
      </w:r>
    </w:p>
    <w:p>
      <w:pPr>
        <w:jc w:val="both"/>
      </w:pPr>
      <w:r>
        <w:rPr>
          <w:b/>
          <w:color w:val="000000"/>
          <w:sz w:val="21"/>
        </w:rPr>
        <w:t>（三）</w:t>
      </w:r>
      <w:r>
        <w:rPr>
          <w:b/>
          <w:color w:val="000000"/>
          <w:sz w:val="21"/>
        </w:rPr>
        <w:t>总体要求说明：</w:t>
      </w:r>
    </w:p>
    <w:p>
      <w:pPr>
        <w:jc w:val="both"/>
      </w:pPr>
      <w:r>
        <w:rPr>
          <w:color w:val="000000"/>
          <w:sz w:val="21"/>
        </w:rPr>
        <w:t>1、</w:t>
      </w:r>
      <w:r>
        <w:rPr>
          <w:color w:val="000000"/>
          <w:sz w:val="21"/>
        </w:rPr>
        <w:t>标有</w:t>
      </w:r>
      <w:r>
        <w:rPr>
          <w:color w:val="000000"/>
          <w:sz w:val="21"/>
        </w:rPr>
        <w:t>“★”的条款</w:t>
      </w:r>
      <w:r>
        <w:rPr>
          <w:color w:val="000000"/>
          <w:sz w:val="21"/>
        </w:rPr>
        <w:t>为必须完全满足的实质性要求</w:t>
      </w:r>
      <w:r>
        <w:rPr>
          <w:color w:val="000000"/>
          <w:sz w:val="21"/>
        </w:rPr>
        <w:t>，投标人如有一项带</w:t>
      </w:r>
      <w:r>
        <w:rPr>
          <w:color w:val="000000"/>
          <w:sz w:val="21"/>
        </w:rPr>
        <w:t>“★”的条款未响应或</w:t>
      </w:r>
      <w:r>
        <w:rPr>
          <w:color w:val="000000"/>
          <w:sz w:val="21"/>
        </w:rPr>
        <w:t>不满足</w:t>
      </w:r>
      <w:r>
        <w:rPr>
          <w:color w:val="000000"/>
          <w:sz w:val="21"/>
        </w:rPr>
        <w:t>，将按无效投标处理。</w:t>
      </w:r>
    </w:p>
    <w:p>
      <w:pPr>
        <w:jc w:val="both"/>
      </w:pPr>
      <w:r>
        <w:rPr>
          <w:color w:val="000000"/>
          <w:sz w:val="21"/>
        </w:rPr>
        <w:t>2、</w:t>
      </w:r>
      <w:r>
        <w:rPr>
          <w:color w:val="000000"/>
          <w:sz w:val="21"/>
        </w:rPr>
        <w:t>标有</w:t>
      </w:r>
      <w:r>
        <w:rPr>
          <w:color w:val="000000"/>
          <w:sz w:val="21"/>
        </w:rPr>
        <w:t>“▲”的条款为重要性要求，投标人如有“▲”的条款未响应或负偏离的将被严重扣分。</w:t>
      </w:r>
    </w:p>
    <w:p>
      <w:pPr>
        <w:jc w:val="both"/>
      </w:pPr>
      <w:r>
        <w:rPr>
          <w:color w:val="000000"/>
          <w:sz w:val="21"/>
        </w:rPr>
        <w:t>3、</w:t>
      </w:r>
      <w:r>
        <w:rPr>
          <w:color w:val="000000"/>
          <w:sz w:val="21"/>
        </w:rPr>
        <w:t>投标人应对采购需求中的服务指标在响应详细内容中列出明确承诺。如果投标人只注明</w:t>
      </w:r>
      <w:r>
        <w:rPr>
          <w:color w:val="000000"/>
          <w:sz w:val="21"/>
        </w:rPr>
        <w:t>“正偏离”或“无偏离”，将</w:t>
      </w:r>
      <w:r>
        <w:rPr>
          <w:color w:val="000000"/>
          <w:sz w:val="21"/>
        </w:rPr>
        <w:t>可能</w:t>
      </w:r>
      <w:r>
        <w:rPr>
          <w:color w:val="000000"/>
          <w:sz w:val="21"/>
        </w:rPr>
        <w:t>被视为</w:t>
      </w:r>
      <w:r>
        <w:rPr>
          <w:color w:val="000000"/>
          <w:sz w:val="21"/>
        </w:rPr>
        <w:t>“负偏离”，从而可能导致严重影响评标结果。</w:t>
      </w:r>
    </w:p>
    <w:p>
      <w:pPr>
        <w:jc w:val="both"/>
      </w:pPr>
      <w:r>
        <w:rPr>
          <w:color w:val="000000"/>
          <w:sz w:val="21"/>
        </w:rPr>
        <w:t>4、</w:t>
      </w:r>
      <w:r>
        <w:rPr>
          <w:color w:val="000000"/>
          <w:sz w:val="21"/>
        </w:rPr>
        <w:t>投标人没有在投标文件中注明偏离（文字说明或在响应表注明）的参数、配置、条款视为被投标人完全接受。</w:t>
      </w:r>
    </w:p>
    <w:p>
      <w:pPr>
        <w:jc w:val="both"/>
      </w:pPr>
      <w:r>
        <w:rPr>
          <w:color w:val="000000"/>
          <w:sz w:val="21"/>
        </w:rPr>
        <w:t>5、</w:t>
      </w:r>
      <w:r>
        <w:rPr>
          <w:color w:val="000000"/>
          <w:sz w:val="21"/>
        </w:rPr>
        <w:t>投标人应保证，采购人在中华人民共和国使用该服务或服务的任何一部分时，免受第三方提出的侵犯其专利权、商标权、著作权或其它知识产权的起诉。</w:t>
      </w:r>
    </w:p>
    <w:p>
      <w:pPr>
        <w:jc w:val="both"/>
      </w:pPr>
      <w:r>
        <w:rPr>
          <w:color w:val="000000"/>
          <w:sz w:val="21"/>
        </w:rPr>
        <w:t>6、</w:t>
      </w:r>
      <w:r>
        <w:rPr>
          <w:color w:val="000000"/>
          <w:sz w:val="21"/>
        </w:rPr>
        <w:t>不允许中标供应商</w:t>
      </w:r>
      <w:r>
        <w:rPr>
          <w:color w:val="000000"/>
          <w:sz w:val="21"/>
        </w:rPr>
        <w:t>转包、分包项目内容</w:t>
      </w:r>
      <w:r>
        <w:rPr>
          <w:color w:val="000000"/>
          <w:sz w:val="21"/>
        </w:rPr>
        <w:t>。</w:t>
      </w:r>
    </w:p>
    <w:p>
      <w:pPr>
        <w:jc w:val="both"/>
      </w:pPr>
      <w:r>
        <w:rPr>
          <w:color w:val="000000"/>
          <w:sz w:val="21"/>
        </w:rPr>
        <w:t>7、</w:t>
      </w:r>
      <w:r>
        <w:rPr>
          <w:color w:val="000000"/>
          <w:sz w:val="21"/>
        </w:rPr>
        <w:t>小型和微型企业、监狱企业和残疾人福利性单位必须按照招标文件第三章内容提供相应的资料。</w:t>
      </w:r>
    </w:p>
    <w:p>
      <w:pPr>
        <w:jc w:val="both"/>
      </w:pPr>
      <w:r>
        <w:rPr>
          <w:color w:val="000000"/>
          <w:sz w:val="21"/>
        </w:rPr>
        <w:t>8、</w:t>
      </w:r>
      <w:r>
        <w:rPr>
          <w:color w:val="000000"/>
          <w:sz w:val="21"/>
        </w:rPr>
        <w:t>需落实政府采购政策为：促进中小企业发展政策、支持监狱企业发展政策、支持残疾人福利性单位发展政策、</w:t>
      </w:r>
      <w:r>
        <w:rPr>
          <w:color w:val="000000"/>
          <w:sz w:val="21"/>
        </w:rPr>
        <w:t>优先</w:t>
      </w:r>
      <w:r>
        <w:rPr>
          <w:color w:val="000000"/>
          <w:sz w:val="21"/>
        </w:rPr>
        <w:t>采购节能产品、环境标志产品相关政策等。</w:t>
      </w:r>
    </w:p>
    <w:p>
      <w:pPr>
        <w:jc w:val="both"/>
      </w:pPr>
      <w:r>
        <w:rPr>
          <w:color w:val="000000"/>
          <w:sz w:val="21"/>
        </w:rPr>
        <w:t>9、</w:t>
      </w:r>
      <w:r>
        <w:rPr>
          <w:color w:val="000000"/>
          <w:sz w:val="21"/>
        </w:rPr>
        <w:t>本项目符合《政府采购促进中小企业发展管理办法》第六条第（三）项的情形，故不专门面向中小企业</w:t>
      </w:r>
      <w:r>
        <w:rPr>
          <w:color w:val="000000"/>
          <w:sz w:val="21"/>
        </w:rPr>
        <w:t>。</w:t>
      </w:r>
    </w:p>
    <w:p>
      <w:pPr>
        <w:jc w:val="both"/>
      </w:pPr>
      <w:r>
        <w:rPr>
          <w:color w:val="000000"/>
          <w:sz w:val="21"/>
        </w:rPr>
        <w:t>10、</w:t>
      </w:r>
      <w:r>
        <w:rPr>
          <w:b/>
          <w:color w:val="000000"/>
          <w:sz w:val="21"/>
        </w:rPr>
        <w:t>本项目涉及跨年采购，各年度拟安排采购预算金额如下：</w:t>
      </w:r>
    </w:p>
    <w:p>
      <w:pPr>
        <w:jc w:val="both"/>
      </w:pPr>
      <w:r>
        <w:rPr>
          <w:b/>
          <w:color w:val="000000"/>
          <w:sz w:val="21"/>
        </w:rPr>
        <w:t>2023年12月1日-2024年11月30日拟安排采购预算金额预估为人民币240万元；</w:t>
      </w:r>
    </w:p>
    <w:p>
      <w:pPr>
        <w:jc w:val="both"/>
      </w:pPr>
      <w:r>
        <w:rPr>
          <w:b/>
          <w:color w:val="000000"/>
          <w:sz w:val="21"/>
        </w:rPr>
        <w:t>2024年12月1日-2025年11月30日拟安排采购预算金额预估为人民币240万元；</w:t>
      </w:r>
    </w:p>
    <w:p>
      <w:pPr>
        <w:jc w:val="both"/>
      </w:pPr>
      <w:r>
        <w:rPr>
          <w:b/>
          <w:color w:val="000000"/>
          <w:sz w:val="21"/>
        </w:rPr>
        <w:t>2025年12月1日-2026年5月30日拟安排采购预算金额预估为人民币120万元。</w:t>
      </w:r>
    </w:p>
    <w:p>
      <w:pPr>
        <w:jc w:val="both"/>
      </w:pPr>
      <w:r>
        <w:rPr>
          <w:b/>
          <w:color w:val="000000"/>
          <w:sz w:val="21"/>
        </w:rPr>
        <w:t>（四）</w:t>
      </w:r>
      <w:r>
        <w:rPr>
          <w:b/>
          <w:color w:val="000000"/>
          <w:sz w:val="21"/>
        </w:rPr>
        <w:t>投标报价说明：</w:t>
      </w:r>
    </w:p>
    <w:p>
      <w:pPr>
        <w:ind w:firstLine="420"/>
        <w:jc w:val="both"/>
      </w:pPr>
      <w:r>
        <w:rPr>
          <w:color w:val="000000"/>
          <w:sz w:val="21"/>
        </w:rPr>
        <w:t>1.投标报价包括：人员费用、服务质量保障费用及承接机构管理费用等。</w:t>
      </w:r>
      <w:r>
        <w:rPr>
          <w:color w:val="000000"/>
          <w:sz w:val="21"/>
        </w:rPr>
        <w:t>报价是固定唯一</w:t>
      </w:r>
      <w:r>
        <w:rPr>
          <w:color w:val="000000"/>
          <w:sz w:val="21"/>
        </w:rPr>
        <w:t>的</w:t>
      </w:r>
      <w:r>
        <w:rPr>
          <w:color w:val="000000"/>
          <w:sz w:val="21"/>
        </w:rPr>
        <w:t>。不允许有候选方案，不接受具有附加条件的报价。若关于本项目的购买经费标准有新规定的，按照有关规定执行。</w:t>
      </w:r>
    </w:p>
    <w:p>
      <w:pPr>
        <w:ind w:firstLine="420"/>
        <w:jc w:val="both"/>
      </w:pPr>
      <w:r>
        <w:rPr>
          <w:color w:val="000000"/>
          <w:sz w:val="21"/>
        </w:rPr>
        <w:t>2.本项目为固定总价项目，投标人按照采购预算金额在投标客户端进行报价，价格分按照投标人服务总工时计算得分。</w:t>
      </w:r>
    </w:p>
    <w:p>
      <w:pPr>
        <w:ind w:firstLine="420"/>
        <w:jc w:val="both"/>
      </w:pPr>
      <w:r>
        <w:rPr>
          <w:color w:val="000000"/>
          <w:sz w:val="21"/>
        </w:rPr>
        <w:t xml:space="preserve"> </w:t>
      </w:r>
      <w:r>
        <w:rPr>
          <w:color w:val="000000"/>
          <w:sz w:val="21"/>
        </w:rPr>
        <w:t>★3.因招标文件中的格式为自动生成格式，与实际报价需求不符。为保证投标报价清晰合理，各投标人的《分项报价表》以下面格式为准。</w:t>
      </w:r>
    </w:p>
    <w:tbl>
      <w:tblPr>
        <w:tblW w:w="0" w:type="auto"/>
        <w:tblBorders>
          <w:top w:val="none" w:color="000000" w:sz="4"/>
          <w:left w:val="none" w:color="000000" w:sz="4"/>
          <w:bottom w:val="none" w:color="000000" w:sz="4"/>
          <w:right w:val="none" w:color="000000" w:sz="4"/>
          <w:insideH w:val="none"/>
          <w:insideV w:val="none"/>
        </w:tblBorders>
      </w:tblPr>
      <w:tblGrid>
        <w:gridCol w:w="8306"/>
      </w:tblGrid>
      <w:tr>
        <w:tc>
          <w:tcPr>
            <w:tcW w:type="dxa" w:w="8306"/>
            <w:tcBorders>
              <w:top w:val="single" w:color="000000" w:sz="4"/>
              <w:left w:val="single" w:color="000000" w:sz="4"/>
              <w:bottom w:val="single" w:color="000000" w:sz="4"/>
              <w:right w:val="single" w:color="000000" w:sz="4"/>
            </w:tcBorders>
            <w:vAlign w:val="top"/>
          </w:tcPr>
          <w:p>
            <w:pPr>
              <w:jc w:val="center"/>
            </w:pPr>
            <w:r>
              <w:rPr>
                <w:color w:val="000000"/>
                <w:sz w:val="21"/>
              </w:rPr>
              <w:t>分项报价表</w:t>
            </w:r>
          </w:p>
        </w:tc>
      </w:tr>
      <w:tr>
        <w:tc>
          <w:tcPr>
            <w:tcW w:type="dxa" w:w="8306"/>
            <w:tcBorders>
              <w:top w:val="none" w:color="000000" w:sz="4"/>
              <w:left w:val="single" w:color="000000" w:sz="4"/>
              <w:bottom w:val="single" w:color="000000" w:sz="4"/>
              <w:right w:val="single" w:color="000000" w:sz="4"/>
            </w:tcBorders>
            <w:vAlign w:val="top"/>
          </w:tcPr>
          <w:p>
            <w:pPr>
              <w:jc w:val="both"/>
            </w:pPr>
            <w:r>
              <w:rPr>
                <w:color w:val="000000"/>
                <w:sz w:val="21"/>
              </w:rPr>
              <w:t>项目编号：</w:t>
            </w:r>
          </w:p>
          <w:p>
            <w:pPr>
              <w:jc w:val="both"/>
            </w:pPr>
            <w:r>
              <w:rPr>
                <w:color w:val="000000"/>
                <w:sz w:val="21"/>
              </w:rPr>
              <w:t>项目名称：</w:t>
            </w:r>
          </w:p>
          <w:p>
            <w:pPr>
              <w:jc w:val="both"/>
            </w:pPr>
            <w:r>
              <w:rPr>
                <w:color w:val="000000"/>
                <w:sz w:val="21"/>
              </w:rPr>
              <w:t>投标人名称：</w:t>
            </w:r>
          </w:p>
          <w:tbl>
            <w:tblPr>
              <w:tblBorders>
                <w:top w:val="none" w:color="000000" w:sz="4"/>
                <w:left w:val="none" w:color="000000" w:sz="4"/>
                <w:bottom w:val="none" w:color="000000" w:sz="4"/>
                <w:right w:val="none" w:color="000000" w:sz="4"/>
                <w:insideH w:val="none"/>
                <w:insideV w:val="none"/>
              </w:tblBorders>
            </w:tblPr>
            <w:tblGrid>
              <w:gridCol w:w="3924"/>
              <w:gridCol w:w="2718"/>
              <w:gridCol w:w="1445"/>
            </w:tblGrid>
            <w:tr>
              <w:tc>
                <w:tcPr>
                  <w:tcW w:type="dxa" w:w="3924"/>
                  <w:tcBorders>
                    <w:top w:val="single" w:color="000000" w:sz="4"/>
                    <w:left w:val="single" w:color="000000" w:sz="4"/>
                    <w:bottom w:val="single" w:color="000000" w:sz="4"/>
                    <w:right w:val="single" w:color="000000" w:sz="4"/>
                  </w:tcBorders>
                  <w:vAlign w:val="top"/>
                </w:tcPr>
                <w:p>
                  <w:pPr>
                    <w:jc w:val="center"/>
                  </w:pPr>
                  <w:r>
                    <w:rPr>
                      <w:color w:val="000000"/>
                      <w:sz w:val="21"/>
                    </w:rPr>
                    <w:t>项目名称</w:t>
                  </w:r>
                </w:p>
              </w:tc>
              <w:tc>
                <w:tcPr>
                  <w:tcW w:type="dxa" w:w="2718"/>
                  <w:tcBorders>
                    <w:top w:val="single" w:color="000000" w:sz="4"/>
                    <w:left w:val="none" w:color="000000" w:sz="4"/>
                    <w:bottom w:val="single" w:color="000000" w:sz="4"/>
                    <w:right w:val="single" w:color="000000" w:sz="4"/>
                  </w:tcBorders>
                  <w:vAlign w:val="top"/>
                </w:tcPr>
                <w:p>
                  <w:pPr>
                    <w:jc w:val="center"/>
                  </w:pPr>
                  <w:r>
                    <w:rPr>
                      <w:color w:val="000000"/>
                      <w:sz w:val="21"/>
                    </w:rPr>
                    <w:t>年度服务总工时（小时</w:t>
                  </w:r>
                  <w:r>
                    <w:rPr>
                      <w:color w:val="000000"/>
                      <w:sz w:val="21"/>
                    </w:rPr>
                    <w:t>/年）</w:t>
                  </w:r>
                </w:p>
              </w:tc>
              <w:tc>
                <w:tcPr>
                  <w:tcW w:type="dxa" w:w="1445"/>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3924"/>
                  <w:tcBorders>
                    <w:top w:val="none" w:color="000000" w:sz="4"/>
                    <w:left w:val="single" w:color="000000" w:sz="4"/>
                    <w:bottom w:val="single" w:color="000000" w:sz="4"/>
                    <w:right w:val="single" w:color="000000" w:sz="4"/>
                  </w:tcBorders>
                  <w:vAlign w:val="top"/>
                </w:tcPr>
                <w:p>
                  <w:pPr>
                    <w:jc w:val="center"/>
                  </w:pPr>
                  <w:r>
                    <w:rPr>
                      <w:color w:val="000000"/>
                      <w:sz w:val="21"/>
                    </w:rPr>
                    <w:t>广州市白云区人民政府同和街道办事处社工站购买服务项目</w:t>
                  </w:r>
                </w:p>
              </w:tc>
              <w:tc>
                <w:tcPr>
                  <w:tcW w:type="dxa" w:w="2718"/>
                  <w:tcBorders>
                    <w:top w:val="none" w:color="000000" w:sz="4"/>
                    <w:left w:val="none" w:color="000000" w:sz="4"/>
                    <w:bottom w:val="single" w:color="000000" w:sz="4"/>
                    <w:right w:val="single" w:color="000000" w:sz="4"/>
                  </w:tcBorders>
                  <w:vAlign w:val="top"/>
                </w:tcPr>
                <w:p>
                  <w:pPr>
                    <w:jc w:val="center"/>
                  </w:pPr>
                </w:p>
              </w:tc>
              <w:tc>
                <w:tcPr>
                  <w:tcW w:type="dxa" w:w="1445"/>
                  <w:tcBorders>
                    <w:top w:val="none" w:color="000000" w:sz="4"/>
                    <w:left w:val="none" w:color="000000" w:sz="4"/>
                    <w:bottom w:val="single" w:color="000000" w:sz="4"/>
                    <w:right w:val="single" w:color="000000" w:sz="4"/>
                  </w:tcBorders>
                  <w:vAlign w:val="top"/>
                </w:tcPr>
                <w:p>
                  <w:pPr>
                    <w:jc w:val="center"/>
                  </w:pPr>
                </w:p>
              </w:tc>
            </w:tr>
          </w:tbl>
          <w:p>
            <w:pPr>
              <w:jc w:val="both"/>
            </w:pPr>
            <w:r>
              <w:rPr>
                <w:color w:val="000000"/>
                <w:sz w:val="21"/>
              </w:rPr>
              <w:t>备注：</w:t>
            </w:r>
            <w:r>
              <w:rPr>
                <w:color w:val="000000"/>
                <w:sz w:val="21"/>
              </w:rPr>
              <w:t>1.服务总工时必须固定唯一且在采购文件规定的范围之内，否则视为无效响应。</w:t>
            </w:r>
            <w:r>
              <w:rPr>
                <w:color w:val="000000"/>
                <w:sz w:val="21"/>
              </w:rPr>
              <w:t>年度服务总工时最高不得超过项目年度直接专业服务总工时</w:t>
            </w:r>
            <w:r>
              <w:rPr>
                <w:color w:val="000000"/>
                <w:sz w:val="21"/>
              </w:rPr>
              <w:t>29560小时的110%，即32516小时，</w:t>
            </w:r>
            <w:r>
              <w:rPr>
                <w:color w:val="000000"/>
                <w:sz w:val="21"/>
              </w:rPr>
              <w:t>最低不得低于项目年度</w:t>
            </w:r>
            <w:r>
              <w:rPr>
                <w:color w:val="000000"/>
                <w:sz w:val="21"/>
              </w:rPr>
              <w:t>专业服务工时</w:t>
            </w:r>
            <w:r>
              <w:rPr>
                <w:color w:val="000000"/>
                <w:sz w:val="21"/>
              </w:rPr>
              <w:t>29560</w:t>
            </w:r>
            <w:r>
              <w:rPr>
                <w:color w:val="000000"/>
                <w:sz w:val="21"/>
              </w:rPr>
              <w:t>小时，否则视为无效投标。</w:t>
            </w:r>
          </w:p>
          <w:p>
            <w:pPr>
              <w:jc w:val="both"/>
            </w:pPr>
            <w:r>
              <w:rPr>
                <w:color w:val="000000"/>
                <w:sz w:val="21"/>
              </w:rPr>
              <w:t>2.</w:t>
            </w:r>
            <w:r>
              <w:rPr>
                <w:color w:val="000000"/>
                <w:sz w:val="21"/>
              </w:rPr>
              <w:t xml:space="preserve"> </w:t>
            </w:r>
            <w:r>
              <w:rPr>
                <w:color w:val="000000"/>
                <w:sz w:val="21"/>
              </w:rPr>
              <w:t>2025年12月1日至2026年5月31日的</w:t>
            </w:r>
            <w:r>
              <w:rPr>
                <w:color w:val="000000"/>
                <w:sz w:val="21"/>
              </w:rPr>
              <w:t>服务总工时</w:t>
            </w:r>
            <w:r>
              <w:rPr>
                <w:color w:val="000000"/>
                <w:sz w:val="21"/>
              </w:rPr>
              <w:t>=投标人所报年度服务总工时/2。</w:t>
            </w:r>
          </w:p>
          <w:p>
            <w:pPr>
              <w:jc w:val="both"/>
            </w:pPr>
          </w:p>
          <w:p>
            <w:pPr>
              <w:jc w:val="both"/>
            </w:pPr>
            <w:r>
              <w:rPr>
                <w:color w:val="000000"/>
                <w:sz w:val="21"/>
              </w:rPr>
              <w:t>投标人签章：</w:t>
            </w:r>
            <w:r>
              <w:rPr>
                <w:color w:val="000000"/>
                <w:sz w:val="21"/>
              </w:rPr>
              <w:t>__________________</w:t>
            </w:r>
          </w:p>
          <w:p>
            <w:pPr>
              <w:jc w:val="both"/>
            </w:pPr>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r>
    </w:tbl>
    <w:p>
      <w:pPr>
        <w:jc w:val="both"/>
      </w:pPr>
    </w:p>
    <w:p>
      <w:pPr>
        <w:jc w:val="both"/>
      </w:pPr>
      <w:r>
        <w:rPr>
          <w:b/>
          <w:color w:val="000000"/>
          <w:sz w:val="21"/>
        </w:rPr>
        <w:t>（五）</w:t>
      </w:r>
      <w:r>
        <w:rPr>
          <w:b/>
          <w:color w:val="000000"/>
          <w:sz w:val="21"/>
        </w:rPr>
        <w:t>其他说明：</w:t>
      </w:r>
    </w:p>
    <w:p>
      <w:pPr>
        <w:jc w:val="both"/>
      </w:pPr>
      <w:r>
        <w:rPr>
          <w:color w:val="000000"/>
          <w:sz w:val="21"/>
        </w:rPr>
        <w:t>1、</w:t>
      </w:r>
      <w:r>
        <w:rPr>
          <w:color w:val="000000"/>
          <w:sz w:val="21"/>
        </w:rPr>
        <w:t>本项目开标方式为远程开标。参与全流程云平台采购项目的供应商登录云平台通过</w:t>
      </w:r>
      <w:r>
        <w:rPr>
          <w:color w:val="000000"/>
          <w:sz w:val="21"/>
        </w:rPr>
        <w:t>“新供应商开标大厅”进行签到及投标文件的解密，签到需在开标时间前</w:t>
      </w:r>
      <w:r>
        <w:rPr>
          <w:color w:val="000000"/>
          <w:sz w:val="21"/>
        </w:rPr>
        <w:t>30</w:t>
      </w:r>
      <w:r>
        <w:rPr>
          <w:color w:val="000000"/>
          <w:sz w:val="21"/>
        </w:rPr>
        <w:t>分钟内完成，不需要委派代表前往开标现场。但为了保证开标程序顺利、高效地完成，投标人亦可委派代表携带</w:t>
      </w:r>
      <w:r>
        <w:rPr>
          <w:color w:val="000000"/>
          <w:sz w:val="21"/>
        </w:rPr>
        <w:t>CA-key</w:t>
      </w:r>
      <w:r>
        <w:rPr>
          <w:color w:val="000000"/>
          <w:sz w:val="21"/>
        </w:rPr>
        <w:t>、存储有非加密投标文件的</w:t>
      </w:r>
      <w:r>
        <w:rPr>
          <w:color w:val="000000"/>
          <w:sz w:val="21"/>
        </w:rPr>
        <w:t>U</w:t>
      </w:r>
      <w:r>
        <w:rPr>
          <w:color w:val="000000"/>
          <w:sz w:val="21"/>
        </w:rPr>
        <w:t>盘前往开标现场进行签到、解密。</w:t>
      </w:r>
    </w:p>
    <w:p>
      <w:pPr>
        <w:jc w:val="both"/>
      </w:pPr>
      <w:r>
        <w:rPr>
          <w:color w:val="000000"/>
          <w:sz w:val="21"/>
        </w:rPr>
        <w:t>2、</w:t>
      </w:r>
      <w:r>
        <w:rPr>
          <w:color w:val="000000"/>
          <w:sz w:val="21"/>
        </w:rPr>
        <w:t>供应商电脑需提前安装</w:t>
      </w:r>
      <w:r>
        <w:rPr>
          <w:color w:val="000000"/>
          <w:sz w:val="21"/>
        </w:rPr>
        <w:t>CA</w:t>
      </w:r>
      <w:r>
        <w:rPr>
          <w:color w:val="000000"/>
          <w:sz w:val="21"/>
        </w:rPr>
        <w:t>签章客户端，并运行</w:t>
      </w:r>
      <w:r>
        <w:rPr>
          <w:color w:val="000000"/>
          <w:sz w:val="21"/>
        </w:rPr>
        <w:t>CA</w:t>
      </w:r>
      <w:r>
        <w:rPr>
          <w:color w:val="000000"/>
          <w:sz w:val="21"/>
        </w:rPr>
        <w:t>证书。</w:t>
      </w:r>
    </w:p>
    <w:p>
      <w:pPr>
        <w:jc w:val="both"/>
      </w:pPr>
      <w:r>
        <w:rPr>
          <w:color w:val="000000"/>
          <w:sz w:val="21"/>
        </w:rPr>
        <w:t>3、</w:t>
      </w:r>
      <w:r>
        <w:rPr>
          <w:b/>
          <w:color w:val="000000"/>
          <w:sz w:val="21"/>
        </w:rPr>
        <w:t>请各投标人在编制投标文件时注意，涉及到签字或签章的地方，请按要求签字或签章后再上传系统。投标文件加密前请注意所有需要签字、签章、盖章的地方是否齐全无缺漏。请保管好</w:t>
      </w:r>
      <w:r>
        <w:rPr>
          <w:b/>
          <w:color w:val="000000"/>
          <w:sz w:val="21"/>
        </w:rPr>
        <w:t>CA</w:t>
      </w:r>
      <w:r>
        <w:rPr>
          <w:b/>
          <w:color w:val="000000"/>
          <w:sz w:val="21"/>
        </w:rPr>
        <w:t>证书的密码，如遗忘，请及时重置，以免影响投标文件的解密。</w:t>
      </w:r>
    </w:p>
    <w:p>
      <w:pPr>
        <w:jc w:val="both"/>
      </w:pPr>
      <w:r>
        <w:rPr>
          <w:b/>
          <w:color w:val="000000"/>
          <w:sz w:val="21"/>
        </w:rPr>
        <w:t>（六）</w:t>
      </w:r>
      <w:r>
        <w:rPr>
          <w:b/>
          <w:color w:val="000000"/>
          <w:sz w:val="21"/>
        </w:rPr>
        <w:t>需执行国家相关标准、行业标准、地方标准或者其他标准、规范</w:t>
      </w:r>
    </w:p>
    <w:p/>
    <w:p>
      <w:pPr>
        <w:ind w:firstLine="480"/>
      </w:pPr>
    </w:p>
    <w:p/>
    <w:p>
      <w:r>
        <w:rPr/>
        <w:t>采购包1（广州市白云区人民政府同和街道办事处社工站购买服务项目）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采购服务周期为2023年12月1日至2026年5月31日，周期内合同一年一签，年度末期评估合格的续签合同，不合格的不予续签。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1期：支付比例100%,（一）2023年12月1日至2025年11月30日项目经费（240万元/年）支付方式： 1.根据合同约定的方式分期拨付，依照广州市社工服务站管理有关规定执行。 2.第一期：采购人和中标供应商签订采购合同后，根据采购合同约定每年进行服务协议签订。在年度服务协议生效之日起30个工作日内向中标供应商拨付年度项目经费总额的55%，即人民币132万元；第二期：年度中期评估为合格以上的，自申请之日起30个工作日内拨付年度项目经费总额的40％，即人民币96万元；第三期：年度末期评估为合格以上的，自申请之日起30个工作日内拨付年度项目经费总额的5％，即人民币12万元。若中期评估或末期评估认为可以整改合格的，中标供应商应根据中期或末期评估意见进行整改，整改后，评估结果为合格的，自申请之日起30个工作日内拨付剩余项目经费；若中期评估或末期评估结果为不合格的，对应的项目中期经费或项目末期经费不予支付并终止合同。 （二）2025年12月1日至2026年5月31日项目经费（120万元）支付方式： 1.根据合同约定的方式分期拨付，依照广州市社工服务站管理有关规定执行。 2.第一期：采购人和中标供应商签订采购合同后，根据采购合同约定每年进行服务协议签订。在年度服务协议生效之日起30个工作日内向中标供应商拨付年度项目经费总额的55%，即人民币66万元；第二期：年度中期评估为合格以上的，自申请之日起30个工作日内拨付年度项目经费总额的45％，即人民币54万元。若中期评估认为可以整改合格的，中标供应商应根据中期评估意见进行整改，整改后，评估结果为合格的，自申请之日起30个工作日内拨付剩余项目经费；若中期评估结果为不合格的，项目中期经费不予支付。 （三）拨付流程： 1.第一期项目经费拨付：自协议签订生效之日起3个工作日内，中标供应商提供拨款申请材料（包括但不限于本协议复印件、经采购人确认的项目服务计划、等额发票以及拨款申请表等）给采购人审核通过后，由采购人负责提交白云区财政局申请经费拨付。 2.第二（三）期项目经费拨付：年度中期（末期）评估后，中标供应商提供拨款申请材料（包括但不限于本协议复印件、中期（末期）评估报告复印件（盖机构公章）、等额发票以及拨款申请表等）给采购人审核通过后，由采购人负责提交白云区财政局申请经费拨付。 3.每期经费拨付在30个工作日内完成，并及时将有关情况报给白云区民政局。</w:t>
            </w:r>
          </w:p>
        </w:tc>
      </w:tr>
      <w:tr>
        <w:tc>
          <w:tcPr>
            <w:tcW w:type="dxa" w:w="4153"/>
          </w:tcPr>
          <w:p>
            <w:r>
              <w:rPr/>
              <w:t>验收要求</w:t>
            </w:r>
          </w:p>
        </w:tc>
        <w:tc>
          <w:tcPr>
            <w:tcW w:type="dxa" w:w="4153"/>
          </w:tcPr>
          <w:p/>
          <w:p/>
          <w:p/>
          <w:p>
            <w:r>
              <w:rPr/>
              <w:t>1期：1.由白云区民政局根据广州市相关文件和要求，委托第三方对服务项目开展监督、检查、评估工作。评估包括中期评估、末期评估。评估由第三方评估机构、督导中心、采购人、白云区民政局四方共同实施。 2.评估分为专业服务评估和财务评估，专业服务评估是指对项目管理、服务开展过程、服务质量等进行评估，财务评估是指对项目经费使用及管理情况进行评估。专业服务评估及财务评估结果“合格”及以上等级的，方可按照合同予以拨款。评估结果为“不合格”的，项目剩余经费不予拨付并终止协议。</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项目经费要求，1.中标供应商应严格按照《广州市社工服务站管理办法》规定规范使用项目经费，人员费用应当不低于项目经费总额的80%，服务质量保障费用及管理费应当不高于项目经费总额的20%，其中，管理费用应当不高于项目经费总额的10%。采购人及白云区民政局或其他有关主管部门有权委托第三方对中标供应商使用经费情况进行财务审计、财务评估等。 2.购买社工服务项目人员配备不足的，按照规定或合同约定相应扣减或追回项目经费。</w:t>
            </w:r>
          </w:p>
          <w:p/>
          <w:p>
            <w:r>
              <w:rPr/>
              <w:t>（二）其他要求，1.中标供应商有以下行为之一，经调查核实的，采购人有权上报监管单位，依法单方面终止合同并追究其全部责任： （1）侵害服务对象合法权益（包括泄露服务对象信息）的，或者服务态度存在问题，影响特别恶劣或1个月内被有效投诉5次以上的； （2）弄虚作假、非法挪用、挤占、滥用、侵吞项目经费的，或者不配合服务评估、财务评估以及督导的； （3）存在违约且经采购人催告拒不改正或三次以上改正后仍不符合要求，或出现重大责任事故的； （4）将协议项目转包或分包给第三方的； （5）未如实披露单位违法违规行为（包括单位负责人、管理人员行为），取得协议项目服务资格的； （6）考核评估（包含服务评估或财务评估）等级为不合格的； （7）被列入社会组织活动异常名单（符合行政处罚情形的）、严重违法失信名单或者被有关部门给予行政处罚的； （8）未按规定与其工作人员签订劳动协议、购买社保及支付劳动报酬的； （9）被吊销或注销资质证照等丧失主体资格的； （10）存在违反相关法律法规及本协议规定其他情形的。 2.购买社工服务项目应当建立完善的服务档案保管制度，中标供应商应当在退出社工服务项目之日起的30个工作日内及时向采购人提交服务档案（含个案、小组、社区服务、家访电访、服务对象建档、志愿者建档、服务需求调研等与服务相关的档案资料），并列明资料清单和签订协议书，转交下一任机构使用。 3.购买社工服务项目应当建立完善的财务管理制度，会计档案应当由中标供应商长期保留。</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社会工作服务</w:t>
            </w:r>
          </w:p>
        </w:tc>
        <w:tc>
          <w:tcPr>
            <w:tcW w:type="dxa" w:w="933"/>
          </w:tcPr>
          <w:p>
            <w:pPr>
              <w:jc w:val="left"/>
            </w:pPr>
            <w:r>
              <w:rPr/>
              <w:t>广州市白云区人民政府同和街道办事处社工站购买服务</w:t>
            </w:r>
          </w:p>
        </w:tc>
        <w:tc>
          <w:tcPr>
            <w:tcW w:type="dxa" w:w="933"/>
          </w:tcPr>
          <w:p>
            <w:pPr>
              <w:jc w:val="left"/>
            </w:pPr>
            <w:r>
              <w:rPr/>
              <w:t>年</w:t>
            </w:r>
          </w:p>
        </w:tc>
        <w:tc>
          <w:tcPr>
            <w:tcW w:type="dxa" w:w="933"/>
          </w:tcPr>
          <w:p>
            <w:pPr>
              <w:jc w:val="right"/>
            </w:pPr>
            <w:r>
              <w:rPr/>
              <w:t>2.50</w:t>
            </w:r>
          </w:p>
        </w:tc>
        <w:tc>
          <w:tcPr>
            <w:tcW w:type="dxa" w:w="933"/>
          </w:tcPr>
          <w:p>
            <w:pPr>
              <w:jc w:val="right"/>
            </w:pPr>
            <w:r>
              <w:rPr/>
              <w:t>2,400,000.00</w:t>
            </w:r>
          </w:p>
        </w:tc>
        <w:tc>
          <w:tcPr>
            <w:tcW w:type="dxa" w:w="933"/>
          </w:tcPr>
          <w:p>
            <w:pPr>
              <w:jc w:val="right"/>
            </w:pPr>
            <w:r>
              <w:rPr/>
              <w:t>6,000,000.00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广州市白云区人民政府同和街道办事处社工站购买服务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一、项目概述</w:t>
            </w:r>
          </w:p>
          <w:p>
            <w:pPr>
              <w:jc w:val="both"/>
            </w:pPr>
            <w:r>
              <w:rPr>
                <w:b/>
                <w:sz w:val="21"/>
              </w:rPr>
              <w:t>（</w:t>
            </w:r>
            <w:r>
              <w:rPr>
                <w:b/>
                <w:sz w:val="21"/>
              </w:rPr>
              <w:t>一</w:t>
            </w:r>
            <w:r>
              <w:rPr>
                <w:b/>
                <w:sz w:val="21"/>
              </w:rPr>
              <w:t>）项目简介</w:t>
            </w:r>
          </w:p>
          <w:p>
            <w:pPr>
              <w:ind w:firstLine="420"/>
              <w:jc w:val="both"/>
            </w:pPr>
            <w:r>
              <w:rPr>
                <w:sz w:val="21"/>
              </w:rPr>
              <w:t>为全面实行党中央、国务院关于发展社会工作的系列指示精神以及民政部关于加快乡镇（街道）社工站建设、省关于</w:t>
            </w:r>
            <w:r>
              <w:rPr>
                <w:sz w:val="21"/>
              </w:rPr>
              <w:t>“广东兜底民生服务社会工作双百工程”（以下简称“双百工程”）部署要求，确保镇（街）社工站100%覆盖</w:t>
            </w:r>
            <w:r>
              <w:rPr>
                <w:sz w:val="21"/>
              </w:rPr>
              <w:t>、困难群众和特殊群体社会工作服务</w:t>
            </w:r>
            <w:r>
              <w:rPr>
                <w:sz w:val="21"/>
              </w:rPr>
              <w:t>100%覆盖</w:t>
            </w:r>
            <w:r>
              <w:rPr>
                <w:sz w:val="21"/>
              </w:rPr>
              <w:t>。</w:t>
            </w:r>
            <w:r>
              <w:rPr>
                <w:sz w:val="21"/>
              </w:rPr>
              <w:t>采购人</w:t>
            </w:r>
            <w:r>
              <w:rPr>
                <w:sz w:val="21"/>
              </w:rPr>
              <w:t>严格按照《广州市人民政府办公厅关于印发广州市社工服务站管理办法的通知》（穗府办〔</w:t>
            </w:r>
            <w:r>
              <w:rPr>
                <w:sz w:val="21"/>
              </w:rPr>
              <w:t>2023〕7号）</w:t>
            </w:r>
            <w:r>
              <w:rPr>
                <w:sz w:val="21"/>
              </w:rPr>
              <w:t>（以下简称《办法》》）等有关</w:t>
            </w:r>
            <w:r>
              <w:rPr>
                <w:sz w:val="21"/>
              </w:rPr>
              <w:t>文件要求执行，采用政府购买服务的运作模式，通过公开招标</w:t>
            </w:r>
            <w:r>
              <w:rPr>
                <w:sz w:val="21"/>
              </w:rPr>
              <w:t>方式</w:t>
            </w:r>
            <w:r>
              <w:rPr>
                <w:sz w:val="21"/>
              </w:rPr>
              <w:t>向社会工作服务机构进行招标采购，对社工站专业社工服务力量予以补充，综合运用社会工作服务专业知识、方法和技能，为困难群众和特殊群体等提供兜底民生服务以及参与社区治理服务的平台。投标人必须对本项目整体内容进行投标，只对本项目部分内容进行投标的将被视为无效投标。项目</w:t>
            </w:r>
            <w:r>
              <w:rPr>
                <w:sz w:val="21"/>
              </w:rPr>
              <w:t>服务</w:t>
            </w:r>
            <w:r>
              <w:rPr>
                <w:sz w:val="21"/>
              </w:rPr>
              <w:t>周期为</w:t>
            </w:r>
            <w:r>
              <w:rPr>
                <w:sz w:val="21"/>
                <w:u w:val="single"/>
              </w:rPr>
              <w:t>2023年12月1日至2026年5月31日</w:t>
            </w:r>
            <w:r>
              <w:rPr>
                <w:sz w:val="21"/>
              </w:rPr>
              <w:t>，采购</w:t>
            </w:r>
            <w:r>
              <w:rPr>
                <w:sz w:val="21"/>
              </w:rPr>
              <w:t>预算</w:t>
            </w:r>
            <w:r>
              <w:rPr>
                <w:sz w:val="21"/>
              </w:rPr>
              <w:t>金额共为</w:t>
            </w:r>
            <w:r>
              <w:rPr>
                <w:sz w:val="21"/>
              </w:rPr>
              <w:t>600</w:t>
            </w:r>
            <w:r>
              <w:rPr>
                <w:sz w:val="21"/>
              </w:rPr>
              <w:t>万元。项目接受</w:t>
            </w:r>
            <w:r>
              <w:rPr>
                <w:sz w:val="21"/>
              </w:rPr>
              <w:t>广州</w:t>
            </w:r>
            <w:r>
              <w:rPr>
                <w:sz w:val="21"/>
              </w:rPr>
              <w:t>市、</w:t>
            </w:r>
            <w:r>
              <w:rPr>
                <w:sz w:val="21"/>
              </w:rPr>
              <w:t>白云</w:t>
            </w:r>
            <w:r>
              <w:rPr>
                <w:sz w:val="21"/>
              </w:rPr>
              <w:t>区民政部门的监督指导。如有最新政策文件出台，按最新政策文件执行。</w:t>
            </w:r>
          </w:p>
          <w:p>
            <w:pPr>
              <w:jc w:val="both"/>
            </w:pPr>
            <w:r>
              <w:rPr>
                <w:b/>
                <w:sz w:val="21"/>
              </w:rPr>
              <w:t>（二）同和街道基本情况</w:t>
            </w:r>
          </w:p>
          <w:p>
            <w:pPr>
              <w:ind w:firstLine="420"/>
              <w:jc w:val="both"/>
            </w:pPr>
            <w:r>
              <w:rPr>
                <w:sz w:val="21"/>
              </w:rPr>
              <w:t>广州市白云区同和街道成立于</w:t>
            </w:r>
            <w:r>
              <w:rPr>
                <w:sz w:val="21"/>
              </w:rPr>
              <w:t>2001年7月。位于广州市白云区东南部，属白云区。东与京溪街为邻，南邻天河区沙东街道，西与风景秀丽的白云山相连，北接大源街，涵盖石桥头、白山、南湖、白水塘等18个社区。面积27.36平方千米（含白云山风景区12平方千米），总人口151638人，常住人口38467人，流动人口113171人。60岁及以上老人约5277人，残疾人约269人.有下辖18个社区居委会。街道办事处驻白云区广州大道北2077号。辖区内共有出租屋3170栋，47630套。区域地形以丘陵为主。属亚热带季风气候，雨水充足。辖区经济发展以第二和第三产业为主，特色产业为制药，驻有广州白云山制药总厂、广州白云山制药股份有限公司及和记黄埔中药有限公司、穗保安全押运公司等大型企业。进驻有广东机电职业技术学院、广东省国防科技技师学院等单位。辖内现有四上企业166家，部队单位6个，商住小区20余个。旅游资源丰富，区内主要有蟹山、握山、白山等历史悠久的居住地，有其明何公祠、赖氏祠堂、上荣黄公祠和古应芬墓等人物纪念地，著名的南湖风景区和白云山风景区坐落在辖区内。有省文艺职业学院等大中专院校6所，公立中小学校4个，医院8间，社区卫生服务站2间。交通便利，有广州大道北、同泰路、同大路等主干道贯穿街道，公交网络发达，区域内共有10多条公交车路线。</w:t>
            </w:r>
          </w:p>
          <w:p>
            <w:pPr>
              <w:ind w:firstLine="420"/>
              <w:jc w:val="both"/>
            </w:pPr>
            <w:r>
              <w:rPr>
                <w:sz w:val="21"/>
              </w:rPr>
              <w:t>近年来，同和街围绕建设</w:t>
            </w:r>
            <w:r>
              <w:rPr>
                <w:sz w:val="21"/>
              </w:rPr>
              <w:t>“平安同和、同心同和、友好同和”的服务目标，联动各职能部门、社区居委会、社工、社区志愿者、社团组织、社区慈善资源等共同发力，培育防疫志愿服务队、平安大使志愿服务队、好邻里志愿服务队等特色志愿服务队伍，开展安全教育、邻里互助意识培育等方面的服务，“五社联动”助推同和社区治理的模式逐步形成，服务成效和服务品牌被社区居民认可和点赞。</w:t>
            </w:r>
          </w:p>
          <w:p>
            <w:pPr>
              <w:jc w:val="both"/>
            </w:pPr>
            <w:r>
              <w:rPr>
                <w:b/>
                <w:sz w:val="21"/>
              </w:rPr>
              <w:t>二</w:t>
            </w:r>
            <w:r>
              <w:rPr>
                <w:b/>
                <w:sz w:val="21"/>
              </w:rPr>
              <w:t>、项目内容概览</w:t>
            </w:r>
          </w:p>
          <w:tbl>
            <w:tblPr>
              <w:tblBorders>
                <w:top w:val="none" w:color="000000" w:sz="4"/>
                <w:left w:val="none" w:color="000000" w:sz="4"/>
                <w:bottom w:val="none" w:color="000000" w:sz="4"/>
                <w:right w:val="none" w:color="000000" w:sz="4"/>
                <w:insideH w:val="none"/>
                <w:insideV w:val="none"/>
              </w:tblBorders>
            </w:tblPr>
            <w:tblGrid>
              <w:gridCol w:w="1002"/>
              <w:gridCol w:w="1084"/>
              <w:gridCol w:w="1176"/>
              <w:gridCol w:w="1176"/>
              <w:gridCol w:w="1158"/>
            </w:tblGrid>
            <w:tr>
              <w:tc>
                <w:tcPr>
                  <w:tcW w:type="dxa" w:w="1002"/>
                  <w:tcBorders>
                    <w:top w:val="single" w:color="000000" w:sz="4"/>
                    <w:left w:val="single" w:color="000000" w:sz="4"/>
                    <w:bottom w:val="single" w:color="000000" w:sz="4"/>
                    <w:right w:val="single" w:color="000000" w:sz="4"/>
                  </w:tcBorders>
                  <w:vAlign w:val="top"/>
                </w:tcPr>
                <w:p>
                  <w:pPr>
                    <w:jc w:val="center"/>
                  </w:pPr>
                  <w:r>
                    <w:rPr>
                      <w:sz w:val="21"/>
                    </w:rPr>
                    <w:t>服务内容</w:t>
                  </w:r>
                </w:p>
              </w:tc>
              <w:tc>
                <w:tcPr>
                  <w:tcW w:type="dxa" w:w="1084"/>
                  <w:tcBorders>
                    <w:top w:val="single" w:color="000000" w:sz="4"/>
                    <w:left w:val="none" w:color="000000" w:sz="4"/>
                    <w:bottom w:val="single" w:color="000000" w:sz="4"/>
                    <w:right w:val="single" w:color="000000" w:sz="4"/>
                  </w:tcBorders>
                  <w:vAlign w:val="top"/>
                </w:tcPr>
                <w:p>
                  <w:pPr>
                    <w:jc w:val="center"/>
                  </w:pPr>
                  <w:r>
                    <w:rPr>
                      <w:sz w:val="21"/>
                    </w:rPr>
                    <w:t>服务时间</w:t>
                  </w:r>
                </w:p>
              </w:tc>
              <w:tc>
                <w:tcPr>
                  <w:tcW w:type="dxa" w:w="1176"/>
                  <w:tcBorders>
                    <w:top w:val="single" w:color="000000" w:sz="4"/>
                    <w:left w:val="none" w:color="000000" w:sz="4"/>
                    <w:bottom w:val="single" w:color="000000" w:sz="4"/>
                    <w:right w:val="single" w:color="000000" w:sz="4"/>
                  </w:tcBorders>
                  <w:vAlign w:val="top"/>
                </w:tcPr>
                <w:p>
                  <w:pPr>
                    <w:jc w:val="center"/>
                  </w:pPr>
                  <w:r>
                    <w:rPr>
                      <w:sz w:val="21"/>
                    </w:rPr>
                    <w:t>采购预算</w:t>
                  </w:r>
                </w:p>
              </w:tc>
              <w:tc>
                <w:tcPr>
                  <w:tcW w:type="dxa" w:w="1176"/>
                  <w:tcBorders>
                    <w:top w:val="single" w:color="000000" w:sz="4"/>
                    <w:left w:val="none" w:color="000000" w:sz="4"/>
                    <w:bottom w:val="single" w:color="000000" w:sz="4"/>
                    <w:right w:val="single" w:color="000000" w:sz="4"/>
                  </w:tcBorders>
                  <w:vAlign w:val="top"/>
                </w:tcPr>
                <w:p>
                  <w:pPr>
                    <w:jc w:val="center"/>
                  </w:pPr>
                  <w:r>
                    <w:rPr>
                      <w:sz w:val="21"/>
                    </w:rPr>
                    <w:t>最低服务</w:t>
                  </w:r>
                </w:p>
                <w:p>
                  <w:pPr>
                    <w:jc w:val="center"/>
                  </w:pPr>
                  <w:r>
                    <w:rPr>
                      <w:sz w:val="21"/>
                    </w:rPr>
                    <w:t>工时量</w:t>
                  </w:r>
                </w:p>
              </w:tc>
              <w:tc>
                <w:tcPr>
                  <w:tcW w:type="dxa" w:w="1158"/>
                  <w:tcBorders>
                    <w:top w:val="single" w:color="000000" w:sz="4"/>
                    <w:left w:val="none" w:color="000000" w:sz="4"/>
                    <w:bottom w:val="single" w:color="000000" w:sz="4"/>
                    <w:right w:val="single" w:color="000000" w:sz="4"/>
                  </w:tcBorders>
                  <w:vAlign w:val="top"/>
                </w:tcPr>
                <w:p>
                  <w:pPr>
                    <w:jc w:val="center"/>
                  </w:pPr>
                  <w:r>
                    <w:rPr>
                      <w:sz w:val="21"/>
                    </w:rPr>
                    <w:t>最高服务</w:t>
                  </w:r>
                </w:p>
                <w:p>
                  <w:pPr>
                    <w:jc w:val="center"/>
                  </w:pPr>
                  <w:r>
                    <w:rPr>
                      <w:sz w:val="21"/>
                    </w:rPr>
                    <w:t>工时量</w:t>
                  </w:r>
                </w:p>
              </w:tc>
            </w:tr>
            <w:tr>
              <w:tc>
                <w:tcPr>
                  <w:tcW w:type="dxa" w:w="1002"/>
                  <w:tcBorders>
                    <w:top w:val="none" w:color="000000" w:sz="4"/>
                    <w:left w:val="single" w:color="000000" w:sz="4"/>
                    <w:bottom w:val="single" w:color="000000" w:sz="4"/>
                    <w:right w:val="single" w:color="000000" w:sz="4"/>
                  </w:tcBorders>
                  <w:vAlign w:val="top"/>
                </w:tcPr>
                <w:p>
                  <w:pPr>
                    <w:jc w:val="both"/>
                  </w:pPr>
                  <w:r>
                    <w:rPr>
                      <w:sz w:val="21"/>
                    </w:rPr>
                    <w:t>广州市白云区人民政府同和街道办事处社工站购买服务</w:t>
                  </w:r>
                </w:p>
              </w:tc>
              <w:tc>
                <w:tcPr>
                  <w:tcW w:type="dxa" w:w="1084"/>
                  <w:tcBorders>
                    <w:top w:val="none" w:color="000000" w:sz="4"/>
                    <w:left w:val="none" w:color="000000" w:sz="4"/>
                    <w:bottom w:val="single" w:color="000000" w:sz="4"/>
                    <w:right w:val="single" w:color="000000" w:sz="4"/>
                  </w:tcBorders>
                  <w:vAlign w:val="top"/>
                </w:tcPr>
                <w:p>
                  <w:pPr>
                    <w:jc w:val="both"/>
                  </w:pPr>
                  <w:r>
                    <w:rPr>
                      <w:sz w:val="21"/>
                      <w:u w:val="single"/>
                    </w:rPr>
                    <w:t>采购服务周期为</w:t>
                  </w:r>
                  <w:r>
                    <w:rPr>
                      <w:sz w:val="21"/>
                      <w:u w:val="single"/>
                    </w:rPr>
                    <w:t>2023年12月1日至2026年5月31日，周期内合同一年一签，年度末期评估合格的续签合同，不合格的不予续签。</w:t>
                  </w:r>
                </w:p>
              </w:tc>
              <w:tc>
                <w:tcPr>
                  <w:tcW w:type="dxa" w:w="1176"/>
                  <w:tcBorders>
                    <w:top w:val="none" w:color="000000" w:sz="4"/>
                    <w:left w:val="none" w:color="000000" w:sz="4"/>
                    <w:bottom w:val="single" w:color="000000" w:sz="4"/>
                    <w:right w:val="single" w:color="000000" w:sz="4"/>
                  </w:tcBorders>
                  <w:vAlign w:val="top"/>
                </w:tcPr>
                <w:p>
                  <w:pPr>
                    <w:jc w:val="center"/>
                  </w:pPr>
                  <w:r>
                    <w:rPr>
                      <w:sz w:val="21"/>
                    </w:rPr>
                    <w:t>人民币</w:t>
                  </w:r>
                  <w:r>
                    <w:rPr>
                      <w:sz w:val="21"/>
                    </w:rPr>
                    <w:t>240万元/年。</w:t>
                  </w:r>
                </w:p>
                <w:p>
                  <w:pPr>
                    <w:jc w:val="center"/>
                  </w:pPr>
                  <w:r>
                    <w:rPr>
                      <w:sz w:val="21"/>
                    </w:rPr>
                    <w:t>人民币</w:t>
                  </w:r>
                  <w:r>
                    <w:rPr>
                      <w:sz w:val="21"/>
                    </w:rPr>
                    <w:t>600万元/2.5年。</w:t>
                  </w:r>
                </w:p>
              </w:tc>
              <w:tc>
                <w:tcPr>
                  <w:tcW w:type="dxa" w:w="1176"/>
                  <w:tcBorders>
                    <w:top w:val="none" w:color="000000" w:sz="4"/>
                    <w:left w:val="none" w:color="000000" w:sz="4"/>
                    <w:bottom w:val="single" w:color="000000" w:sz="4"/>
                    <w:right w:val="single" w:color="000000" w:sz="4"/>
                  </w:tcBorders>
                  <w:vAlign w:val="top"/>
                </w:tcPr>
                <w:p>
                  <w:pPr>
                    <w:jc w:val="both"/>
                  </w:pPr>
                  <w:r>
                    <w:rPr>
                      <w:sz w:val="21"/>
                    </w:rPr>
                    <w:t>1</w:t>
                  </w:r>
                  <w:r>
                    <w:rPr>
                      <w:sz w:val="21"/>
                    </w:rPr>
                    <w:t>年</w:t>
                  </w:r>
                  <w:r>
                    <w:rPr>
                      <w:sz w:val="21"/>
                    </w:rPr>
                    <w:t>总</w:t>
                  </w:r>
                  <w:r>
                    <w:rPr>
                      <w:sz w:val="21"/>
                    </w:rPr>
                    <w:t>工时</w:t>
                  </w:r>
                  <w:r>
                    <w:rPr>
                      <w:sz w:val="21"/>
                    </w:rPr>
                    <w:t>：</w:t>
                  </w:r>
                  <w:r>
                    <w:rPr>
                      <w:sz w:val="21"/>
                    </w:rPr>
                    <w:t>29560</w:t>
                  </w:r>
                  <w:r>
                    <w:rPr>
                      <w:sz w:val="21"/>
                    </w:rPr>
                    <w:t>小时；</w:t>
                  </w:r>
                </w:p>
                <w:p>
                  <w:pPr>
                    <w:jc w:val="both"/>
                  </w:pPr>
                  <w:r>
                    <w:rPr>
                      <w:sz w:val="21"/>
                    </w:rPr>
                    <w:t>2.5</w:t>
                  </w:r>
                  <w:r>
                    <w:rPr>
                      <w:sz w:val="21"/>
                    </w:rPr>
                    <w:t>年总工时：</w:t>
                  </w:r>
                  <w:r>
                    <w:rPr>
                      <w:sz w:val="21"/>
                    </w:rPr>
                    <w:t>73900</w:t>
                  </w:r>
                  <w:r>
                    <w:rPr>
                      <w:sz w:val="21"/>
                    </w:rPr>
                    <w:t>小时</w:t>
                  </w:r>
                </w:p>
              </w:tc>
              <w:tc>
                <w:tcPr>
                  <w:tcW w:type="dxa" w:w="1158"/>
                  <w:tcBorders>
                    <w:top w:val="none" w:color="000000" w:sz="4"/>
                    <w:left w:val="none" w:color="000000" w:sz="4"/>
                    <w:bottom w:val="single" w:color="000000" w:sz="4"/>
                    <w:right w:val="single" w:color="000000" w:sz="4"/>
                  </w:tcBorders>
                  <w:vAlign w:val="top"/>
                </w:tcPr>
                <w:p>
                  <w:pPr>
                    <w:jc w:val="both"/>
                  </w:pPr>
                  <w:r>
                    <w:rPr>
                      <w:sz w:val="21"/>
                    </w:rPr>
                    <w:t>1</w:t>
                  </w:r>
                  <w:r>
                    <w:rPr>
                      <w:sz w:val="21"/>
                    </w:rPr>
                    <w:t>年</w:t>
                  </w:r>
                  <w:r>
                    <w:rPr>
                      <w:sz w:val="21"/>
                    </w:rPr>
                    <w:t>总</w:t>
                  </w:r>
                  <w:r>
                    <w:rPr>
                      <w:sz w:val="21"/>
                    </w:rPr>
                    <w:t>工时</w:t>
                  </w:r>
                  <w:r>
                    <w:rPr>
                      <w:sz w:val="21"/>
                    </w:rPr>
                    <w:t>：</w:t>
                  </w:r>
                  <w:r>
                    <w:rPr>
                      <w:sz w:val="21"/>
                    </w:rPr>
                    <w:t>32516</w:t>
                  </w:r>
                  <w:r>
                    <w:rPr>
                      <w:sz w:val="21"/>
                    </w:rPr>
                    <w:t>小时；</w:t>
                  </w:r>
                </w:p>
                <w:p>
                  <w:pPr>
                    <w:jc w:val="both"/>
                  </w:pPr>
                  <w:r>
                    <w:rPr>
                      <w:sz w:val="21"/>
                    </w:rPr>
                    <w:t>2.5</w:t>
                  </w:r>
                  <w:r>
                    <w:rPr>
                      <w:sz w:val="21"/>
                    </w:rPr>
                    <w:t>年总工时：</w:t>
                  </w:r>
                  <w:r>
                    <w:rPr>
                      <w:sz w:val="21"/>
                    </w:rPr>
                    <w:t>81290</w:t>
                  </w:r>
                  <w:r>
                    <w:rPr>
                      <w:sz w:val="21"/>
                    </w:rPr>
                    <w:t>小时</w:t>
                  </w:r>
                </w:p>
              </w:tc>
            </w:tr>
          </w:tbl>
          <w:p>
            <w:pPr>
              <w:jc w:val="both"/>
            </w:pPr>
            <w:r>
              <w:rPr>
                <w:sz w:val="21"/>
              </w:rPr>
              <w:t>说明：</w:t>
            </w:r>
          </w:p>
          <w:p>
            <w:pPr>
              <w:jc w:val="both"/>
            </w:pPr>
            <w:r>
              <w:rPr>
                <w:sz w:val="21"/>
              </w:rPr>
              <w:t>1.</w:t>
            </w:r>
            <w:r>
              <w:rPr>
                <w:sz w:val="21"/>
              </w:rPr>
              <w:t xml:space="preserve"> </w:t>
            </w:r>
            <w:r>
              <w:rPr>
                <w:sz w:val="21"/>
              </w:rPr>
              <w:t>广州市白云区人民政府同和街道办事处社工站购买服务</w:t>
            </w:r>
            <w:r>
              <w:rPr>
                <w:sz w:val="21"/>
              </w:rPr>
              <w:t>项目每年定额投入</w:t>
            </w:r>
            <w:r>
              <w:rPr>
                <w:sz w:val="21"/>
              </w:rPr>
              <w:t>240</w:t>
            </w:r>
            <w:r>
              <w:rPr>
                <w:sz w:val="21"/>
              </w:rPr>
              <w:t>万元，要求项目团队配备</w:t>
            </w:r>
            <w:r>
              <w:rPr>
                <w:sz w:val="21"/>
              </w:rPr>
              <w:t>20</w:t>
            </w:r>
            <w:r>
              <w:rPr>
                <w:sz w:val="21"/>
              </w:rPr>
              <w:t>名全职社工。按照《广州市社工站购买服务项目招标文件服务价格（工时）标准设定指引》，</w:t>
            </w:r>
            <w:r>
              <w:rPr>
                <w:sz w:val="21"/>
              </w:rPr>
              <w:t>年度服务总工时最高不得超过项目年度直接专业服务总工时</w:t>
            </w:r>
            <w:r>
              <w:rPr>
                <w:sz w:val="21"/>
              </w:rPr>
              <w:t>29560小时的110%，即32516小时，</w:t>
            </w:r>
            <w:r>
              <w:rPr>
                <w:sz w:val="21"/>
              </w:rPr>
              <w:t>最低不得低于项目年度</w:t>
            </w:r>
            <w:r>
              <w:rPr>
                <w:sz w:val="21"/>
              </w:rPr>
              <w:t>专业服务工时</w:t>
            </w:r>
            <w:r>
              <w:rPr>
                <w:sz w:val="21"/>
              </w:rPr>
              <w:t>29560</w:t>
            </w:r>
            <w:r>
              <w:rPr>
                <w:sz w:val="21"/>
              </w:rPr>
              <w:t>小时</w:t>
            </w:r>
            <w:r>
              <w:rPr>
                <w:sz w:val="21"/>
              </w:rPr>
              <w:t>，</w:t>
            </w:r>
            <w:r>
              <w:rPr>
                <w:sz w:val="21"/>
              </w:rPr>
              <w:t>否则视为无效投标。</w:t>
            </w:r>
          </w:p>
          <w:p>
            <w:pPr>
              <w:jc w:val="both"/>
            </w:pPr>
            <w:r>
              <w:rPr>
                <w:sz w:val="21"/>
              </w:rPr>
              <w:t>2.关于项目的服务时间和购买服务经费标准，另有新的文件规定的，按照有关规定执行。</w:t>
            </w:r>
          </w:p>
          <w:p>
            <w:pPr>
              <w:jc w:val="both"/>
            </w:pPr>
            <w:r>
              <w:rPr>
                <w:sz w:val="21"/>
              </w:rPr>
              <w:t>三</w:t>
            </w:r>
            <w:r>
              <w:rPr>
                <w:sz w:val="21"/>
              </w:rPr>
              <w:t>、项目服务要求</w:t>
            </w:r>
          </w:p>
          <w:p>
            <w:pPr>
              <w:jc w:val="both"/>
            </w:pPr>
            <w:r>
              <w:rPr>
                <w:sz w:val="21"/>
              </w:rPr>
              <w:t>（一）服务范围</w:t>
            </w:r>
          </w:p>
          <w:p>
            <w:pPr>
              <w:jc w:val="both"/>
            </w:pPr>
            <w:r>
              <w:rPr>
                <w:sz w:val="21"/>
              </w:rPr>
              <w:t>广州市白云区同和街道管辖范围。</w:t>
            </w:r>
          </w:p>
          <w:p>
            <w:pPr>
              <w:jc w:val="both"/>
            </w:pPr>
            <w:r>
              <w:rPr>
                <w:sz w:val="21"/>
              </w:rPr>
              <w:t>（二）服务对象</w:t>
            </w:r>
          </w:p>
          <w:p>
            <w:pPr>
              <w:jc w:val="both"/>
            </w:pPr>
            <w:r>
              <w:rPr>
                <w:sz w:val="21"/>
              </w:rPr>
              <w:t>按照《广州市社工服务站管理办法》第四条所列，居住在同和街辖区范围内的困难群众和特殊群体，其中民政兜底服务对象包括低保低</w:t>
            </w:r>
            <w:r>
              <w:rPr>
                <w:sz w:val="21"/>
              </w:rPr>
              <w:t>边</w:t>
            </w:r>
            <w:r>
              <w:rPr>
                <w:sz w:val="21"/>
              </w:rPr>
              <w:t>对象</w:t>
            </w:r>
            <w:r>
              <w:rPr>
                <w:sz w:val="21"/>
                <w:u w:val="single"/>
              </w:rPr>
              <w:t>41</w:t>
            </w:r>
            <w:r>
              <w:rPr>
                <w:sz w:val="21"/>
              </w:rPr>
              <w:t>人，特困人员</w:t>
            </w:r>
            <w:r>
              <w:rPr>
                <w:sz w:val="21"/>
                <w:u w:val="single"/>
              </w:rPr>
              <w:t xml:space="preserve"> </w:t>
            </w:r>
            <w:r>
              <w:rPr>
                <w:sz w:val="21"/>
                <w:u w:val="single"/>
              </w:rPr>
              <w:t>1</w:t>
            </w:r>
            <w:r>
              <w:rPr>
                <w:sz w:val="21"/>
              </w:rPr>
              <w:t>人，独居孤寡老人</w:t>
            </w:r>
            <w:r>
              <w:rPr>
                <w:sz w:val="21"/>
                <w:u w:val="single"/>
              </w:rPr>
              <w:t xml:space="preserve"> </w:t>
            </w:r>
            <w:r>
              <w:rPr>
                <w:sz w:val="21"/>
                <w:u w:val="single"/>
              </w:rPr>
              <w:t>27</w:t>
            </w:r>
            <w:r>
              <w:rPr>
                <w:sz w:val="21"/>
              </w:rPr>
              <w:t>人，困境儿童</w:t>
            </w:r>
            <w:r>
              <w:rPr>
                <w:sz w:val="21"/>
                <w:u w:val="single"/>
              </w:rPr>
              <w:t>37</w:t>
            </w:r>
            <w:r>
              <w:rPr>
                <w:sz w:val="21"/>
              </w:rPr>
              <w:t>人，残疾人</w:t>
            </w:r>
            <w:r>
              <w:rPr>
                <w:sz w:val="21"/>
                <w:u w:val="single"/>
              </w:rPr>
              <w:t>269</w:t>
            </w:r>
            <w:r>
              <w:rPr>
                <w:sz w:val="21"/>
              </w:rPr>
              <w:t>人。</w:t>
            </w:r>
          </w:p>
          <w:p>
            <w:pPr>
              <w:jc w:val="both"/>
            </w:pPr>
            <w:r>
              <w:rPr>
                <w:sz w:val="21"/>
              </w:rPr>
              <w:t>（三）服务目标</w:t>
            </w:r>
          </w:p>
          <w:p>
            <w:pPr>
              <w:jc w:val="both"/>
            </w:pPr>
            <w:r>
              <w:rPr>
                <w:sz w:val="21"/>
              </w:rPr>
              <w:t>1.项目的总体规划目标：</w:t>
            </w:r>
          </w:p>
          <w:p>
            <w:pPr>
              <w:ind w:firstLine="420"/>
              <w:jc w:val="both"/>
            </w:pPr>
            <w:r>
              <w:rPr>
                <w:sz w:val="21"/>
              </w:rPr>
              <w:t>同和街社工站购买服务项目主要以社会工作服务为主体，综合运营社会工作服务专业知识、方法和技能，为困难群众和特殊群体等提供兜底民生服务以及参与社区治理服务的平台，实现困难群众和特殊群体社会工作服务</w:t>
            </w:r>
            <w:r>
              <w:rPr>
                <w:sz w:val="21"/>
              </w:rPr>
              <w:t>100%覆盖。</w:t>
            </w:r>
          </w:p>
          <w:p>
            <w:pPr>
              <w:ind w:firstLine="420"/>
              <w:jc w:val="both"/>
            </w:pPr>
            <w:r>
              <w:rPr>
                <w:sz w:val="21"/>
              </w:rPr>
              <w:t>关注社区的宏观需求，按照区域和群体划分服务层次，关注困难群体，深化既有服务，注重提升专业服务素质，发挥专业服务优势，体现专业服务效果，扩大社区支援网络，协助街道及相关职能部门完善社区治理，创新长者、家庭、青少年、志愿者服务，重点打造</w:t>
            </w:r>
            <w:r>
              <w:rPr>
                <w:sz w:val="21"/>
              </w:rPr>
              <w:t>“同和街特殊困难群体服务”,树立“社区安全联盟、好邻居一家亲”等特色化服务，构建宜居宜商,具有健康活力、美丽和谐的同和街。</w:t>
            </w:r>
          </w:p>
          <w:p>
            <w:pPr>
              <w:jc w:val="both"/>
            </w:pPr>
            <w:r>
              <w:rPr>
                <w:sz w:val="21"/>
              </w:rPr>
              <w:t>2.项目年度阶段性服务目标</w:t>
            </w:r>
          </w:p>
          <w:p>
            <w:pPr>
              <w:jc w:val="both"/>
            </w:pPr>
            <w:r>
              <w:rPr>
                <w:sz w:val="21"/>
              </w:rPr>
              <w:t>（</w:t>
            </w:r>
            <w:r>
              <w:rPr>
                <w:sz w:val="21"/>
              </w:rPr>
              <w:t>1）第一阶段（第</w:t>
            </w:r>
            <w:r>
              <w:rPr>
                <w:sz w:val="21"/>
              </w:rPr>
              <w:t>一</w:t>
            </w:r>
            <w:r>
              <w:rPr>
                <w:sz w:val="21"/>
              </w:rPr>
              <w:t>年）服务目标</w:t>
            </w:r>
          </w:p>
          <w:p>
            <w:pPr>
              <w:jc w:val="both"/>
            </w:pPr>
            <w:r>
              <w:rPr>
                <w:sz w:val="21"/>
              </w:rPr>
              <w:t>结合</w:t>
            </w:r>
            <w:r>
              <w:rPr>
                <w:sz w:val="21"/>
              </w:rPr>
              <w:t>“双百工程”的理念，驻扎社区，提升辖区内的困难群众和特殊群体的社会功能；发展社区社会组织，动员社区志愿者参与服务，</w:t>
            </w:r>
            <w:r>
              <w:rPr>
                <w:sz w:val="21"/>
              </w:rPr>
              <w:t>进一步完善</w:t>
            </w:r>
            <w:r>
              <w:rPr>
                <w:sz w:val="21"/>
              </w:rPr>
              <w:t>社区、社会组织、社会工作者、社区志愿者、社会慈善资源</w:t>
            </w:r>
            <w:r>
              <w:rPr>
                <w:sz w:val="21"/>
              </w:rPr>
              <w:t>“五社联动”工作机制，推动居民参与社区服务及活动，增强居民对社区的归属感</w:t>
            </w:r>
            <w:r>
              <w:rPr>
                <w:sz w:val="21"/>
              </w:rPr>
              <w:t>。</w:t>
            </w:r>
          </w:p>
          <w:p>
            <w:pPr>
              <w:jc w:val="both"/>
            </w:pPr>
            <w:r>
              <w:rPr>
                <w:sz w:val="21"/>
              </w:rPr>
              <w:t>（</w:t>
            </w:r>
            <w:r>
              <w:rPr>
                <w:sz w:val="21"/>
              </w:rPr>
              <w:t>2）第二阶段（第</w:t>
            </w:r>
            <w:r>
              <w:rPr>
                <w:sz w:val="21"/>
              </w:rPr>
              <w:t>二</w:t>
            </w:r>
            <w:r>
              <w:rPr>
                <w:sz w:val="21"/>
              </w:rPr>
              <w:t>年）服务目标</w:t>
            </w:r>
          </w:p>
          <w:p>
            <w:pPr>
              <w:jc w:val="both"/>
            </w:pPr>
            <w:r>
              <w:rPr>
                <w:sz w:val="21"/>
              </w:rPr>
              <w:t>巩固辖区内的困难群众和特殊群体的社会功能；驻扎社区，结合居委和社区群众对社会工作服务的需求，发展社区社会组织，动员社区志愿者参与服务，链接整合社区公益慈善资源，巩固</w:t>
            </w:r>
            <w:r>
              <w:rPr>
                <w:sz w:val="21"/>
              </w:rPr>
              <w:t>“五社联动”工作机制，巩固居民对社区的参与感，促进居民参与社区</w:t>
            </w:r>
            <w:r>
              <w:rPr>
                <w:sz w:val="21"/>
              </w:rPr>
              <w:t>安全、友好社区创建等</w:t>
            </w:r>
            <w:r>
              <w:rPr>
                <w:sz w:val="21"/>
              </w:rPr>
              <w:t>公共问题的解决，改善社区公共问题</w:t>
            </w:r>
            <w:r>
              <w:rPr>
                <w:sz w:val="21"/>
              </w:rPr>
              <w:t>。</w:t>
            </w:r>
          </w:p>
          <w:p>
            <w:pPr>
              <w:jc w:val="both"/>
            </w:pPr>
            <w:r>
              <w:rPr>
                <w:sz w:val="21"/>
              </w:rPr>
              <w:t>（</w:t>
            </w:r>
            <w:r>
              <w:rPr>
                <w:sz w:val="21"/>
              </w:rPr>
              <w:t>3）第三阶段服务目标</w:t>
            </w:r>
          </w:p>
          <w:p>
            <w:pPr>
              <w:jc w:val="left"/>
            </w:pPr>
            <w:r>
              <w:rPr>
                <w:sz w:val="21"/>
              </w:rPr>
              <w:t>协助辖区内的困难群众和特殊群体通过他们自身的能力，提升生活质量；发展社区社会组织，动员社区志愿者参与服务，链接整合社区公益慈善资源，建立健全</w:t>
            </w:r>
            <w:r>
              <w:rPr>
                <w:sz w:val="21"/>
              </w:rPr>
              <w:t>“五社联动”机制， 推动各方运用“五社联动”工作机制，促进社区居民自主参与社区</w:t>
            </w:r>
            <w:r>
              <w:rPr>
                <w:sz w:val="21"/>
              </w:rPr>
              <w:t>安全、友好社区创建等</w:t>
            </w:r>
            <w:r>
              <w:rPr>
                <w:sz w:val="21"/>
              </w:rPr>
              <w:t>公共问题的解决，全面激发社区活力，推动社区治理专业化、精细化，有效解决社区公共问题</w:t>
            </w:r>
            <w:r>
              <w:rPr>
                <w:sz w:val="21"/>
              </w:rPr>
              <w:t>。</w:t>
            </w:r>
          </w:p>
          <w:p>
            <w:pPr>
              <w:jc w:val="both"/>
            </w:pPr>
            <w:r>
              <w:rPr>
                <w:b/>
                <w:sz w:val="21"/>
              </w:rPr>
              <w:t>（四）服务内容</w:t>
            </w:r>
          </w:p>
          <w:p>
            <w:pPr>
              <w:jc w:val="both"/>
            </w:pPr>
            <w:r>
              <w:rPr>
                <w:b/>
                <w:sz w:val="21"/>
              </w:rPr>
              <w:t>1.整体服务内容</w:t>
            </w:r>
          </w:p>
          <w:p>
            <w:pPr>
              <w:jc w:val="both"/>
            </w:pPr>
            <w:r>
              <w:rPr>
                <w:sz w:val="21"/>
              </w:rPr>
              <w:t>按照《办法》规定的社工站职责，结合实际，制定项目需求、服务计划、服务指标等，加强与</w:t>
            </w:r>
            <w:r>
              <w:rPr>
                <w:sz w:val="21"/>
              </w:rPr>
              <w:t>“双百工程”社工站直聘社工的服务协同与合作，提供以下服务内容：</w:t>
            </w:r>
          </w:p>
          <w:p>
            <w:pPr>
              <w:jc w:val="both"/>
            </w:pPr>
            <w:r>
              <w:rPr>
                <w:sz w:val="21"/>
              </w:rPr>
              <w:t>（</w:t>
            </w:r>
            <w:r>
              <w:rPr>
                <w:sz w:val="21"/>
              </w:rPr>
              <w:t>1）</w:t>
            </w:r>
            <w:r>
              <w:rPr>
                <w:sz w:val="21"/>
              </w:rPr>
              <w:t>宣传总书记关于民生保障的重要论述精神、党和政府的民生保障政策；</w:t>
            </w:r>
          </w:p>
          <w:p>
            <w:pPr>
              <w:jc w:val="both"/>
            </w:pPr>
            <w:r>
              <w:rPr>
                <w:sz w:val="21"/>
              </w:rPr>
              <w:t>（</w:t>
            </w:r>
            <w:r>
              <w:rPr>
                <w:sz w:val="21"/>
              </w:rPr>
              <w:t>2）</w:t>
            </w:r>
            <w:r>
              <w:rPr>
                <w:sz w:val="21"/>
              </w:rPr>
              <w:t>为困难群众和特殊群体统筹提供协助政策落实、心理疏导、资源链接、能力提升、社会融入等社会工作专业服务；</w:t>
            </w:r>
          </w:p>
          <w:p>
            <w:pPr>
              <w:jc w:val="both"/>
            </w:pPr>
            <w:r>
              <w:rPr>
                <w:sz w:val="21"/>
              </w:rPr>
              <w:t>（</w:t>
            </w:r>
            <w:r>
              <w:rPr>
                <w:sz w:val="21"/>
              </w:rPr>
              <w:t>3）</w:t>
            </w:r>
            <w:r>
              <w:rPr>
                <w:sz w:val="21"/>
              </w:rPr>
              <w:t>驻扎社区，结合村（居）委和社区群众对社会工作服务的需求，发展社区社会组织，动员社区志愿者参与服务，链接整合社区公益慈善资源，建立健全社区、社会组织、社会工作者、社区志愿者、社会慈善资源</w:t>
            </w:r>
            <w:r>
              <w:rPr>
                <w:sz w:val="21"/>
              </w:rPr>
              <w:t>“五社联动”机制，全面激发社区活力，推动社区治理专业化、精细化；</w:t>
            </w:r>
          </w:p>
          <w:p>
            <w:pPr>
              <w:jc w:val="both"/>
            </w:pPr>
            <w:r>
              <w:rPr>
                <w:sz w:val="21"/>
              </w:rPr>
              <w:t>（</w:t>
            </w:r>
            <w:r>
              <w:rPr>
                <w:sz w:val="21"/>
              </w:rPr>
              <w:t>4）</w:t>
            </w:r>
            <w:r>
              <w:rPr>
                <w:sz w:val="21"/>
              </w:rPr>
              <w:t>积极参与粤港澳大湾区社会工作合作交流，探索创新服务模式；</w:t>
            </w:r>
          </w:p>
          <w:p>
            <w:pPr>
              <w:jc w:val="both"/>
            </w:pPr>
            <w:r>
              <w:rPr>
                <w:sz w:val="21"/>
              </w:rPr>
              <w:t>（</w:t>
            </w:r>
            <w:r>
              <w:rPr>
                <w:sz w:val="21"/>
              </w:rPr>
              <w:t>5）</w:t>
            </w:r>
            <w:r>
              <w:rPr>
                <w:sz w:val="21"/>
              </w:rPr>
              <w:t>完成</w:t>
            </w:r>
            <w:r>
              <w:rPr>
                <w:sz w:val="21"/>
              </w:rPr>
              <w:t>采购人</w:t>
            </w:r>
            <w:r>
              <w:rPr>
                <w:sz w:val="21"/>
              </w:rPr>
              <w:t>交办的其他民生服务工作。</w:t>
            </w:r>
          </w:p>
          <w:p>
            <w:pPr>
              <w:jc w:val="both"/>
            </w:pPr>
            <w:r>
              <w:rPr>
                <w:b/>
                <w:sz w:val="21"/>
              </w:rPr>
              <w:t>2.具体服务要求</w:t>
            </w:r>
          </w:p>
          <w:p>
            <w:pPr>
              <w:jc w:val="both"/>
            </w:pPr>
            <w:r>
              <w:rPr>
                <w:sz w:val="21"/>
              </w:rPr>
              <w:t>（</w:t>
            </w:r>
            <w:r>
              <w:rPr>
                <w:sz w:val="21"/>
              </w:rPr>
              <w:t>1）项目按照《办法》有关要求，合理、科学利用社工站和社工站点的服务阵地，在</w:t>
            </w:r>
            <w:r>
              <w:rPr>
                <w:sz w:val="21"/>
              </w:rPr>
              <w:t>采购人</w:t>
            </w:r>
            <w:r>
              <w:rPr>
                <w:sz w:val="21"/>
              </w:rPr>
              <w:t>统筹指导下，强化与直聘社工服务合作与转介，充分发挥专业优势，积极做好困难群众和特殊群体兜底服务保障服务。在此基础上，依法、有序参与社区治理，配合政府有关部门做好</w:t>
            </w:r>
            <w:r>
              <w:rPr>
                <w:sz w:val="21"/>
              </w:rPr>
              <w:t>突发事件</w:t>
            </w:r>
            <w:r>
              <w:rPr>
                <w:sz w:val="21"/>
              </w:rPr>
              <w:t>、应急救灾等服务：</w:t>
            </w:r>
          </w:p>
          <w:p>
            <w:pPr>
              <w:jc w:val="both"/>
            </w:pPr>
            <w:r>
              <w:rPr>
                <w:sz w:val="21"/>
              </w:rPr>
              <w:t>一是以社区为载体，以家庭为单位，运用社会工作专业理念、方法与技能，开展民生政策宣传，协助落实民生保障政策，为困难群众和特殊群体统筹提供情绪疏导、心理慰藉、精神关爱、关系调适、能力建设、资源链接、社会融入等方面专业服务，系统改善服务对象的生存发展困难和问题，增加服务对象的社会支持网络，提升服务对象生存发展能力，配合支持采购人全面推进乡村振兴等有关工作，确保困难群众和特殊群体社会工作专业服务</w:t>
            </w:r>
            <w:r>
              <w:rPr>
                <w:sz w:val="21"/>
              </w:rPr>
              <w:t>100%覆盖。</w:t>
            </w:r>
          </w:p>
          <w:p>
            <w:pPr>
              <w:jc w:val="both"/>
            </w:pPr>
            <w:r>
              <w:rPr>
                <w:sz w:val="21"/>
              </w:rPr>
              <w:t>二是以化解社区困难群众和特殊群体的问题为导向，依托社区慈善工作站、广州公益</w:t>
            </w:r>
            <w:r>
              <w:rPr>
                <w:sz w:val="21"/>
              </w:rPr>
              <w:t>“时间银行”志愿服务站点等，积极培育社区社会组织、社区基金、社区志愿者等，运用“社工＋慈善＋志愿服务”融合发展策略，发展壮大志愿者队伍，整合链接社区慈善资源，建立健全“五社联动”机制，全面激发社区共建共洽活力，推动社区洽理专业化、精细化。</w:t>
            </w:r>
          </w:p>
          <w:p>
            <w:pPr>
              <w:jc w:val="both"/>
            </w:pPr>
            <w:r>
              <w:rPr>
                <w:sz w:val="21"/>
              </w:rPr>
              <w:t>三是配合</w:t>
            </w:r>
            <w:r>
              <w:rPr>
                <w:sz w:val="21"/>
              </w:rPr>
              <w:t>采购人</w:t>
            </w:r>
            <w:r>
              <w:rPr>
                <w:sz w:val="21"/>
              </w:rPr>
              <w:t>参与应急救灾、突发事件处置等公共应急服务，发</w:t>
            </w:r>
            <w:r>
              <w:rPr>
                <w:sz w:val="21"/>
              </w:rPr>
              <w:t>挥</w:t>
            </w:r>
            <w:r>
              <w:rPr>
                <w:sz w:val="21"/>
              </w:rPr>
              <w:t>“红棉守护热线”作用，提供心理疏导、情绪支持、</w:t>
            </w:r>
            <w:r>
              <w:rPr>
                <w:sz w:val="21"/>
              </w:rPr>
              <w:t>保障支持等服务，协助处理困难群众和特殊群体面临的紧急困难。</w:t>
            </w:r>
          </w:p>
          <w:p>
            <w:pPr>
              <w:jc w:val="both"/>
            </w:pPr>
            <w:r>
              <w:rPr>
                <w:b/>
                <w:sz w:val="21"/>
              </w:rPr>
              <w:t>（</w:t>
            </w:r>
            <w:r>
              <w:rPr>
                <w:b/>
                <w:sz w:val="21"/>
              </w:rPr>
              <w:t>2）重点人群服务与一般性人群服务</w:t>
            </w:r>
          </w:p>
          <w:p>
            <w:pPr>
              <w:jc w:val="both"/>
            </w:pPr>
            <w:r>
              <w:rPr>
                <w:b/>
                <w:sz w:val="21"/>
              </w:rPr>
              <w:t>1.必选的重点服务</w:t>
            </w:r>
          </w:p>
          <w:p>
            <w:pPr>
              <w:jc w:val="both"/>
            </w:pPr>
            <w:r>
              <w:rPr>
                <w:sz w:val="21"/>
              </w:rPr>
              <w:t>面向低保、低收、特困、孤寡老人、独居老人、留守老人、困境儿童、特殊困难重度残疾人等困难群众和特殊群体的民生兜底保障服务是必选的优先重点服务，精准识别不同兜底服务对象的需求和问题，按照分层分类服务的原则，提供系统性、持续性服务和社会支持，实现对兜底服务对象的服务全覆盖。在做好民生兜底保障服务的基础上，项目结合社区居委、学校及街道相关职能部门对心理服务的迫切需求，联合心理服务专业力量开展心理健康教育宣传及驻校心理服务，引导居民、学生等群体学会识别心理健康状况及调适不良情绪，促进其心理健康和安全。</w:t>
            </w:r>
          </w:p>
          <w:p>
            <w:pPr>
              <w:jc w:val="both"/>
            </w:pPr>
            <w:r>
              <w:rPr>
                <w:b/>
                <w:sz w:val="21"/>
              </w:rPr>
              <w:t>2.自选的非重点服务</w:t>
            </w:r>
          </w:p>
          <w:p>
            <w:pPr>
              <w:jc w:val="both"/>
            </w:pPr>
            <w:r>
              <w:rPr>
                <w:sz w:val="21"/>
              </w:rPr>
              <w:t>（</w:t>
            </w:r>
            <w:r>
              <w:rPr>
                <w:sz w:val="21"/>
              </w:rPr>
              <w:t>1）一般性儿童青少年服务：围绕一般性儿童青少年健康成长多样化需求，整合利用社区、家庭、学校和社会资源，为有需要的儿童青少年搭建成长发展的社会支持网络和平台，适时提供包括个案跟进、行为矫正、人际拓展、能力提升、兴趣发展等多元化服务。</w:t>
            </w:r>
          </w:p>
          <w:p>
            <w:pPr>
              <w:jc w:val="both"/>
            </w:pPr>
            <w:r>
              <w:rPr>
                <w:sz w:val="21"/>
              </w:rPr>
              <w:t>（</w:t>
            </w:r>
            <w:r>
              <w:rPr>
                <w:sz w:val="21"/>
              </w:rPr>
              <w:t>2）一般性长者服务：以社区一般性长者的实际需求为导向，依托和整合社区、家庭、单位等社会资源，从心理关怀、生活照顾、文体康乐、人际互助、兴趣发展、社会参与等多个层面，为有需要的长者提供预防性、支援性、治疗性等多样化服务，提升长者生活品质。</w:t>
            </w:r>
          </w:p>
          <w:p>
            <w:pPr>
              <w:jc w:val="both"/>
            </w:pPr>
            <w:r>
              <w:rPr>
                <w:sz w:val="21"/>
              </w:rPr>
              <w:t>（</w:t>
            </w:r>
            <w:r>
              <w:rPr>
                <w:sz w:val="21"/>
              </w:rPr>
              <w:t>3）一般性家庭服务（含妇女儿童</w:t>
            </w:r>
            <w:r>
              <w:rPr>
                <w:sz w:val="21"/>
              </w:rPr>
              <w:t>服务</w:t>
            </w:r>
            <w:r>
              <w:rPr>
                <w:sz w:val="21"/>
              </w:rPr>
              <w:t>）：围绕夫妻关系、亲子关系、家庭互动、家庭功能、家庭结构等方面的服务需求，挖掘家庭成员的共同参与能力和优势，培育守望相助的家庭和邻里氛围，为社区内的家庭（特别是单亲家庭、困难家庭、来穗人员家庭等）提供必要的支持和援助，提供包括个案咨询、资源链接、定期探访等专业服务。</w:t>
            </w:r>
          </w:p>
          <w:p>
            <w:pPr>
              <w:jc w:val="both"/>
            </w:pPr>
            <w:r>
              <w:rPr>
                <w:sz w:val="21"/>
              </w:rPr>
              <w:t>（</w:t>
            </w:r>
            <w:r>
              <w:rPr>
                <w:sz w:val="21"/>
              </w:rPr>
              <w:t>4）社区发展服务：围绕社区发展和公共服务问题及需求，整合社区内外资源，培育社区社会组织，提升社区居民的参与；着力社区倡导、社区教育等服务，充分发挥第三方角色，协助在地政府部门提升社区服务水平，完善基层社会治理体系。</w:t>
            </w:r>
          </w:p>
          <w:p>
            <w:pPr>
              <w:jc w:val="both"/>
            </w:pPr>
            <w:r>
              <w:rPr>
                <w:sz w:val="21"/>
              </w:rPr>
              <w:t>（</w:t>
            </w:r>
            <w:r>
              <w:rPr>
                <w:sz w:val="21"/>
              </w:rPr>
              <w:t>5）其他服务：</w:t>
            </w:r>
            <w:r>
              <w:rPr>
                <w:sz w:val="21"/>
              </w:rPr>
              <w:t>针对</w:t>
            </w:r>
            <w:r>
              <w:rPr>
                <w:sz w:val="21"/>
              </w:rPr>
              <w:t>同和</w:t>
            </w:r>
            <w:r>
              <w:rPr>
                <w:sz w:val="21"/>
              </w:rPr>
              <w:t>地区问题，充分利用社工特长</w:t>
            </w:r>
            <w:r>
              <w:rPr>
                <w:sz w:val="21"/>
              </w:rPr>
              <w:t>，</w:t>
            </w:r>
            <w:r>
              <w:rPr>
                <w:sz w:val="21"/>
              </w:rPr>
              <w:t>帮助困境家庭解决家居微改造问题，链接多方资源，对困境家庭中有完善家居改造需求的家庭进行改造，为他们提供更安全的居家环境</w:t>
            </w:r>
            <w:r>
              <w:rPr>
                <w:sz w:val="21"/>
              </w:rPr>
              <w:t>。</w:t>
            </w:r>
          </w:p>
          <w:p>
            <w:pPr>
              <w:jc w:val="both"/>
            </w:pPr>
            <w:r>
              <w:rPr>
                <w:b/>
                <w:sz w:val="21"/>
              </w:rPr>
              <w:t>（五）专业方法运用及要求</w:t>
            </w:r>
          </w:p>
          <w:p>
            <w:pPr>
              <w:jc w:val="both"/>
            </w:pPr>
            <w:r>
              <w:rPr>
                <w:b/>
                <w:sz w:val="21"/>
              </w:rPr>
              <w:t>1.专业方法：</w:t>
            </w:r>
            <w:r>
              <w:rPr>
                <w:sz w:val="21"/>
              </w:rPr>
              <w:t>项目服务团队应运用社会工作个案、小组和社区服务等专业服务方法为有需要的个人、家庭和社区提供适切服务，回应服务对象需求。</w:t>
            </w:r>
          </w:p>
          <w:p>
            <w:pPr>
              <w:jc w:val="both"/>
            </w:pPr>
            <w:r>
              <w:rPr>
                <w:b/>
                <w:sz w:val="21"/>
              </w:rPr>
              <w:t>（</w:t>
            </w:r>
            <w:r>
              <w:rPr>
                <w:b/>
                <w:sz w:val="21"/>
              </w:rPr>
              <w:t>1）个案工作：</w:t>
            </w:r>
            <w:r>
              <w:rPr>
                <w:sz w:val="21"/>
              </w:rPr>
              <w:t>指社会工作者遵循基本的社会工作专业价值理念，运用科学的专业方法，以个别化的方式为遭遇困难的个人或家庭提供的心理辅导、情绪疏导、行为认知矫正、资源链接等服务，以帮助个人或家庭消减压力、缓解困难、挖掘生命潜能，不断提高个人和家庭的生活质量。个案服务包括咨询个案和专业个案。咨询个案是指可在短时间内通过提供</w:t>
            </w:r>
            <w:r>
              <w:rPr>
                <w:sz w:val="21"/>
              </w:rPr>
              <w:t>1—2次的政策、就业、法律等咨询性服务，能有效满足个体或家庭服务需求的个案服务；专业个案是指无法仅靠简短的咨询服务解决服务对象的困难，需要通过提供较长时间的跟进辅导、情绪支持、心理减压、资源链接等专</w:t>
            </w:r>
            <w:r>
              <w:rPr>
                <w:sz w:val="21"/>
              </w:rPr>
              <w:t>业服务和支持的个案服务，一般至少需要</w:t>
            </w:r>
            <w:r>
              <w:rPr>
                <w:sz w:val="21"/>
              </w:rPr>
              <w:t>3次以上的跟踪服务。</w:t>
            </w:r>
          </w:p>
          <w:p>
            <w:pPr>
              <w:jc w:val="both"/>
            </w:pPr>
            <w:r>
              <w:rPr>
                <w:b/>
                <w:sz w:val="21"/>
              </w:rPr>
              <w:t>（</w:t>
            </w:r>
            <w:r>
              <w:rPr>
                <w:b/>
                <w:sz w:val="21"/>
              </w:rPr>
              <w:t>2）小组工作：</w:t>
            </w:r>
            <w:r>
              <w:rPr>
                <w:sz w:val="21"/>
              </w:rPr>
              <w:t>指以团体或小群体为服务对象，并通过小组或团体的活动为其成员提供支持性、发展性或预防性等服务的方法。其目的是促进团体或小组及其成员的发展，使个人能借助集体支持和资源，提升自身应对困难的能力，改善其社会处境。小组服务通过协调个人与个人、个人与团体和团体与团体之间的社会关系，发挥团体或</w:t>
            </w:r>
            <w:r>
              <w:rPr>
                <w:sz w:val="21"/>
              </w:rPr>
              <w:t>小组</w:t>
            </w:r>
            <w:r>
              <w:rPr>
                <w:sz w:val="21"/>
              </w:rPr>
              <w:t>的社会正向功能，促进组员的进步与健康发展。小组服务应按照阶段性发展状况安排服务活动次数，活动次数一般不少于</w:t>
            </w:r>
            <w:r>
              <w:rPr>
                <w:sz w:val="21"/>
              </w:rPr>
              <w:t>3</w:t>
            </w:r>
            <w:r>
              <w:rPr>
                <w:sz w:val="21"/>
              </w:rPr>
              <w:t>次，每次参与小组活动的人数至少为</w:t>
            </w:r>
            <w:r>
              <w:rPr>
                <w:sz w:val="21"/>
              </w:rPr>
              <w:t>3</w:t>
            </w:r>
            <w:r>
              <w:rPr>
                <w:sz w:val="21"/>
              </w:rPr>
              <w:t>人。</w:t>
            </w:r>
          </w:p>
          <w:p>
            <w:pPr>
              <w:jc w:val="both"/>
            </w:pPr>
            <w:r>
              <w:rPr>
                <w:b/>
                <w:sz w:val="21"/>
              </w:rPr>
              <w:t>（</w:t>
            </w:r>
            <w:r>
              <w:rPr>
                <w:b/>
                <w:sz w:val="21"/>
              </w:rPr>
              <w:t>3）社区工作：</w:t>
            </w:r>
            <w:r>
              <w:rPr>
                <w:sz w:val="21"/>
              </w:rPr>
              <w:t>指以促进整个社区发展为目标的社会工作服务方法，是在党和政府的领导下，社工机构依靠社区力量，整合社会资源，促进社区进步和发展的宏观层面的社会服务。其主要是强化社区功能，提升社区参与，优化社区关系，缓解社区问题，促进社区政治、经济、文化、环境协调和健康发展，不断提高社区成员的生活水平和生活质量的过程。</w:t>
            </w:r>
            <w:r>
              <w:rPr>
                <w:sz w:val="21"/>
              </w:rPr>
              <w:t>社区工作的内容包括社区公共问题介入、社区营造、社区文化保育、社区公益慈善、社区志愿服务、社区组织和社区领袖培育等。</w:t>
            </w:r>
            <w:r>
              <w:rPr>
                <w:sz w:val="21"/>
              </w:rPr>
              <w:t xml:space="preserve"> </w:t>
            </w:r>
          </w:p>
          <w:p>
            <w:pPr>
              <w:jc w:val="both"/>
            </w:pPr>
            <w:r>
              <w:rPr>
                <w:b/>
                <w:sz w:val="21"/>
              </w:rPr>
              <w:t>（六）服务人员</w:t>
            </w:r>
          </w:p>
          <w:p>
            <w:pPr>
              <w:jc w:val="both"/>
            </w:pPr>
            <w:r>
              <w:rPr>
                <w:sz w:val="21"/>
              </w:rPr>
              <w:t>根据《办法》要求，</w:t>
            </w:r>
            <w:r>
              <w:rPr>
                <w:sz w:val="21"/>
              </w:rPr>
              <w:t>本</w:t>
            </w:r>
            <w:r>
              <w:rPr>
                <w:sz w:val="21"/>
              </w:rPr>
              <w:t>项目原则上按每年</w:t>
            </w:r>
            <w:r>
              <w:rPr>
                <w:sz w:val="21"/>
              </w:rPr>
              <w:t>12万元/名的标准配备</w:t>
            </w:r>
            <w:r>
              <w:rPr>
                <w:sz w:val="21"/>
              </w:rPr>
              <w:t>20</w:t>
            </w:r>
            <w:r>
              <w:rPr>
                <w:sz w:val="21"/>
              </w:rPr>
              <w:t>名全职社工，机构管理人员、财务人员、行政、保洁、安保等人员不得计入项目人员。项目采购服务周期内逐年提高持证社工比例，第一年持证社工比例应当不低于</w:t>
            </w:r>
            <w:r>
              <w:rPr>
                <w:sz w:val="21"/>
              </w:rPr>
              <w:t>1/2，第三年持证社工比例应当不低于2/3。</w:t>
            </w:r>
          </w:p>
          <w:p>
            <w:pPr>
              <w:jc w:val="both"/>
            </w:pPr>
            <w:r>
              <w:rPr>
                <w:b/>
                <w:sz w:val="21"/>
              </w:rPr>
              <w:t>（七）具体指标及要求</w:t>
            </w:r>
          </w:p>
          <w:p>
            <w:pPr>
              <w:jc w:val="both"/>
            </w:pPr>
            <w:r>
              <w:rPr>
                <w:b/>
                <w:sz w:val="21"/>
              </w:rPr>
              <w:t>1.项目总体服务质量要求</w:t>
            </w:r>
          </w:p>
          <w:p>
            <w:pPr>
              <w:jc w:val="both"/>
            </w:pPr>
            <w:r>
              <w:rPr>
                <w:sz w:val="21"/>
              </w:rPr>
              <w:t>（</w:t>
            </w:r>
            <w:r>
              <w:rPr>
                <w:sz w:val="21"/>
              </w:rPr>
              <w:t>1）项目应通过电访、探访、个案、小组、社区服务等方式，对</w:t>
            </w:r>
            <w:r>
              <w:rPr>
                <w:sz w:val="21"/>
              </w:rPr>
              <w:t>采购人所</w:t>
            </w:r>
            <w:r>
              <w:rPr>
                <w:sz w:val="21"/>
              </w:rPr>
              <w:t>在地所有困难群众和特殊群体实现</w:t>
            </w:r>
            <w:r>
              <w:rPr>
                <w:sz w:val="21"/>
              </w:rPr>
              <w:t>100%覆盖；困难群众和特殊群体的入户率、建档率应达到100%；</w:t>
            </w:r>
          </w:p>
          <w:p>
            <w:pPr>
              <w:jc w:val="both"/>
            </w:pPr>
            <w:r>
              <w:rPr>
                <w:sz w:val="21"/>
              </w:rPr>
              <w:t>（</w:t>
            </w:r>
            <w:r>
              <w:rPr>
                <w:sz w:val="21"/>
              </w:rPr>
              <w:t>2）项目能围绕社会救助、</w:t>
            </w:r>
            <w:r>
              <w:rPr>
                <w:sz w:val="21"/>
              </w:rPr>
              <w:t>社区治理、</w:t>
            </w:r>
            <w:r>
              <w:rPr>
                <w:sz w:val="21"/>
              </w:rPr>
              <w:t>儿童福利等领域打造服务品牌，有效回应兜底服务对象的多元化、合理化需求，有较大的社会影响力与美誉度；</w:t>
            </w:r>
          </w:p>
          <w:p>
            <w:pPr>
              <w:jc w:val="both"/>
            </w:pPr>
            <w:r>
              <w:rPr>
                <w:sz w:val="21"/>
              </w:rPr>
              <w:t>（</w:t>
            </w:r>
            <w:r>
              <w:rPr>
                <w:sz w:val="21"/>
              </w:rPr>
              <w:t>3）项目在兜底民生服务、社区治理、应急救灾等方面发挥的服务作用突出，各项服务工作的认可度、满意度较高，相关工作服务满意度不低于80%。</w:t>
            </w:r>
          </w:p>
          <w:p>
            <w:pPr>
              <w:jc w:val="both"/>
            </w:pPr>
            <w:r>
              <w:rPr>
                <w:b/>
                <w:sz w:val="21"/>
              </w:rPr>
              <w:t>2.专业服务指标要求</w:t>
            </w:r>
          </w:p>
          <w:p>
            <w:pPr>
              <w:jc w:val="both"/>
            </w:pPr>
            <w:r>
              <w:rPr>
                <w:sz w:val="21"/>
              </w:rPr>
              <w:t>同和街社工站每年应至少完成</w:t>
            </w:r>
            <w:r>
              <w:rPr>
                <w:sz w:val="21"/>
              </w:rPr>
              <w:t>90个专业个案服务；提供小组服务至少30个，服务不少于240人次；组织社区活动至少30场次，服务不少于1200人次；协助街道介入和解决的社区公共问题至少2个，</w:t>
            </w:r>
            <w:r>
              <w:rPr>
                <w:sz w:val="21"/>
              </w:rPr>
              <w:t>组织社区服务需求调研</w:t>
            </w:r>
            <w:r>
              <w:rPr>
                <w:sz w:val="21"/>
              </w:rPr>
              <w:t>至少</w:t>
            </w:r>
            <w:r>
              <w:rPr>
                <w:sz w:val="21"/>
              </w:rPr>
              <w:t>2次（形成调研报告至少</w:t>
            </w:r>
            <w:r>
              <w:rPr>
                <w:sz w:val="21"/>
              </w:rPr>
              <w:t>2</w:t>
            </w:r>
            <w:r>
              <w:rPr>
                <w:sz w:val="21"/>
              </w:rPr>
              <w:t>篇）</w:t>
            </w:r>
            <w:r>
              <w:rPr>
                <w:sz w:val="21"/>
              </w:rPr>
              <w:t>。</w:t>
            </w:r>
          </w:p>
          <w:p>
            <w:pPr>
              <w:jc w:val="both"/>
            </w:pPr>
            <w:r>
              <w:rPr/>
              <w:t xml:space="preserve"> </w:t>
            </w:r>
          </w:p>
          <w:p>
            <w:pPr>
              <w:jc w:val="both"/>
            </w:pPr>
            <w:r>
              <w:rPr/>
              <w:t xml:space="preserve"> </w:t>
            </w:r>
          </w:p>
          <w:p>
            <w:pPr>
              <w:jc w:val="both"/>
            </w:pPr>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广州市白云区人民政府同和街道办事处</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的收费标准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李玉霜、李年秀</w:t>
      </w:r>
    </w:p>
    <w:p>
      <w:pPr>
        <w:ind w:firstLine="480"/>
      </w:pPr>
      <w:r>
        <w:rPr/>
        <w:t>电话：</w:t>
      </w:r>
      <w:r>
        <w:rPr/>
        <w:t>020-87684726、020-87688847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政府采购监督管理机构名称：广州市白云区财政局政府采购科</w:t>
      </w:r>
    </w:p>
    <w:p>
      <w:r>
        <w:rPr/>
        <w:t>地  址：广州市白云区河田西路68号</w:t>
      </w:r>
    </w:p>
    <w:p>
      <w:r>
        <w:rPr/>
        <w:t>电  话：020-26092703</w:t>
      </w:r>
    </w:p>
    <w:p>
      <w:r>
        <w:rPr/>
        <w:t>邮  编：510080</w:t>
      </w:r>
    </w:p>
    <w:p>
      <w:r>
        <w:rPr/>
        <w:t>传  真：020-26092703</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市白云区人民政府同和街道办事处社工站购买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采购包1（广州市白云区人民政府同和街道办事处社工站购买服务项目）：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采购包1（广州市白云区人民政府同和街道办事处社工站购买服务项目）：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采购包1（广州市白云区人民政府同和街道办事处社工站购买服务项目）：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投标服务工时</w:t>
            </w:r>
          </w:p>
        </w:tc>
        <w:tc>
          <w:tcPr>
            <w:tcW w:type="dxa" w:w="4238"/>
          </w:tcPr>
          <w:p>
            <w:r>
              <w:rPr/>
              <w:t>计划投入本项目的年度服务总工时在规定的范围内</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采购包1(广州市白云区人民政府同和街道办事处社工站购买服务项目):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拟投入的人员队伍（1） (3.0分)</w:t>
            </w:r>
          </w:p>
        </w:tc>
        <w:tc>
          <w:tcPr>
            <w:tcW w:type="dxa" w:w="5076"/>
          </w:tcPr>
          <w:p>
            <w:pPr>
              <w:jc w:val="left"/>
            </w:pPr>
            <w:r>
              <w:rPr/>
              <w:t>为本项目配备的项目负责人资质符合要求，具备较好的专业服务能力： （1）拥有6年或以上社工服务经验或社工服务管理经验，且具有社会工作师（中级）或以上职业水平的，得3分；  （2）社工服务经验或社工服务管理经验未满6年或未有相关职业水平证书的，得0分。  注：提供人员名单、职业水平证书、身份证、劳动或聘用合同、投标截止之日前6个月内任意一个月的社保证明或单位代缴个税税单复印件并加盖投标人公章（缺少任一证明资料的均不得分）。</w:t>
            </w:r>
          </w:p>
        </w:tc>
      </w:tr>
      <w:tr>
        <w:tc>
          <w:tcPr>
            <w:tcW w:type="dxa" w:w="922"/>
            <w:gridSpan w:val="2"/>
            <w:vMerge/>
          </w:tcPr>
          <w:p/>
        </w:tc>
        <w:tc>
          <w:tcPr>
            <w:tcW w:type="dxa" w:w="2307"/>
          </w:tcPr>
          <w:p>
            <w:pPr>
              <w:jc w:val="left"/>
            </w:pPr>
            <w:r>
              <w:rPr/>
              <w:t>拟投入的人员队伍（2） (3.0分)</w:t>
            </w:r>
          </w:p>
        </w:tc>
        <w:tc>
          <w:tcPr>
            <w:tcW w:type="dxa" w:w="5076"/>
          </w:tcPr>
          <w:p>
            <w:pPr>
              <w:jc w:val="left"/>
            </w:pPr>
            <w:r>
              <w:rPr/>
              <w:t>为本项目配备的各服务领域主管（项目负责人除外）资质符合要求，具备较好的专业服务能力：  （1）具有5年或以上社工服务经验，且具有社会工作师（中级）或以上职业水平的，每名得1.5分；   （2）具有3年（含）以上，5年以下社工服务经验，且具有助理社会工作师或以上职业水平的，每名得0.5分；   （3）社工服务经验未满3年或未有相关职业水平证书的，得0分。 此项最高得3分。  注：提供人员名单、职业水平证书、身份证、劳动或聘用合同、投标截止之日前6个月内任意一个月的社保证明或单位代缴个税税单复印件并加盖投标人公章（单个人员缺少任一证明资料的均不得分）。</w:t>
            </w:r>
          </w:p>
        </w:tc>
      </w:tr>
      <w:tr>
        <w:tc>
          <w:tcPr>
            <w:tcW w:type="dxa" w:w="922"/>
            <w:gridSpan w:val="2"/>
            <w:vMerge/>
          </w:tcPr>
          <w:p/>
        </w:tc>
        <w:tc>
          <w:tcPr>
            <w:tcW w:type="dxa" w:w="2307"/>
          </w:tcPr>
          <w:p>
            <w:pPr>
              <w:jc w:val="left"/>
            </w:pPr>
            <w:r>
              <w:rPr/>
              <w:t>拟投入的人员队伍（3） (5.0分)</w:t>
            </w:r>
          </w:p>
        </w:tc>
        <w:tc>
          <w:tcPr>
            <w:tcW w:type="dxa" w:w="5076"/>
          </w:tcPr>
          <w:p>
            <w:pPr>
              <w:jc w:val="left"/>
            </w:pPr>
            <w:r>
              <w:rPr/>
              <w:t>拟投入人员中具有助理社会工作师或以上职业水平的社工数量（项目负责人、各服务领域主管除外）： （1）6人或以上，得5分； （2）4-5人得3分； （3）2-3人得1分； （4）少于2人得0分。 注：提供人员名单、职业水平证书、身份证、劳动或聘用合同、投标截止之日前6个月内任意一个月的社保证明或单位代缴个税税单复印件并加盖投标人公章（单个人员缺少任一证明资料的均不得分）。</w:t>
            </w:r>
          </w:p>
        </w:tc>
      </w:tr>
      <w:tr>
        <w:tc>
          <w:tcPr>
            <w:tcW w:type="dxa" w:w="922"/>
            <w:gridSpan w:val="2"/>
            <w:vMerge/>
          </w:tcPr>
          <w:p/>
        </w:tc>
        <w:tc>
          <w:tcPr>
            <w:tcW w:type="dxa" w:w="2307"/>
          </w:tcPr>
          <w:p>
            <w:pPr>
              <w:jc w:val="left"/>
            </w:pPr>
            <w:r>
              <w:rPr/>
              <w:t>项目服务需求及服务目标辨识确定能力要求1 (3.0分)</w:t>
            </w:r>
          </w:p>
        </w:tc>
        <w:tc>
          <w:tcPr>
            <w:tcW w:type="dxa" w:w="5076"/>
          </w:tcPr>
          <w:p>
            <w:pPr>
              <w:jc w:val="left"/>
            </w:pPr>
            <w:r>
              <w:rPr/>
              <w:t>评标委员会根据投标人提供的项目服务需求及服务目标辨识程度进行综合评价，方案应包括（投标文件中方案标题应以下列方案名称命名）： (1)评估和辨识项目所在地社区的不同服务对象； (2)区分重点服务对象和一般服务对象及其问题和需求； (3)设置可行的服务目标。 提供全部内容得3分，每缺1项扣1分。</w:t>
            </w:r>
          </w:p>
        </w:tc>
      </w:tr>
      <w:tr>
        <w:tc>
          <w:tcPr>
            <w:tcW w:type="dxa" w:w="922"/>
            <w:gridSpan w:val="2"/>
            <w:vMerge/>
          </w:tcPr>
          <w:p/>
        </w:tc>
        <w:tc>
          <w:tcPr>
            <w:tcW w:type="dxa" w:w="2307"/>
          </w:tcPr>
          <w:p>
            <w:pPr>
              <w:jc w:val="left"/>
            </w:pPr>
            <w:r>
              <w:rPr/>
              <w:t>项目服务需求及服务目标辨识确定能力要求2 (7.0分)</w:t>
            </w:r>
            <w:r>
              <w:rPr/>
              <w:t>，（等次分值选择：</w:t>
            </w:r>
            <w:r>
              <w:rPr/>
              <w:t>0.0;</w:t>
            </w:r>
            <w:r>
              <w:rPr/>
              <w:t>2.0;</w:t>
            </w:r>
            <w:r>
              <w:rPr/>
              <w:t>4.0;</w:t>
            </w:r>
            <w:r>
              <w:rPr/>
              <w:t>7.0;</w:t>
            </w:r>
            <w:r>
              <w:rPr/>
              <w:t>）</w:t>
            </w:r>
          </w:p>
        </w:tc>
        <w:tc>
          <w:tcPr>
            <w:tcW w:type="dxa" w:w="5076"/>
          </w:tcPr>
          <w:p>
            <w:pPr>
              <w:jc w:val="left"/>
            </w:pPr>
            <w:r>
              <w:rPr/>
              <w:t>评标委员会根据投标人提供的项目服务需求及服务目标辨识程度的详细内容进行综合评价： （1）能够精准识别采购人所在地困难群众和特殊群体，并能全面清晰区分不同服务对象的需求和问题，且设置的服务目标合理可行，得7分；  （2）能够识别采购人所在地困难群众和特殊群体，对需求和问题把握较为清晰，且设置的服务目标较为合理可行，得4分；  （3）能识别部分采购人所在地困难群众和特殊群体，对需求和问题进行了一定程度的分析，设置的服务目标具有一定的合理可行性，得2分；  （4）其他情况或未提供，不得分。</w:t>
            </w:r>
          </w:p>
        </w:tc>
      </w:tr>
      <w:tr>
        <w:tc>
          <w:tcPr>
            <w:tcW w:type="dxa" w:w="922"/>
            <w:gridSpan w:val="2"/>
            <w:vMerge/>
          </w:tcPr>
          <w:p/>
        </w:tc>
        <w:tc>
          <w:tcPr>
            <w:tcW w:type="dxa" w:w="2307"/>
          </w:tcPr>
          <w:p>
            <w:pPr>
              <w:jc w:val="left"/>
            </w:pPr>
            <w:r>
              <w:rPr/>
              <w:t>服务计划1 (2.0分)</w:t>
            </w:r>
          </w:p>
        </w:tc>
        <w:tc>
          <w:tcPr>
            <w:tcW w:type="dxa" w:w="5076"/>
          </w:tcPr>
          <w:p>
            <w:pPr>
              <w:jc w:val="left"/>
            </w:pPr>
            <w:r>
              <w:rPr/>
              <w:t>评标委员会根据投标人对青少年、长者、家庭的基础领域的服务计划进行综合评价，方案应包括（投标文件中方案标题应以下列方案名称命名）： (1)各个领域服务计划； (2)分层分类地系统设计预防性、支持性、补救性、照护性和发展性等服务项目。 提供全部内容得2分，每缺1项扣1分。</w:t>
            </w:r>
          </w:p>
        </w:tc>
      </w:tr>
      <w:tr>
        <w:tc>
          <w:tcPr>
            <w:tcW w:type="dxa" w:w="922"/>
            <w:gridSpan w:val="2"/>
            <w:vMerge/>
          </w:tcPr>
          <w:p/>
        </w:tc>
        <w:tc>
          <w:tcPr>
            <w:tcW w:type="dxa" w:w="2307"/>
          </w:tcPr>
          <w:p>
            <w:pPr>
              <w:jc w:val="left"/>
            </w:pPr>
            <w:r>
              <w:rPr/>
              <w:t>服务计划2 (5.0分)</w:t>
            </w:r>
            <w:r>
              <w:rPr/>
              <w:t>，（等次分值选择：</w:t>
            </w:r>
            <w:r>
              <w:rPr/>
              <w:t>0.0;</w:t>
            </w:r>
            <w:r>
              <w:rPr/>
              <w:t>1.0;</w:t>
            </w:r>
            <w:r>
              <w:rPr/>
              <w:t>2.0;</w:t>
            </w:r>
            <w:r>
              <w:rPr/>
              <w:t>3.0;</w:t>
            </w:r>
            <w:r>
              <w:rPr/>
              <w:t>5.0;</w:t>
            </w:r>
            <w:r>
              <w:rPr/>
              <w:t>）</w:t>
            </w:r>
          </w:p>
        </w:tc>
        <w:tc>
          <w:tcPr>
            <w:tcW w:type="dxa" w:w="5076"/>
          </w:tcPr>
          <w:p>
            <w:pPr>
              <w:jc w:val="left"/>
            </w:pPr>
            <w:r>
              <w:rPr/>
              <w:t>针对投标人对青少年、长者、家庭的基础领域的服务计划的详细内容进行评审： （1）涵盖上述所有内容且对项目的服务计划全面、合理可行，能针对重点服务对象和一般服务对象的需要，各个领域服务计划内容能满足采购需求且操作性强，得5分；  （2）涵盖上述所有内容且对项目的服务计划较全面、较合理可行，较能针对重点服务对象和一般服务对象的需要，各个领域服务计划内容较能满足采购需求且具有一定的操作性，得3分；  （3）涵盖上述所有内容但对项目的服务计划基本完整、基本合理可行，基本能针对部分重点服务对象和一般服务对象的需要，各个领域服务计划内容基本能满足采购需求，操作性一般，得2分；   （4）未涵盖上述所有内容且对项目的服务计划不全面、可行性较差，不能针对重点服务对象和一般服务对象的需要，各个领域服务计划内容不能满足采购需求的，得1分；  （5）无或其他不得分。</w:t>
            </w:r>
          </w:p>
        </w:tc>
      </w:tr>
      <w:tr>
        <w:tc>
          <w:tcPr>
            <w:tcW w:type="dxa" w:w="922"/>
            <w:gridSpan w:val="2"/>
            <w:vMerge/>
          </w:tcPr>
          <w:p/>
        </w:tc>
        <w:tc>
          <w:tcPr>
            <w:tcW w:type="dxa" w:w="2307"/>
          </w:tcPr>
          <w:p>
            <w:pPr>
              <w:jc w:val="left"/>
            </w:pPr>
            <w:r>
              <w:rPr/>
              <w:t>志愿服务计划设计方案 (2.0分)</w:t>
            </w:r>
          </w:p>
        </w:tc>
        <w:tc>
          <w:tcPr>
            <w:tcW w:type="dxa" w:w="5076"/>
          </w:tcPr>
          <w:p>
            <w:pPr>
              <w:jc w:val="left"/>
            </w:pPr>
            <w:r>
              <w:rPr/>
              <w:t>评标委员会根据投标人针对采购人社区的发展需要，设计志愿服务计划具体方案进行综合评价，方案应包括（投标文件中方案标题应以下列方案名称命名）： (1)志愿者培育； (2)志愿者组织培育； (3)志愿者骨干培育； (4)志愿者服务项目。 提供全部内容得2分，每缺1项扣0.5分。</w:t>
            </w:r>
          </w:p>
        </w:tc>
      </w:tr>
      <w:tr>
        <w:tc>
          <w:tcPr>
            <w:tcW w:type="dxa" w:w="922"/>
            <w:gridSpan w:val="2"/>
            <w:vMerge/>
          </w:tcPr>
          <w:p/>
        </w:tc>
        <w:tc>
          <w:tcPr>
            <w:tcW w:type="dxa" w:w="2307"/>
          </w:tcPr>
          <w:p>
            <w:pPr>
              <w:jc w:val="left"/>
            </w:pPr>
            <w:r>
              <w:rPr/>
              <w:t>项目计划的专业服务内容要求（2） (3.0分)</w:t>
            </w:r>
            <w:r>
              <w:rPr/>
              <w:t>，（等次分值选择：</w:t>
            </w:r>
            <w:r>
              <w:rPr/>
              <w:t>0.0;</w:t>
            </w:r>
            <w:r>
              <w:rPr/>
              <w:t>1.0;</w:t>
            </w:r>
            <w:r>
              <w:rPr/>
              <w:t>2.0;</w:t>
            </w:r>
            <w:r>
              <w:rPr/>
              <w:t>3.0;</w:t>
            </w:r>
            <w:r>
              <w:rPr/>
              <w:t>）</w:t>
            </w:r>
          </w:p>
        </w:tc>
        <w:tc>
          <w:tcPr>
            <w:tcW w:type="dxa" w:w="5076"/>
          </w:tcPr>
          <w:p>
            <w:pPr>
              <w:jc w:val="left"/>
            </w:pPr>
            <w:r>
              <w:rPr/>
              <w:t>针对采购人社区的发展需要，设计志愿服务计划具体方案的详细内容进行评审： （1）涵盖上述所有内容且对项目的志愿服务计划设计合理、可行，且服务内容设计符合采购需求服务要求，得3分；  （2）涵盖上述所有内容但对项目的志愿者服务计划设计较合理、服务计划较可行，且服务内容设计基本符合采购需求服务要求，得2分；   （3）未涵盖上述所有内容，对项目的志愿者服务计划设计不够合理、可行性较差，且服务内容设计不符合采购需求服务要求，得1分； （4）无或其他不得分。</w:t>
            </w:r>
          </w:p>
        </w:tc>
      </w:tr>
      <w:tr>
        <w:tc>
          <w:tcPr>
            <w:tcW w:type="dxa" w:w="922"/>
            <w:gridSpan w:val="2"/>
            <w:vMerge/>
          </w:tcPr>
          <w:p/>
        </w:tc>
        <w:tc>
          <w:tcPr>
            <w:tcW w:type="dxa" w:w="2307"/>
          </w:tcPr>
          <w:p>
            <w:pPr>
              <w:jc w:val="left"/>
            </w:pPr>
            <w:r>
              <w:rPr/>
              <w:t>项目经费预算保障计划要求1 (1.5分)</w:t>
            </w:r>
          </w:p>
        </w:tc>
        <w:tc>
          <w:tcPr>
            <w:tcW w:type="dxa" w:w="5076"/>
          </w:tcPr>
          <w:p>
            <w:pPr>
              <w:jc w:val="left"/>
            </w:pPr>
            <w:r>
              <w:rPr/>
              <w:t>评标委员会根据投标人提供的项目经费预算保障计划进行综合评价，方案应包括（投标文件中方案标题应以下列方案名称命名）： （1）项目经费使用计划和预算明细； （2）对工作中各项可能的支出； （3）对工作中各项可能的支出。 提供全部内容得1.5分，每缺1项扣0.5分。</w:t>
            </w:r>
          </w:p>
        </w:tc>
      </w:tr>
      <w:tr>
        <w:tc>
          <w:tcPr>
            <w:tcW w:type="dxa" w:w="922"/>
            <w:gridSpan w:val="2"/>
            <w:vMerge/>
          </w:tcPr>
          <w:p/>
        </w:tc>
        <w:tc>
          <w:tcPr>
            <w:tcW w:type="dxa" w:w="2307"/>
          </w:tcPr>
          <w:p>
            <w:pPr>
              <w:jc w:val="left"/>
            </w:pPr>
            <w:r>
              <w:rPr/>
              <w:t>项目经费预算保障计划要求2 (3.5分)</w:t>
            </w:r>
            <w:r>
              <w:rPr/>
              <w:t>，（等次分值选择：</w:t>
            </w:r>
            <w:r>
              <w:rPr/>
              <w:t>0.0;</w:t>
            </w:r>
            <w:r>
              <w:rPr/>
              <w:t>1.0;</w:t>
            </w:r>
            <w:r>
              <w:rPr/>
              <w:t>2.0;</w:t>
            </w:r>
            <w:r>
              <w:rPr/>
              <w:t>3.5;</w:t>
            </w:r>
            <w:r>
              <w:rPr/>
              <w:t>）</w:t>
            </w:r>
          </w:p>
        </w:tc>
        <w:tc>
          <w:tcPr>
            <w:tcW w:type="dxa" w:w="5076"/>
          </w:tcPr>
          <w:p>
            <w:pPr>
              <w:jc w:val="left"/>
            </w:pPr>
            <w:r>
              <w:rPr/>
              <w:t>根据投标人的项目经费预算保障计划要求的详细内容进行评审：  （1）项目经费预算科目清晰，全面考虑了工作中的各项可能性支出，预算明细合理，能够确保项目顺利实施得3.5分；  （2）项目经费预算科目较清晰，考虑了工作中的主要性支出，预算明细较合理，基本能保证项目顺利实施，得2分；  （3）项目经费预算科目不清晰，对工作中的各项主要性支出考虑不够全面，预算明细不够合理，不能保证项目的顺利实施，得1分；  （4）无项目经费预算的，均得0分。</w:t>
            </w:r>
          </w:p>
        </w:tc>
      </w:tr>
      <w:tr>
        <w:tc>
          <w:tcPr>
            <w:tcW w:type="dxa" w:w="922"/>
            <w:gridSpan w:val="2"/>
            <w:vMerge/>
          </w:tcPr>
          <w:p/>
        </w:tc>
        <w:tc>
          <w:tcPr>
            <w:tcW w:type="dxa" w:w="2307"/>
          </w:tcPr>
          <w:p>
            <w:pPr>
              <w:jc w:val="left"/>
            </w:pPr>
            <w:r>
              <w:rPr/>
              <w:t>项目计划实施的制度保障要求1 (2.0分)</w:t>
            </w:r>
          </w:p>
        </w:tc>
        <w:tc>
          <w:tcPr>
            <w:tcW w:type="dxa" w:w="5076"/>
          </w:tcPr>
          <w:p>
            <w:pPr>
              <w:jc w:val="left"/>
            </w:pPr>
            <w:r>
              <w:rPr/>
              <w:t>评标委员会根据投标人提供的项目计划实施的制度保障进行综合评价，方案应包括（投标文件中方案标题应以下列方案名称命名）： （1）员工管理； （2）服务质量管理监测； （3）绩效考核； （4）应急及安全保障制度。 提供全部内容得2分，每缺1项扣0.5分。</w:t>
            </w:r>
          </w:p>
        </w:tc>
      </w:tr>
      <w:tr>
        <w:tc>
          <w:tcPr>
            <w:tcW w:type="dxa" w:w="922"/>
            <w:gridSpan w:val="2"/>
            <w:vMerge/>
          </w:tcPr>
          <w:p/>
        </w:tc>
        <w:tc>
          <w:tcPr>
            <w:tcW w:type="dxa" w:w="2307"/>
          </w:tcPr>
          <w:p>
            <w:pPr>
              <w:jc w:val="left"/>
            </w:pPr>
            <w:r>
              <w:rPr/>
              <w:t>项目计划实施的制度保障要求2 (3.0分)</w:t>
            </w:r>
            <w:r>
              <w:rPr/>
              <w:t>，（等次分值选择：</w:t>
            </w:r>
            <w:r>
              <w:rPr/>
              <w:t>0.0;</w:t>
            </w:r>
            <w:r>
              <w:rPr/>
              <w:t>1.0;</w:t>
            </w:r>
            <w:r>
              <w:rPr/>
              <w:t>2.0;</w:t>
            </w:r>
            <w:r>
              <w:rPr/>
              <w:t>3.0;</w:t>
            </w:r>
            <w:r>
              <w:rPr/>
              <w:t>）</w:t>
            </w:r>
          </w:p>
        </w:tc>
        <w:tc>
          <w:tcPr>
            <w:tcW w:type="dxa" w:w="5076"/>
          </w:tcPr>
          <w:p>
            <w:pPr>
              <w:jc w:val="left"/>
            </w:pPr>
            <w:r>
              <w:rPr/>
              <w:t>根据投标人的项目计划实施的制度保障要求的详细内容进行评审： （1）有系统的服务保障制度，且合理性和可执行性强，得3分；  （2）有较系统的服务保障制度，且具有一定的合理性和可执行性，得2分。  （3）服务保障制度简陋，可执行性较低的，得1分；  （4）无相关服务保障制度的，得0分；</w:t>
            </w:r>
          </w:p>
        </w:tc>
      </w:tr>
      <w:tr>
        <w:tc>
          <w:tcPr>
            <w:tcW w:type="dxa" w:w="922"/>
            <w:gridSpan w:val="2"/>
            <w:vMerge/>
          </w:tcPr>
          <w:p/>
        </w:tc>
        <w:tc>
          <w:tcPr>
            <w:tcW w:type="dxa" w:w="2307"/>
          </w:tcPr>
          <w:p>
            <w:pPr>
              <w:jc w:val="left"/>
            </w:pPr>
            <w:r>
              <w:rPr/>
              <w:t>项目建立内部督导机制 (3.0分)</w:t>
            </w:r>
          </w:p>
        </w:tc>
        <w:tc>
          <w:tcPr>
            <w:tcW w:type="dxa" w:w="5076"/>
          </w:tcPr>
          <w:p>
            <w:pPr>
              <w:jc w:val="left"/>
            </w:pPr>
            <w:r>
              <w:rPr/>
              <w:t>建立内部督导制度，并在所配备的全职社工中，选取1名以上具有5年或以上社工服务经验或社工服务管理经验，具备社会工作师（中级或以上职业水平）的资深社工担任项目内部督导，履行内部督导工作职能；建立内外部双督导联动机制，与外部督导共同做好专业支持和服务保障等督导工作。提供承诺函、督导工作有关制度的，得3分。  注：提供承诺函、督导工作制度有关证明材料，无提供不得分。</w:t>
            </w:r>
          </w:p>
        </w:tc>
      </w:tr>
      <w:tr>
        <w:tc>
          <w:tcPr>
            <w:tcW w:type="dxa" w:w="922"/>
            <w:gridSpan w:val="2"/>
            <w:vMerge/>
          </w:tcPr>
          <w:p/>
        </w:tc>
        <w:tc>
          <w:tcPr>
            <w:tcW w:type="dxa" w:w="2307"/>
          </w:tcPr>
          <w:p>
            <w:pPr>
              <w:jc w:val="left"/>
            </w:pPr>
            <w:r>
              <w:rPr/>
              <w:t>项目服务计划实施的专业研究能力要求 (1.0分)</w:t>
            </w:r>
          </w:p>
        </w:tc>
        <w:tc>
          <w:tcPr>
            <w:tcW w:type="dxa" w:w="5076"/>
          </w:tcPr>
          <w:p>
            <w:pPr>
              <w:jc w:val="left"/>
            </w:pPr>
            <w:r>
              <w:rPr/>
              <w:t>投标人成员2020年以来主持课题或在报刊发表社会工作专业相关研究文章的，每篇得0.5分。最高得1分。 注：提交投标人成员2020年以来在专业实务研究方面的成果资料，包括主持相关课题的证明或在公开刊物上发表的相关文章复印件或媒体刊文截图、复印件。需提交相关证明，未提交的不得分。（投标人成员包括法人、专职理事和专职工作人员。） 提供人员名单、身份证、劳动合同、投标截止之日前6个月内任意一个月的社保证明或单位代缴个税税单复印件并加盖响应供应商公章。</w:t>
            </w:r>
          </w:p>
        </w:tc>
      </w:tr>
      <w:tr>
        <w:tc>
          <w:tcPr>
            <w:tcW w:type="dxa" w:w="922"/>
            <w:gridSpan w:val="2"/>
            <w:vMerge/>
          </w:tcPr>
          <w:p/>
        </w:tc>
        <w:tc>
          <w:tcPr>
            <w:tcW w:type="dxa" w:w="2307"/>
          </w:tcPr>
          <w:p>
            <w:pPr>
              <w:jc w:val="left"/>
            </w:pPr>
            <w:r>
              <w:rPr/>
              <w:t>机构特色服务能力 (8.0分)</w:t>
            </w:r>
            <w:r>
              <w:rPr/>
              <w:t>，（等次分值选择：</w:t>
            </w:r>
            <w:r>
              <w:rPr/>
              <w:t>0.0;</w:t>
            </w:r>
            <w:r>
              <w:rPr/>
              <w:t>1.0;</w:t>
            </w:r>
            <w:r>
              <w:rPr/>
              <w:t>4.0;</w:t>
            </w:r>
            <w:r>
              <w:rPr/>
              <w:t>8.0;</w:t>
            </w:r>
            <w:r>
              <w:rPr/>
              <w:t>）</w:t>
            </w:r>
          </w:p>
        </w:tc>
        <w:tc>
          <w:tcPr>
            <w:tcW w:type="dxa" w:w="5076"/>
          </w:tcPr>
          <w:p>
            <w:pPr>
              <w:jc w:val="left"/>
            </w:pPr>
            <w:r>
              <w:rPr/>
              <w:t>根据投标人提供的特色服务或创新服务方案（结合同和街特点，开展切合同和地区需要的特色服务）进行评审：   （1）特色服务或创新服务设置完全符合采购人需求，且具有较强的操作性和可执行性，得8分。  （2）特色服务或创新服务设置部分符合采购人需求，具有基本的操作性和可执行性，得4分。  （3）特色服务或创新服务设置部分符合采购人需求，操作性和可执行性低，得1分。  （4）特色服务或创新服务设置不符合采购人需求或未提供相关方案的，得0分。</w:t>
            </w:r>
          </w:p>
        </w:tc>
      </w:tr>
      <w:tr>
        <w:tc>
          <w:tcPr>
            <w:tcW w:type="dxa" w:w="922"/>
            <w:gridSpan w:val="2"/>
            <w:vMerge w:val="restart"/>
          </w:tcPr>
          <w:p>
            <w:pPr>
              <w:jc w:val="center"/>
            </w:pPr>
            <w:r>
              <w:rPr/>
              <w:t>商务部分</w:t>
            </w:r>
          </w:p>
        </w:tc>
        <w:tc>
          <w:tcPr>
            <w:tcW w:type="dxa" w:w="2307"/>
          </w:tcPr>
          <w:p>
            <w:pPr>
              <w:jc w:val="left"/>
            </w:pPr>
            <w:r>
              <w:rPr/>
              <w:t>有健全规范的财务管理执行能力 (6.0分)</w:t>
            </w:r>
          </w:p>
        </w:tc>
        <w:tc>
          <w:tcPr>
            <w:tcW w:type="dxa" w:w="5076"/>
          </w:tcPr>
          <w:p>
            <w:pPr>
              <w:jc w:val="left"/>
            </w:pPr>
            <w:r>
              <w:rPr/>
              <w:t>（1）投标人设立独立的财务管理部门或工作机构，得1分。 （2）有财会专业教育背景或持财会职业资格证书的财会人员的会计、出纳人员，且专职的每人得1分，兼职的每人得0.5分，累计最高得2分。但会计和出纳同为一人兼任的或无从业资格证的得0分。  注：提供财会专业学历证书复印件或职业资格证复印件、劳动或聘用合同、身份证、投标截止之日前6个月内任意一个月的社保证明或单位代缴个税税单复印件并加盖投标人公章复印件，无提供不得分。   （3）提供财务管理制度、会计核算制度、资产管理制度，全部提供得3分，每少提供一项扣1分，最低得0分。  注: 提供相关的制度文件，无提供不得分。</w:t>
            </w:r>
          </w:p>
        </w:tc>
      </w:tr>
      <w:tr>
        <w:tc>
          <w:tcPr>
            <w:tcW w:type="dxa" w:w="922"/>
            <w:gridSpan w:val="2"/>
            <w:vMerge/>
          </w:tcPr>
          <w:p/>
        </w:tc>
        <w:tc>
          <w:tcPr>
            <w:tcW w:type="dxa" w:w="2307"/>
          </w:tcPr>
          <w:p>
            <w:pPr>
              <w:jc w:val="left"/>
            </w:pPr>
            <w:r>
              <w:rPr/>
              <w:t>行业公信力和诚信度 (10.0分)</w:t>
            </w:r>
          </w:p>
        </w:tc>
        <w:tc>
          <w:tcPr>
            <w:tcW w:type="dxa" w:w="5076"/>
          </w:tcPr>
          <w:p>
            <w:pPr>
              <w:jc w:val="left"/>
            </w:pPr>
            <w:r>
              <w:rPr/>
              <w:t>（1）投标人自2020年1月1日以来未发生违法、违规问题，未被社工、服务对象、购买方等投诉或举报情况，得10分；   （2）投标人自2020年1月1日以来因有违法、违规问题发生，被社工、服务对象、购买方等投诉或举报在1—2次，并能妥善整改和处理的，得5分；  （3）投标人自2020年1月1日以来因有违法、违规问题发生，被社工、服务对象、购买方等投诉或举报在3次或以上的，得0分。  注：提供社会工作服务投诉监督受理委员会出具的相关证明，开具时间为2023年的即可；无社会工作服务投诉监督受理委员会相关证明的，得0分。</w:t>
            </w:r>
          </w:p>
        </w:tc>
      </w:tr>
      <w:tr>
        <w:tc>
          <w:tcPr>
            <w:tcW w:type="dxa" w:w="922"/>
            <w:gridSpan w:val="2"/>
            <w:vMerge/>
          </w:tcPr>
          <w:p/>
        </w:tc>
        <w:tc>
          <w:tcPr>
            <w:tcW w:type="dxa" w:w="2307"/>
          </w:tcPr>
          <w:p>
            <w:pPr>
              <w:jc w:val="left"/>
            </w:pPr>
            <w:r>
              <w:rPr/>
              <w:t>社会参与及社会资源整合能力1 (4.0分)</w:t>
            </w:r>
          </w:p>
        </w:tc>
        <w:tc>
          <w:tcPr>
            <w:tcW w:type="dxa" w:w="5076"/>
          </w:tcPr>
          <w:p>
            <w:pPr>
              <w:jc w:val="left"/>
            </w:pPr>
            <w:r>
              <w:rPr/>
              <w:t>2020年1月1日至今，投标人获得的各类社会资金支持（仅限于资金支持，不含物资、人力、服务等其他支持）的：  （1）累计10万元（含）以上的，得4分；  （2）累计5万元（含）-10万元（不含）的，得3分；  （3）累计1万元（含）-5万元（不含）的，得2分；   （4）1万元（不含）以下的，得0分。  注：需提交相关资助合同或协议或资助资金发票等证明等材料复印件并加盖投标人公章，不提供不得分。</w:t>
            </w:r>
          </w:p>
        </w:tc>
      </w:tr>
      <w:tr>
        <w:tc>
          <w:tcPr>
            <w:tcW w:type="dxa" w:w="922"/>
            <w:gridSpan w:val="2"/>
            <w:vMerge/>
          </w:tcPr>
          <w:p/>
        </w:tc>
        <w:tc>
          <w:tcPr>
            <w:tcW w:type="dxa" w:w="2307"/>
          </w:tcPr>
          <w:p>
            <w:pPr>
              <w:jc w:val="left"/>
            </w:pPr>
            <w:r>
              <w:rPr/>
              <w:t>社会参与及资源整合能力2 (2.0分)</w:t>
            </w:r>
          </w:p>
        </w:tc>
        <w:tc>
          <w:tcPr>
            <w:tcW w:type="dxa" w:w="5076"/>
          </w:tcPr>
          <w:p>
            <w:pPr>
              <w:jc w:val="left"/>
            </w:pPr>
            <w:r>
              <w:rPr/>
              <w:t>投标人自2020年1月1日以来的社会参与能力表现情况，投标人能积极参与政府部门举办的慈展会、公益创投等社会公益活动的，每参加1次得1分，最高得2分。</w:t>
            </w:r>
          </w:p>
        </w:tc>
      </w:tr>
      <w:tr>
        <w:tc>
          <w:tcPr>
            <w:tcW w:type="dxa" w:w="922"/>
            <w:gridSpan w:val="2"/>
            <w:vMerge/>
          </w:tcPr>
          <w:p/>
        </w:tc>
        <w:tc>
          <w:tcPr>
            <w:tcW w:type="dxa" w:w="2307"/>
          </w:tcPr>
          <w:p>
            <w:pPr>
              <w:jc w:val="left"/>
            </w:pPr>
            <w:r>
              <w:rPr/>
              <w:t>项目实施的专业能力要求 (3.0分)</w:t>
            </w:r>
          </w:p>
        </w:tc>
        <w:tc>
          <w:tcPr>
            <w:tcW w:type="dxa" w:w="5076"/>
          </w:tcPr>
          <w:p>
            <w:pPr>
              <w:jc w:val="left"/>
            </w:pPr>
            <w:r>
              <w:rPr/>
              <w:t>投标人2020年1月1日以来运用个案、小组、社区等社会工作专业方法提供服务获得政府部门或行业组织评选为优秀案例或入选公开出版发行的专业刊物（教材）的，分别提供个案、小组、社区案例，每提供一个案例得1分，最高得3分。 注：如获奖或入选刊物（教材）的，需提供获奖或入选刊物的服务案例记录复印件；获奖证书或文件/入选刊物的截图或照片资料或稿费单据复印件。和需同时提供，不提供不得分。</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投标人自2020年1月1日至投标截止日前承接过同类项目；每承接过1个项目的得1分，最高得5分。（项目年度协议结束日期在2020年1月1日以后的，可认定为有效项目经验）   注：①提交相关项目的名单列表；②所列单个项目的年度末期评估报告或项目验收合格证明资料；③业绩情况属实的承诺函。 以上①-③项材料缺一不可，否则得0分。“同类项目”包括所承接的政府购买社工服务项目和非政府购买的社工服务项目，且不限于社工站或家庭综合服务中心项目。</w:t>
            </w:r>
          </w:p>
        </w:tc>
      </w:tr>
      <w:tr>
        <w:tc>
          <w:tcPr>
            <w:tcW w:type="dxa" w:w="922"/>
            <w:gridSpan w:val="2"/>
            <w:vMerge/>
          </w:tcPr>
          <w:p/>
        </w:tc>
        <w:tc>
          <w:tcPr>
            <w:tcW w:type="dxa" w:w="2307"/>
          </w:tcPr>
          <w:p>
            <w:pPr>
              <w:jc w:val="left"/>
            </w:pPr>
            <w:r>
              <w:rPr/>
              <w:t>项目运营评价情况 (5.0分)</w:t>
            </w:r>
          </w:p>
        </w:tc>
        <w:tc>
          <w:tcPr>
            <w:tcW w:type="dxa" w:w="5076"/>
          </w:tcPr>
          <w:p>
            <w:pPr>
              <w:jc w:val="left"/>
            </w:pPr>
            <w:r>
              <w:rPr/>
              <w:t>自2020年1月1日以来所承接的同类项目（与同类项目业绩对应）年度评估情况：年度末期评估为优秀的，每个得1分；年度末期评估为良好的，每个得0.5分；年度末期评估为合格的，每个得0.1分；年度末期评估为不合格的，每个得0分。本项累计得分最高为5分。  注：提供所列单个项目的年度末期评估报告，无提供不得分。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统一采用量多优先法计算，即按采购文件要求且计划投入本项目的服务总工时数量最多的为评审基准工时，其服务总工时评审为满分。其他投标人服务总工时分统一按照下列公式计算：响应服务总工时得分=（投入本项目的服务总工时量÷评审基准工时）×10。  评审过程中，不得去掉最高服务总工时和最低服务总工时。  因落实政府采购政策进行工时调整的，以调整后的评审基准工时和响应服务总工时为准。</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r>
        <w:rPr>
          <w:b/>
          <w:sz w:val="21"/>
        </w:rPr>
        <w:t xml:space="preserve"> </w:t>
      </w:r>
    </w:p>
    <w:p>
      <w:pPr>
        <w:ind w:firstLine="211"/>
        <w:jc w:val="left"/>
      </w:pPr>
      <w:r>
        <w:rPr/>
        <w:t xml:space="preserve"> </w:t>
      </w: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ind w:firstLine="420"/>
        <w:jc w:val="both"/>
      </w:pPr>
    </w:p>
    <w:p>
      <w:pPr>
        <w:jc w:val="center"/>
      </w:pPr>
      <w:r>
        <w:rPr>
          <w:color w:val="000000"/>
          <w:sz w:val="44"/>
        </w:rPr>
        <w:t>广州市白云区人民政府同和街道办事处社工站购买服务项目</w:t>
      </w:r>
    </w:p>
    <w:p>
      <w:pPr>
        <w:jc w:val="center"/>
      </w:pPr>
      <w:r>
        <w:rPr>
          <w:color w:val="000000"/>
          <w:sz w:val="44"/>
        </w:rPr>
        <w:t>协议</w:t>
      </w:r>
    </w:p>
    <w:p>
      <w:pPr>
        <w:jc w:val="center"/>
      </w:pPr>
      <w:r>
        <w:rPr/>
        <w:t xml:space="preserve"> </w:t>
      </w:r>
    </w:p>
    <w:p>
      <w:pPr>
        <w:jc w:val="both"/>
      </w:pPr>
    </w:p>
    <w:p>
      <w:pPr>
        <w:jc w:val="left"/>
      </w:pPr>
      <w:r>
        <w:rPr>
          <w:sz w:val="32"/>
        </w:rPr>
        <w:t>甲方（服务购买方）：广州市白云区人民政府同和街道办事处</w:t>
      </w:r>
    </w:p>
    <w:p>
      <w:pPr>
        <w:jc w:val="left"/>
      </w:pPr>
      <w:r>
        <w:rPr>
          <w:sz w:val="32"/>
        </w:rPr>
        <w:t>乙方（服务提供方）：</w:t>
      </w:r>
    </w:p>
    <w:p>
      <w:pPr>
        <w:jc w:val="both"/>
      </w:pPr>
    </w:p>
    <w:p>
      <w:pPr>
        <w:ind w:firstLine="640"/>
        <w:jc w:val="both"/>
      </w:pPr>
      <w:r>
        <w:rPr>
          <w:sz w:val="32"/>
        </w:rPr>
        <w:t>根据《中华人民共和国民法典》《中华人民共和国政府采购法》《广州市社工服务站管理办法》（以下简称《办法》）等相关法律法规，按照采购规定流程，确定乙方</w:t>
      </w:r>
      <w:r>
        <w:rPr>
          <w:sz w:val="32"/>
        </w:rPr>
        <w:t>xxxxxxxx承接运营</w:t>
      </w:r>
      <w:r>
        <w:rPr>
          <w:sz w:val="32"/>
          <w:u w:val="single"/>
        </w:rPr>
        <w:t>广州市白云区人民政府同和街道办事处社工站购买服务项目</w:t>
      </w:r>
      <w:r>
        <w:rPr>
          <w:sz w:val="32"/>
        </w:rPr>
        <w:t>，本着平等、自愿、公平和诚实守信的原则，经甲、乙双方协商一致达成如下协议：</w:t>
      </w:r>
    </w:p>
    <w:p>
      <w:pPr>
        <w:ind w:firstLine="640"/>
        <w:jc w:val="both"/>
      </w:pPr>
      <w:r>
        <w:rPr>
          <w:sz w:val="32"/>
        </w:rPr>
        <w:t>一、服务期限</w:t>
      </w:r>
    </w:p>
    <w:p>
      <w:pPr>
        <w:ind w:firstLine="640"/>
        <w:jc w:val="both"/>
      </w:pPr>
      <w:r>
        <w:rPr>
          <w:sz w:val="32"/>
        </w:rPr>
        <w:t>项目采购周期为</w:t>
      </w:r>
      <w:r>
        <w:rPr>
          <w:sz w:val="32"/>
        </w:rPr>
        <w:t>2.5年（2023年12月1日至2026年5月31日），项目协议按年度签订。本协议服务期限为一年，从</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日至</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日止。</w:t>
      </w:r>
    </w:p>
    <w:p>
      <w:pPr>
        <w:ind w:firstLine="640"/>
        <w:jc w:val="both"/>
      </w:pPr>
      <w:r>
        <w:rPr>
          <w:sz w:val="32"/>
        </w:rPr>
        <w:t>二、服务要求</w:t>
      </w:r>
    </w:p>
    <w:p>
      <w:pPr>
        <w:ind w:firstLine="643"/>
        <w:jc w:val="both"/>
      </w:pPr>
      <w:r>
        <w:rPr>
          <w:b/>
          <w:sz w:val="32"/>
        </w:rPr>
        <w:t>（一）服务目标。</w:t>
      </w:r>
      <w:r>
        <w:rPr>
          <w:sz w:val="32"/>
        </w:rPr>
        <w:t>主要以社会工作服务为主体，综合运用社会工作服务专业知识、方法和技能，为困难群众和特殊群体等提供兜底民生服务以及参与社区治理服务的平台，实现困难群众和特殊群众社会工作服务</w:t>
      </w:r>
      <w:r>
        <w:rPr>
          <w:sz w:val="32"/>
        </w:rPr>
        <w:t>100%覆盖。</w:t>
      </w:r>
    </w:p>
    <w:p>
      <w:pPr>
        <w:ind w:firstLine="643"/>
        <w:jc w:val="both"/>
      </w:pPr>
      <w:r>
        <w:rPr>
          <w:b/>
          <w:sz w:val="32"/>
        </w:rPr>
        <w:t>（二）服务内容。</w:t>
      </w:r>
      <w:r>
        <w:rPr>
          <w:sz w:val="32"/>
        </w:rPr>
        <w:t>乙方需结合实际，加强与</w:t>
      </w:r>
      <w:r>
        <w:rPr>
          <w:sz w:val="32"/>
        </w:rPr>
        <w:t>“双百工程”社工站直聘社工的服务协同与合作，制定项目需求、服务计划、服务指标等，提交甲方确认后严格执行。其中量化服务指标总工时不得低于成交工时数</w:t>
      </w:r>
      <w:r>
        <w:rPr>
          <w:sz w:val="21"/>
          <w:u w:val="single"/>
        </w:rPr>
        <w:t xml:space="preserve">      </w:t>
      </w:r>
      <w:r>
        <w:rPr>
          <w:sz w:val="32"/>
        </w:rPr>
        <w:t>小时（志愿者以志愿服务形式提供的服务工时不计入在内）。具体提供以下服务内容：</w:t>
      </w:r>
    </w:p>
    <w:p>
      <w:pPr>
        <w:ind w:firstLine="640"/>
        <w:jc w:val="both"/>
      </w:pPr>
      <w:r>
        <w:rPr>
          <w:sz w:val="32"/>
        </w:rPr>
        <w:t>1.宣传总书记关于民生保障的重要论述精神、党和政府的民生保障政策；</w:t>
      </w:r>
    </w:p>
    <w:p>
      <w:pPr>
        <w:ind w:firstLine="640"/>
        <w:jc w:val="both"/>
      </w:pPr>
      <w:r>
        <w:rPr>
          <w:sz w:val="32"/>
        </w:rPr>
        <w:t>2.为困难群众和特殊群体统筹提供协助政策落实、心理疏导、资源链接、能力提升、社会融入等社会工作专业服务；</w:t>
      </w:r>
    </w:p>
    <w:p>
      <w:pPr>
        <w:ind w:firstLine="640"/>
        <w:jc w:val="both"/>
      </w:pPr>
      <w:r>
        <w:rPr>
          <w:sz w:val="32"/>
        </w:rPr>
        <w:t>3.驻扎社区，结合村（居）委和社区群众对社会工作服务的需求，发展社区社会组织，动员社区志愿者参与服务，链接整合社区公益慈善资源，建立健全社区、社会组织、社会工作者、社区志愿者、社会慈善资源“五社联动”机制，全面激发社区活力，推动社区治理专业化、精细化；</w:t>
      </w:r>
    </w:p>
    <w:p>
      <w:pPr>
        <w:ind w:firstLine="640"/>
        <w:jc w:val="both"/>
      </w:pPr>
      <w:r>
        <w:rPr>
          <w:sz w:val="32"/>
        </w:rPr>
        <w:t>4.积极参与粤港澳大湾区社会工作合作交流，探索创新服务模式；</w:t>
      </w:r>
    </w:p>
    <w:p>
      <w:pPr>
        <w:ind w:firstLine="640"/>
        <w:jc w:val="both"/>
      </w:pPr>
      <w:r>
        <w:rPr>
          <w:sz w:val="32"/>
        </w:rPr>
        <w:t>5.完成甲方交办的其他民生服务工作。</w:t>
      </w:r>
    </w:p>
    <w:p>
      <w:pPr>
        <w:ind w:firstLine="643"/>
        <w:jc w:val="both"/>
      </w:pPr>
      <w:r>
        <w:rPr>
          <w:b/>
          <w:sz w:val="32"/>
        </w:rPr>
        <w:t>（三）服务人员</w:t>
      </w:r>
      <w:r>
        <w:rPr>
          <w:sz w:val="32"/>
        </w:rPr>
        <w:t>。根据《办法》要求，原则上按每年</w:t>
      </w:r>
      <w:r>
        <w:rPr>
          <w:sz w:val="32"/>
        </w:rPr>
        <w:t>12万元/名的标准配备</w:t>
      </w:r>
      <w:r>
        <w:rPr>
          <w:sz w:val="21"/>
          <w:u w:val="single"/>
        </w:rPr>
        <w:t xml:space="preserve">   </w:t>
      </w:r>
      <w:r>
        <w:rPr>
          <w:sz w:val="32"/>
        </w:rPr>
        <w:t>名全职社工，机构管理人员、财务人员、行政、保洁、安保等人员不得占用社工名额。项目采购服务周期内应当逐年提高持证社工比例，本协议年度持证社工比例应当不低于</w:t>
      </w:r>
      <w:r>
        <w:rPr>
          <w:sz w:val="21"/>
          <w:u w:val="single"/>
        </w:rPr>
        <w:t xml:space="preserve">   </w:t>
      </w:r>
      <w:r>
        <w:rPr>
          <w:sz w:val="32"/>
        </w:rPr>
        <w:t>（第一年持证社工比例应当不低于</w:t>
      </w:r>
      <w:r>
        <w:rPr>
          <w:sz w:val="32"/>
        </w:rPr>
        <w:t>1/2，第三年持证社工比例应当不低于2/3）。</w:t>
      </w:r>
    </w:p>
    <w:p>
      <w:pPr>
        <w:ind w:firstLine="643"/>
        <w:jc w:val="both"/>
      </w:pPr>
      <w:r>
        <w:rPr>
          <w:b/>
          <w:sz w:val="32"/>
        </w:rPr>
        <w:t>三、项目经费及拨付事宜</w:t>
      </w:r>
    </w:p>
    <w:p>
      <w:pPr>
        <w:ind w:firstLine="640"/>
        <w:jc w:val="both"/>
      </w:pPr>
      <w:r>
        <w:rPr>
          <w:sz w:val="32"/>
        </w:rPr>
        <w:t>（一）经费总额：人民币</w:t>
      </w:r>
      <w:r>
        <w:rPr>
          <w:sz w:val="32"/>
        </w:rPr>
        <w:t>240万元（大写：人民币贰佰肆拾万元整），含人员费用、服务质量保障费用及承接机构管理费用。</w:t>
      </w:r>
    </w:p>
    <w:p>
      <w:pPr>
        <w:ind w:firstLine="640"/>
        <w:jc w:val="both"/>
      </w:pPr>
      <w:r>
        <w:rPr>
          <w:sz w:val="32"/>
        </w:rPr>
        <w:t>（二）项目经费支付方式</w:t>
      </w:r>
    </w:p>
    <w:p>
      <w:pPr>
        <w:ind w:firstLine="640"/>
        <w:jc w:val="both"/>
      </w:pPr>
      <w:r>
        <w:rPr>
          <w:sz w:val="32"/>
        </w:rPr>
        <w:t>（一）</w:t>
      </w:r>
      <w:r>
        <w:rPr>
          <w:sz w:val="32"/>
        </w:rPr>
        <w:t>2023年12月1日至2025年11月30日项目经费（240万元/年）支付方式：</w:t>
      </w:r>
    </w:p>
    <w:p>
      <w:pPr>
        <w:ind w:firstLine="640"/>
        <w:jc w:val="both"/>
      </w:pPr>
      <w:r>
        <w:rPr>
          <w:sz w:val="32"/>
        </w:rPr>
        <w:t>1.根据合同约定的方式分期拨付，依照广州市社工服务站管理有关规定执行。</w:t>
      </w:r>
    </w:p>
    <w:p>
      <w:pPr>
        <w:ind w:firstLine="640"/>
        <w:jc w:val="both"/>
      </w:pPr>
      <w:r>
        <w:rPr>
          <w:sz w:val="32"/>
        </w:rPr>
        <w:t>2.第一期：甲方和乙方签订采购合同后，根据采购合同约定每年进行服务协议签订。在年度服务协议生效之日起30个工作日内向乙方拨付年度项目经费总额的55%，即人民币132万元；第二期：年度中期评估为合格以上的，自申请之日起30个工作日内拨付年度项目经费总额的40％，即人民币96万元；第三期：年度末期评估为合格以上的，自申请之日起30个工作日内拨付年度项目经费总额的5％，即人民币12万元。若中期评估或末期评估认为可以整改合格的，乙方应根据中期或末期评估意见进行整改，整改后，评估结果为合格的，自申请之日起30个工作日内拨付剩余项目经费；若中期评估或末期评估结果为不合格的，对应的项目中期经费或项目末期经费不予支付并终止合同。</w:t>
      </w:r>
    </w:p>
    <w:p>
      <w:pPr>
        <w:ind w:firstLine="640"/>
        <w:jc w:val="both"/>
      </w:pPr>
      <w:r>
        <w:rPr>
          <w:sz w:val="32"/>
        </w:rPr>
        <w:t>（二）</w:t>
      </w:r>
      <w:r>
        <w:rPr>
          <w:sz w:val="32"/>
        </w:rPr>
        <w:t>2025年12月1日至2026年5月31日项目经费（120万元）支付方式：</w:t>
      </w:r>
    </w:p>
    <w:p>
      <w:pPr>
        <w:ind w:firstLine="640"/>
        <w:jc w:val="both"/>
      </w:pPr>
      <w:r>
        <w:rPr>
          <w:sz w:val="32"/>
        </w:rPr>
        <w:t>1.根据合同约定的方式分期拨付，依照广州市社工服务站管理有关规定执行。</w:t>
      </w:r>
    </w:p>
    <w:p>
      <w:pPr>
        <w:ind w:firstLine="640"/>
        <w:jc w:val="both"/>
      </w:pPr>
      <w:r>
        <w:rPr>
          <w:sz w:val="32"/>
        </w:rPr>
        <w:t>2.第一期：甲方和乙方签订采购合同后，根据采购合同约定每年进行服务协议签订。在年度服务协议生效之日起30个工作日内向乙方拨付年度项目经费总额的55%，即人民币66万元；第二期：年度中期评估为合格以上的，自申请之日起30个工作日内拨付年度项目经费总额的45％，即人民币54万元。若中期评估认为可以整改合格的，乙方应根据中期评估意见进行整改，整改后，评估结果为合格的，自申请之日起30个工作日内拨付剩余项目经费；若中期评估结果为不合格的，项目中期经费不予支付。</w:t>
      </w:r>
    </w:p>
    <w:p>
      <w:pPr>
        <w:ind w:firstLine="640"/>
        <w:jc w:val="both"/>
      </w:pPr>
      <w:r>
        <w:rPr>
          <w:sz w:val="32"/>
        </w:rPr>
        <w:t>（三）拨付流程：</w:t>
      </w:r>
    </w:p>
    <w:p>
      <w:pPr>
        <w:ind w:firstLine="640"/>
        <w:jc w:val="both"/>
      </w:pPr>
      <w:r>
        <w:rPr>
          <w:sz w:val="32"/>
        </w:rPr>
        <w:t>1.第一期项目经费拨付：自协议签订生效之日起3个工作日内，乙方提供拨款申请材料（包括但不限于本协议复印件、经甲方确认的项目服务计划、等额发票以及拨款申请表等）给甲方审核通过后，由甲方负责提交白云区财政局申请经费拨付。</w:t>
      </w:r>
    </w:p>
    <w:p>
      <w:pPr>
        <w:ind w:firstLine="640"/>
        <w:jc w:val="both"/>
      </w:pPr>
      <w:r>
        <w:rPr>
          <w:sz w:val="32"/>
        </w:rPr>
        <w:t>2.第二（三）期项目经费拨付：年度中期（末期）评估后，乙方提供拨款申请材料（包括但不限于本协议复印件、中期（末期）评估报告复印件（盖机构公章）、等额发票以及拨款申请表等）给甲方审核通过后，由甲方负责提交白云区财政局申请经费拨付。</w:t>
      </w:r>
    </w:p>
    <w:p>
      <w:pPr>
        <w:ind w:firstLine="640"/>
        <w:jc w:val="both"/>
      </w:pPr>
      <w:r>
        <w:rPr>
          <w:sz w:val="32"/>
        </w:rPr>
        <w:t>3.每期经费拨付在30个工作日内 完成，并及时将有关情况报给白云区民政局。</w:t>
      </w:r>
    </w:p>
    <w:p>
      <w:pPr>
        <w:ind w:firstLine="640"/>
        <w:jc w:val="both"/>
      </w:pPr>
      <w:r>
        <w:rPr>
          <w:color w:val="000000"/>
          <w:sz w:val="32"/>
        </w:rPr>
        <w:t>（四）乙方指定如下账户为其合法有效的收款账户：</w:t>
      </w:r>
    </w:p>
    <w:p>
      <w:pPr>
        <w:ind w:firstLine="640"/>
        <w:jc w:val="both"/>
      </w:pPr>
      <w:r>
        <w:rPr>
          <w:color w:val="000000"/>
          <w:sz w:val="32"/>
        </w:rPr>
        <w:t>开户银行：</w:t>
      </w:r>
      <w:r>
        <w:rPr>
          <w:sz w:val="21"/>
          <w:u w:val="single"/>
        </w:rPr>
        <w:t xml:space="preserve">                             </w:t>
      </w:r>
    </w:p>
    <w:p>
      <w:pPr>
        <w:ind w:firstLine="640"/>
        <w:jc w:val="both"/>
      </w:pPr>
      <w:r>
        <w:rPr>
          <w:color w:val="000000"/>
          <w:sz w:val="32"/>
        </w:rPr>
        <w:t>账户名称：</w:t>
      </w:r>
      <w:r>
        <w:rPr>
          <w:sz w:val="21"/>
          <w:u w:val="single"/>
        </w:rPr>
        <w:t xml:space="preserve">                             </w:t>
      </w:r>
    </w:p>
    <w:p>
      <w:pPr>
        <w:ind w:firstLine="640"/>
        <w:jc w:val="both"/>
      </w:pPr>
      <w:r>
        <w:rPr>
          <w:color w:val="000000"/>
          <w:sz w:val="32"/>
        </w:rPr>
        <w:t>银行账号</w:t>
      </w:r>
      <w:r>
        <w:rPr>
          <w:color w:val="000000"/>
          <w:sz w:val="32"/>
        </w:rPr>
        <w:t>:</w:t>
      </w:r>
      <w:r>
        <w:rPr>
          <w:sz w:val="21"/>
          <w:u w:val="single"/>
        </w:rPr>
        <w:t xml:space="preserve">                             </w:t>
      </w:r>
    </w:p>
    <w:p>
      <w:pPr>
        <w:ind w:firstLine="640"/>
        <w:jc w:val="both"/>
      </w:pPr>
      <w:r>
        <w:rPr>
          <w:color w:val="000000"/>
          <w:sz w:val="32"/>
        </w:rPr>
        <w:t>(</w:t>
      </w:r>
      <w:r>
        <w:rPr>
          <w:color w:val="000000"/>
          <w:sz w:val="32"/>
        </w:rPr>
        <w:t>五）</w:t>
      </w:r>
      <w:r>
        <w:rPr>
          <w:color w:val="000000"/>
          <w:sz w:val="32"/>
        </w:rPr>
        <w:t>乙方应严格按照《办法》规定规范使用项目经费，人员费用应当不低于项目经费总额的</w:t>
      </w:r>
      <w:r>
        <w:rPr>
          <w:color w:val="000000"/>
          <w:sz w:val="32"/>
        </w:rPr>
        <w:t>80%，服务质量保障费用及承接机构管理费用应当不高于项目经费总额的20%，其中，乙方管理费用应当不高于项目经费总额的10%。甲方及所在区民政局或其他有关主管部门有权委托第三方对乙方使用经费情况进行财务审计、财务评估等。</w:t>
      </w:r>
    </w:p>
    <w:p>
      <w:pPr>
        <w:ind w:firstLine="643"/>
        <w:jc w:val="both"/>
      </w:pPr>
      <w:r>
        <w:rPr>
          <w:b/>
          <w:color w:val="000000"/>
          <w:sz w:val="32"/>
        </w:rPr>
        <w:t>四、甲方权利和义务</w:t>
      </w:r>
    </w:p>
    <w:p>
      <w:pPr>
        <w:ind w:firstLine="640"/>
        <w:jc w:val="both"/>
      </w:pPr>
      <w:r>
        <w:rPr>
          <w:color w:val="000000"/>
          <w:sz w:val="32"/>
        </w:rPr>
        <w:t>（一）</w:t>
      </w:r>
      <w:r>
        <w:rPr>
          <w:color w:val="000000"/>
          <w:sz w:val="32"/>
        </w:rPr>
        <w:t>对乙方开展服务进行日常监督指导，安排专人跟进项目事宜，定期或不定期检查乙方服务开展、资金使用及项目运营管理情况，并提出指导意见。</w:t>
      </w:r>
    </w:p>
    <w:p>
      <w:pPr>
        <w:ind w:firstLine="640"/>
        <w:jc w:val="both"/>
      </w:pPr>
      <w:r>
        <w:rPr>
          <w:color w:val="000000"/>
          <w:sz w:val="32"/>
        </w:rPr>
        <w:t>（二）</w:t>
      </w:r>
      <w:r>
        <w:rPr>
          <w:color w:val="000000"/>
          <w:sz w:val="32"/>
        </w:rPr>
        <w:t>对乙方不履行协议、不正确履行协议、不完全履行协议等行为，有权要求乙方立即更正，及时采取补救措施。</w:t>
      </w:r>
    </w:p>
    <w:p>
      <w:pPr>
        <w:ind w:firstLine="640"/>
        <w:jc w:val="both"/>
      </w:pPr>
      <w:r>
        <w:rPr>
          <w:color w:val="000000"/>
          <w:sz w:val="32"/>
        </w:rPr>
        <w:t>（三）</w:t>
      </w:r>
      <w:r>
        <w:rPr>
          <w:color w:val="000000"/>
          <w:sz w:val="32"/>
        </w:rPr>
        <w:t>为项目提供必要的办公及服务场地、办公设施设备等，并负责场地装修、维护、设施设备更新等，所需费用纳入区级财政预算，由甲方统筹办理。</w:t>
      </w:r>
    </w:p>
    <w:p>
      <w:pPr>
        <w:ind w:firstLine="640"/>
        <w:jc w:val="both"/>
      </w:pPr>
      <w:r>
        <w:rPr>
          <w:color w:val="000000"/>
          <w:sz w:val="32"/>
        </w:rPr>
        <w:t>（四）</w:t>
      </w:r>
      <w:r>
        <w:rPr>
          <w:color w:val="000000"/>
          <w:sz w:val="32"/>
        </w:rPr>
        <w:t>为乙方开展服务提供必要的协助及便利，包括业务指导和特定技术支持、有关情况及信息资料提供、乙方社工出入有关部门及场所的便利等。</w:t>
      </w:r>
    </w:p>
    <w:p>
      <w:pPr>
        <w:ind w:firstLine="640"/>
        <w:jc w:val="both"/>
      </w:pPr>
      <w:r>
        <w:rPr>
          <w:color w:val="000000"/>
          <w:sz w:val="32"/>
        </w:rPr>
        <w:t>（五）</w:t>
      </w:r>
      <w:r>
        <w:rPr>
          <w:color w:val="000000"/>
          <w:sz w:val="32"/>
        </w:rPr>
        <w:t>主持召开每月不少于</w:t>
      </w:r>
      <w:r>
        <w:rPr>
          <w:color w:val="000000"/>
          <w:sz w:val="32"/>
        </w:rPr>
        <w:t>1次的甲乙双方沟通会议，了解项目进展情况，协调解决项目推进过程中遇到的困难和问题，促进服务开展及社区问题解决。</w:t>
      </w:r>
    </w:p>
    <w:p>
      <w:pPr>
        <w:ind w:firstLine="640"/>
        <w:jc w:val="both"/>
      </w:pPr>
      <w:r>
        <w:rPr>
          <w:color w:val="000000"/>
          <w:sz w:val="32"/>
        </w:rPr>
        <w:t>（六）</w:t>
      </w:r>
      <w:r>
        <w:rPr>
          <w:color w:val="000000"/>
          <w:sz w:val="32"/>
        </w:rPr>
        <w:t>协调区民政局、第三方评估机构开展项目中、末期评估，协调区财政部门支付相关款项。</w:t>
      </w:r>
    </w:p>
    <w:p>
      <w:pPr>
        <w:ind w:firstLine="640"/>
        <w:jc w:val="both"/>
      </w:pPr>
      <w:r>
        <w:rPr>
          <w:color w:val="000000"/>
          <w:sz w:val="32"/>
        </w:rPr>
        <w:t>（七）</w:t>
      </w:r>
      <w:r>
        <w:rPr>
          <w:color w:val="000000"/>
          <w:sz w:val="32"/>
        </w:rPr>
        <w:t>如因采购期满重新招标或采购期内中止合同等因素更换承接机构的，应当妥当协调新旧机构交接，稳定社工队伍，平稳过渡。</w:t>
      </w:r>
    </w:p>
    <w:p>
      <w:pPr>
        <w:ind w:firstLine="321"/>
        <w:jc w:val="both"/>
      </w:pPr>
      <w:r>
        <w:rPr>
          <w:b/>
          <w:color w:val="000000"/>
          <w:sz w:val="32"/>
        </w:rPr>
        <w:t>五、</w:t>
      </w:r>
      <w:r>
        <w:rPr>
          <w:b/>
          <w:color w:val="000000"/>
          <w:sz w:val="32"/>
        </w:rPr>
        <w:t>乙方权利和义务</w:t>
      </w:r>
    </w:p>
    <w:p>
      <w:pPr>
        <w:ind w:firstLine="640"/>
        <w:jc w:val="both"/>
      </w:pPr>
      <w:r>
        <w:rPr>
          <w:color w:val="000000"/>
          <w:sz w:val="32"/>
        </w:rPr>
        <w:t>（一）</w:t>
      </w:r>
      <w:r>
        <w:rPr>
          <w:color w:val="000000"/>
          <w:sz w:val="32"/>
        </w:rPr>
        <w:t>按本协议规定获得项目经费。</w:t>
      </w:r>
    </w:p>
    <w:p>
      <w:pPr>
        <w:ind w:firstLine="640"/>
        <w:jc w:val="both"/>
      </w:pPr>
      <w:r>
        <w:rPr>
          <w:color w:val="000000"/>
          <w:sz w:val="32"/>
        </w:rPr>
        <w:t>（二）</w:t>
      </w:r>
      <w:r>
        <w:rPr>
          <w:color w:val="000000"/>
          <w:sz w:val="32"/>
        </w:rPr>
        <w:t>为完成本项目，保证服务质量，可以要求甲方给予必要的支持。</w:t>
      </w:r>
    </w:p>
    <w:p>
      <w:pPr>
        <w:ind w:firstLine="640"/>
        <w:jc w:val="both"/>
      </w:pPr>
      <w:r>
        <w:rPr>
          <w:color w:val="000000"/>
          <w:sz w:val="32"/>
        </w:rPr>
        <w:t>（三）</w:t>
      </w:r>
      <w:r>
        <w:rPr>
          <w:color w:val="000000"/>
          <w:sz w:val="32"/>
        </w:rPr>
        <w:t>按要求配置足够的、符合条件的专职社工，组织社工开展专业服务，为社工提供业务培训等支持，接受</w:t>
      </w:r>
      <w:r>
        <w:rPr>
          <w:color w:val="000000"/>
          <w:sz w:val="32"/>
        </w:rPr>
        <w:t>“双百工程”督导中心专职督导人员的督导，并建立人员薪酬调节机制和绩效考核机制，确保社工队伍稳定。</w:t>
      </w:r>
    </w:p>
    <w:p>
      <w:pPr>
        <w:ind w:firstLine="640"/>
        <w:jc w:val="both"/>
      </w:pPr>
      <w:r>
        <w:rPr>
          <w:color w:val="000000"/>
          <w:sz w:val="32"/>
        </w:rPr>
        <w:t>（四）</w:t>
      </w:r>
      <w:r>
        <w:rPr>
          <w:color w:val="000000"/>
          <w:sz w:val="32"/>
        </w:rPr>
        <w:t>建立本项目内部督导制度，在所配备的全职社工中选取</w:t>
      </w:r>
      <w:r>
        <w:rPr>
          <w:color w:val="000000"/>
          <w:sz w:val="32"/>
        </w:rPr>
        <w:t>1名以上资深社工担任项目内部督导，履行内部督导工作职能；建立内外部双督导联动机制，与外部督导共同做好专业支持和服务保障等工作。</w:t>
      </w:r>
    </w:p>
    <w:p>
      <w:pPr>
        <w:ind w:firstLine="640"/>
        <w:jc w:val="both"/>
      </w:pPr>
      <w:r>
        <w:rPr>
          <w:color w:val="000000"/>
          <w:sz w:val="32"/>
        </w:rPr>
        <w:t>（五）</w:t>
      </w:r>
      <w:r>
        <w:rPr>
          <w:color w:val="000000"/>
          <w:sz w:val="32"/>
        </w:rPr>
        <w:t>按照《办法》等有关文件规定以及本协议约定落实服务任务。</w:t>
      </w:r>
    </w:p>
    <w:p>
      <w:pPr>
        <w:ind w:firstLine="640"/>
        <w:jc w:val="both"/>
      </w:pPr>
      <w:r>
        <w:rPr>
          <w:color w:val="000000"/>
          <w:sz w:val="32"/>
        </w:rPr>
        <w:t>（六）</w:t>
      </w:r>
      <w:r>
        <w:rPr>
          <w:color w:val="000000"/>
          <w:sz w:val="32"/>
        </w:rPr>
        <w:t>定期向街道办、民政部门报告项目实施情况，每个月</w:t>
      </w:r>
      <w:r>
        <w:rPr>
          <w:color w:val="000000"/>
          <w:sz w:val="32"/>
        </w:rPr>
        <w:t>10号前向甲方报告工作人员配置、服务开展、资金使用等情况。接受所在区民政局组织的第三方评估以及街道办、市/区民政、财政、审计等部门的监督检查。</w:t>
      </w:r>
    </w:p>
    <w:p>
      <w:pPr>
        <w:ind w:firstLine="640"/>
        <w:jc w:val="both"/>
      </w:pPr>
      <w:r>
        <w:rPr>
          <w:color w:val="000000"/>
          <w:sz w:val="32"/>
        </w:rPr>
        <w:t>（七）</w:t>
      </w:r>
      <w:r>
        <w:rPr>
          <w:color w:val="000000"/>
          <w:sz w:val="32"/>
        </w:rPr>
        <w:t>按照民政部门有关要求使用社会工作服务管理有关信息系统，及时将项目、人员、服务、经费使用等信息录入系统，并定期动态更新。</w:t>
      </w:r>
    </w:p>
    <w:p>
      <w:pPr>
        <w:ind w:firstLine="640"/>
        <w:jc w:val="both"/>
      </w:pPr>
      <w:r>
        <w:rPr>
          <w:color w:val="000000"/>
          <w:sz w:val="32"/>
        </w:rPr>
        <w:t>（八）</w:t>
      </w:r>
      <w:r>
        <w:rPr>
          <w:color w:val="000000"/>
          <w:sz w:val="32"/>
        </w:rPr>
        <w:t>建立健全项目和资金管理办法，建立专款专用制度，设立项目专门账户，单独使用和核算购买服务经费，并接受财政、审计、民政、街道办等有关部门的监督管理。其他资金应当单独核算、专项管理，不得混用、挤占、挪用。</w:t>
      </w:r>
    </w:p>
    <w:p>
      <w:pPr>
        <w:ind w:firstLine="640"/>
        <w:jc w:val="both"/>
      </w:pPr>
      <w:r>
        <w:rPr>
          <w:color w:val="000000"/>
          <w:sz w:val="32"/>
        </w:rPr>
        <w:t>（九）</w:t>
      </w:r>
      <w:r>
        <w:rPr>
          <w:color w:val="000000"/>
          <w:sz w:val="32"/>
        </w:rPr>
        <w:t>乙方不得将项目经费用于购置固定资产，不得将实习生补贴、内部督导等费用列入人员费用。</w:t>
      </w:r>
    </w:p>
    <w:p>
      <w:pPr>
        <w:ind w:firstLine="640"/>
        <w:jc w:val="both"/>
      </w:pPr>
      <w:r>
        <w:rPr>
          <w:color w:val="000000"/>
          <w:sz w:val="32"/>
        </w:rPr>
        <w:t>（十）</w:t>
      </w:r>
      <w:r>
        <w:rPr>
          <w:color w:val="000000"/>
          <w:sz w:val="32"/>
        </w:rPr>
        <w:t>应严格按照疫情防控、三防、消防、安全生产等有关要求，做好人员、场地、设施设备等的防控及安全管理，建立风险应对预案和应急处置机制，落实安全管理主体责任，杜绝重特大事故发生，确保项目实施过程安全有序。</w:t>
      </w:r>
    </w:p>
    <w:p>
      <w:pPr>
        <w:ind w:firstLine="321"/>
        <w:jc w:val="both"/>
      </w:pPr>
      <w:r>
        <w:rPr>
          <w:b/>
          <w:color w:val="000000"/>
          <w:sz w:val="32"/>
        </w:rPr>
        <w:t>六、</w:t>
      </w:r>
      <w:r>
        <w:rPr>
          <w:b/>
          <w:color w:val="000000"/>
          <w:sz w:val="32"/>
        </w:rPr>
        <w:t>项目评估</w:t>
      </w:r>
    </w:p>
    <w:p>
      <w:pPr>
        <w:ind w:firstLine="640"/>
        <w:jc w:val="both"/>
      </w:pPr>
      <w:r>
        <w:rPr>
          <w:color w:val="000000"/>
          <w:sz w:val="32"/>
        </w:rPr>
        <w:t>（一）</w:t>
      </w:r>
      <w:r>
        <w:rPr>
          <w:color w:val="000000"/>
          <w:sz w:val="32"/>
        </w:rPr>
        <w:t>由所在区民政局根据市相关文件和要求，委托第三方对本协议服务项目开展监督、检查、评估工作，乙方必须予以充分配合。评估包括中期评估、末期评估。评估由第三方评估机构、督导中心、甲方、白云区民政局四方共同实施。</w:t>
      </w:r>
    </w:p>
    <w:p>
      <w:pPr>
        <w:ind w:firstLine="640"/>
        <w:jc w:val="both"/>
      </w:pPr>
      <w:r>
        <w:rPr>
          <w:color w:val="000000"/>
          <w:sz w:val="32"/>
        </w:rPr>
        <w:t>（二）</w:t>
      </w:r>
      <w:r>
        <w:rPr>
          <w:color w:val="000000"/>
          <w:sz w:val="32"/>
        </w:rPr>
        <w:t>评估分为专业服务评估和财务评估、专业服务评估是指对项目管理、服务开展过程、服务质量等进行评估，财务评估是指对项目经费使用及管理情况等进行评估。专业服务评估及财务评估结果</w:t>
      </w:r>
      <w:r>
        <w:rPr>
          <w:color w:val="000000"/>
          <w:sz w:val="32"/>
        </w:rPr>
        <w:t>“合格”及以上等级的，方可按照协议予以拨款。评估结果为“不合格”的，项目剩余经费不予拨付并终止协议。</w:t>
      </w:r>
    </w:p>
    <w:p>
      <w:pPr>
        <w:ind w:firstLine="321"/>
        <w:jc w:val="both"/>
      </w:pPr>
      <w:r>
        <w:rPr>
          <w:b/>
          <w:color w:val="000000"/>
          <w:sz w:val="32"/>
        </w:rPr>
        <w:t>七、</w:t>
      </w:r>
      <w:r>
        <w:rPr>
          <w:b/>
          <w:color w:val="000000"/>
          <w:sz w:val="32"/>
        </w:rPr>
        <w:t>关于乙方服务人员的特别约定</w:t>
      </w:r>
    </w:p>
    <w:p>
      <w:pPr>
        <w:ind w:firstLine="640"/>
        <w:jc w:val="both"/>
      </w:pPr>
      <w:r>
        <w:rPr>
          <w:color w:val="000000"/>
          <w:sz w:val="32"/>
        </w:rPr>
        <w:t>（一）</w:t>
      </w:r>
      <w:r>
        <w:rPr>
          <w:color w:val="000000"/>
          <w:sz w:val="32"/>
        </w:rPr>
        <w:t>服务于本协议的乙方员工均由乙方直接聘请，乙方应与其参与本协议约定之工作的服务人员签署合法的劳动协议，乙方人员与甲方不存在任何书面的或事实上的劳动关系，乙方服务人员的劳资纠纷及赔偿概由乙方负责。</w:t>
      </w:r>
    </w:p>
    <w:p>
      <w:pPr>
        <w:ind w:firstLine="640"/>
        <w:jc w:val="both"/>
      </w:pPr>
      <w:r>
        <w:rPr>
          <w:color w:val="000000"/>
          <w:sz w:val="32"/>
        </w:rPr>
        <w:t>（二）</w:t>
      </w:r>
      <w:r>
        <w:rPr>
          <w:color w:val="000000"/>
          <w:sz w:val="32"/>
        </w:rPr>
        <w:t>乙方应严格按照有关法律法规规定，负责其服务人员的工资、社保等薪酬待遇保障以及有关意外安全责任，包括人员上下班途中和工作中的安全问题，甲方无须承担任何责任。如乙方员工被甲方安排参加防疫、救灾等有关应急工作，甲方应当为其提供相应的安全保障措施。</w:t>
      </w:r>
    </w:p>
    <w:p>
      <w:pPr>
        <w:ind w:firstLine="640"/>
        <w:jc w:val="both"/>
      </w:pPr>
      <w:r>
        <w:rPr>
          <w:color w:val="000000"/>
          <w:sz w:val="32"/>
        </w:rPr>
        <w:t>（三）</w:t>
      </w:r>
      <w:r>
        <w:rPr>
          <w:color w:val="000000"/>
          <w:sz w:val="32"/>
        </w:rPr>
        <w:t>乙方须提供安全设施给予工作人员以保障其工作安全，并须加强对员工的监管，若乙方员工有任何不当行为，引致甲方或其他第三方的任何物质或名誉损失，乙方应及时采取适当措施消除不良影响并赔偿由此造成的损失。</w:t>
      </w:r>
    </w:p>
    <w:p>
      <w:pPr>
        <w:ind w:firstLine="321"/>
        <w:jc w:val="both"/>
      </w:pPr>
      <w:r>
        <w:rPr>
          <w:b/>
          <w:color w:val="000000"/>
          <w:sz w:val="32"/>
        </w:rPr>
        <w:t>八、</w:t>
      </w:r>
      <w:r>
        <w:rPr>
          <w:b/>
          <w:color w:val="000000"/>
          <w:sz w:val="32"/>
        </w:rPr>
        <w:t>保密义务</w:t>
      </w:r>
    </w:p>
    <w:p>
      <w:pPr>
        <w:ind w:firstLine="640"/>
        <w:jc w:val="both"/>
      </w:pPr>
      <w:r>
        <w:rPr>
          <w:color w:val="000000"/>
          <w:sz w:val="32"/>
        </w:rPr>
        <w:t>（一）</w:t>
      </w:r>
      <w:r>
        <w:rPr>
          <w:color w:val="000000"/>
          <w:sz w:val="32"/>
        </w:rPr>
        <w:t>甲方向乙方提供的、与本项目相关的以及乙方履行协议过程中获得的甲方及服务对象等的信息、资料，乙方均负有保密义务，仅限于乙方为本协议目的使用，未经甲方许可不得用于其他领域或向任何第三方泄露，不得用于本协议之外的目的。</w:t>
      </w:r>
    </w:p>
    <w:p>
      <w:pPr>
        <w:ind w:firstLine="640"/>
        <w:jc w:val="both"/>
      </w:pPr>
      <w:r>
        <w:rPr>
          <w:color w:val="000000"/>
          <w:sz w:val="32"/>
        </w:rPr>
        <w:t>（二）</w:t>
      </w:r>
      <w:r>
        <w:rPr>
          <w:color w:val="000000"/>
          <w:sz w:val="32"/>
        </w:rPr>
        <w:t>本协议解除或终止时，乙方应立即停止使用且不得许可第三方使用上述保密信息，同时应将甲方提供的保密信息退还甲方或按照甲方要求予以删除、销毁。</w:t>
      </w:r>
    </w:p>
    <w:p>
      <w:pPr>
        <w:ind w:firstLine="640"/>
        <w:jc w:val="both"/>
      </w:pPr>
      <w:r>
        <w:rPr>
          <w:color w:val="000000"/>
          <w:sz w:val="32"/>
        </w:rPr>
        <w:t>（三）</w:t>
      </w:r>
      <w:r>
        <w:rPr>
          <w:color w:val="000000"/>
          <w:sz w:val="32"/>
        </w:rPr>
        <w:t>乙方应保证本项目使用的技术、服务或其任何一部分无知识产权纠纷；如出现知识产权纠纷，则一切法律责任及经济损失由乙方承担。</w:t>
      </w:r>
    </w:p>
    <w:p>
      <w:pPr>
        <w:ind w:firstLine="640"/>
        <w:jc w:val="both"/>
      </w:pPr>
      <w:r>
        <w:rPr>
          <w:color w:val="000000"/>
          <w:sz w:val="32"/>
        </w:rPr>
        <w:t>（四）</w:t>
      </w:r>
      <w:r>
        <w:rPr>
          <w:color w:val="000000"/>
          <w:sz w:val="32"/>
        </w:rPr>
        <w:t>项目过程中产生的研究成果、服务案例等资料的所有权归属甲方，乙方享有署名权；乙方可在征得甲方同意的基础上，将有关资料用于研究、服务宣传等合法用途。</w:t>
      </w:r>
    </w:p>
    <w:p>
      <w:pPr>
        <w:jc w:val="both"/>
      </w:pPr>
      <w:r>
        <w:rPr>
          <w:b/>
          <w:color w:val="000000"/>
          <w:sz w:val="32"/>
        </w:rPr>
        <w:t>九、</w:t>
      </w:r>
      <w:r>
        <w:rPr>
          <w:b/>
          <w:color w:val="000000"/>
          <w:sz w:val="32"/>
        </w:rPr>
        <w:t>违约责任</w:t>
      </w:r>
    </w:p>
    <w:p>
      <w:pPr>
        <w:ind w:firstLine="320"/>
        <w:jc w:val="both"/>
      </w:pPr>
      <w:r>
        <w:rPr>
          <w:color w:val="000000"/>
          <w:sz w:val="32"/>
        </w:rPr>
        <w:t>（一）</w:t>
      </w:r>
      <w:r>
        <w:rPr>
          <w:color w:val="000000"/>
          <w:sz w:val="32"/>
        </w:rPr>
        <w:t>乙方未按本协议约定完成工作安排的，甲方有权向乙方追讨本协议金额</w:t>
      </w:r>
      <w:r>
        <w:rPr>
          <w:color w:val="000000"/>
          <w:sz w:val="32"/>
        </w:rPr>
        <w:t>3%的违约金，乙方需赔偿由此造成甲方的一切损失。</w:t>
      </w:r>
    </w:p>
    <w:p>
      <w:pPr>
        <w:ind w:firstLine="320"/>
        <w:jc w:val="both"/>
      </w:pPr>
      <w:r>
        <w:rPr>
          <w:color w:val="000000"/>
          <w:sz w:val="32"/>
        </w:rPr>
        <w:t>（二）</w:t>
      </w:r>
      <w:r>
        <w:rPr>
          <w:color w:val="000000"/>
          <w:sz w:val="32"/>
        </w:rPr>
        <w:t>如乙方存在以下任一情形的，除按相应条款承担违约责任外，甲方有权扣减或追回相应项目经费：</w:t>
      </w:r>
    </w:p>
    <w:p>
      <w:pPr>
        <w:ind w:firstLine="640"/>
        <w:jc w:val="both"/>
      </w:pPr>
      <w:r>
        <w:rPr>
          <w:color w:val="000000"/>
          <w:sz w:val="32"/>
        </w:rPr>
        <w:t>1.乙方在协议期内存在人员配备不足的；</w:t>
      </w:r>
    </w:p>
    <w:p>
      <w:pPr>
        <w:ind w:firstLine="640"/>
        <w:jc w:val="both"/>
      </w:pPr>
      <w:r>
        <w:rPr>
          <w:color w:val="000000"/>
          <w:sz w:val="32"/>
        </w:rPr>
        <w:t>2.乙方在协议期内人员经费支出比例不达标（低于80%）的；</w:t>
      </w:r>
    </w:p>
    <w:p>
      <w:pPr>
        <w:ind w:firstLine="640"/>
        <w:jc w:val="both"/>
      </w:pPr>
      <w:r>
        <w:rPr>
          <w:color w:val="000000"/>
          <w:sz w:val="32"/>
        </w:rPr>
        <w:t>3.乙方在协议期内经费支出超出《办法》等有关文件规定范围的；</w:t>
      </w:r>
    </w:p>
    <w:p>
      <w:pPr>
        <w:ind w:firstLine="640"/>
        <w:jc w:val="both"/>
      </w:pPr>
      <w:r>
        <w:rPr>
          <w:color w:val="000000"/>
          <w:sz w:val="32"/>
        </w:rPr>
        <w:t>4.其他有关事宜，由甲乙双方结合实际协商确定。</w:t>
      </w:r>
    </w:p>
    <w:p>
      <w:pPr>
        <w:ind w:firstLine="640"/>
        <w:jc w:val="both"/>
      </w:pPr>
      <w:r>
        <w:rPr>
          <w:color w:val="000000"/>
          <w:sz w:val="32"/>
        </w:rPr>
        <w:t>（三）乙方未按照协议履行义务，造成重大影响或损失的，应追究乙方违约责任，并追回相应项目经费。如有违法违纪行为，根据《财政违法行为处罚处分条例》等有关规定予以处理；构成犯罪的，依法追究刑事责任。</w:t>
      </w:r>
    </w:p>
    <w:p>
      <w:pPr>
        <w:ind w:firstLine="640"/>
        <w:jc w:val="both"/>
      </w:pPr>
      <w:r>
        <w:rPr>
          <w:color w:val="000000"/>
          <w:sz w:val="32"/>
        </w:rPr>
        <w:t>（四）任何一方违约给对方造成损失的，应当承担赔偿损失等违约责任。</w:t>
      </w:r>
    </w:p>
    <w:p>
      <w:pPr>
        <w:ind w:firstLine="643"/>
        <w:jc w:val="both"/>
      </w:pPr>
      <w:r>
        <w:rPr>
          <w:b/>
          <w:color w:val="000000"/>
          <w:sz w:val="32"/>
        </w:rPr>
        <w:t>十、协议解除和终止</w:t>
      </w:r>
    </w:p>
    <w:p>
      <w:pPr>
        <w:ind w:firstLine="640"/>
        <w:jc w:val="both"/>
      </w:pPr>
      <w:r>
        <w:rPr>
          <w:color w:val="000000"/>
          <w:sz w:val="32"/>
        </w:rPr>
        <w:t>（一）协议履行过程中，如乙方存在以下任一情形的，甲方有权单方解除协议，并要求乙方赔偿全部损失：</w:t>
      </w:r>
    </w:p>
    <w:p>
      <w:pPr>
        <w:ind w:firstLine="640"/>
        <w:jc w:val="both"/>
      </w:pPr>
      <w:r>
        <w:rPr>
          <w:color w:val="000000"/>
          <w:sz w:val="32"/>
        </w:rPr>
        <w:t>1.侵害服务对象合法权益（包括泄露服务对象信息）的，或者服务态度存在问题，影响特别恶劣或1个月内被有效投诉5次以上的；</w:t>
      </w:r>
    </w:p>
    <w:p>
      <w:pPr>
        <w:ind w:firstLine="640"/>
        <w:jc w:val="both"/>
      </w:pPr>
      <w:r>
        <w:rPr>
          <w:color w:val="000000"/>
          <w:sz w:val="32"/>
        </w:rPr>
        <w:t>2.弄虚作假、非法挪用、挤占、滥用、侵吞项目经费的，或者不配合服务评估、财务评估以及督导的；</w:t>
      </w:r>
    </w:p>
    <w:p>
      <w:pPr>
        <w:ind w:firstLine="640"/>
        <w:jc w:val="both"/>
      </w:pPr>
      <w:r>
        <w:rPr>
          <w:color w:val="000000"/>
          <w:sz w:val="32"/>
        </w:rPr>
        <w:t>3.存在违约且经甲方催告拒不改正或三次以上改正后仍不符合要求，或出现重大责任事故的；</w:t>
      </w:r>
    </w:p>
    <w:p>
      <w:pPr>
        <w:ind w:firstLine="640"/>
        <w:jc w:val="both"/>
      </w:pPr>
      <w:r>
        <w:rPr>
          <w:color w:val="000000"/>
          <w:sz w:val="32"/>
        </w:rPr>
        <w:t>4.将协议项目转包或分包给第三方的；</w:t>
      </w:r>
    </w:p>
    <w:p>
      <w:pPr>
        <w:ind w:firstLine="640"/>
        <w:jc w:val="both"/>
      </w:pPr>
      <w:r>
        <w:rPr>
          <w:color w:val="000000"/>
          <w:sz w:val="32"/>
        </w:rPr>
        <w:t>5.未如实披露单位违法违规行为（包括单位负责人、管理人员行为），取得协议项目服务资格的；</w:t>
      </w:r>
    </w:p>
    <w:p>
      <w:pPr>
        <w:ind w:firstLine="640"/>
        <w:jc w:val="both"/>
      </w:pPr>
      <w:r>
        <w:rPr>
          <w:color w:val="000000"/>
          <w:sz w:val="32"/>
        </w:rPr>
        <w:t>6.考核评估（包含服务评估或财务评估）等级为不合格的；</w:t>
      </w:r>
    </w:p>
    <w:p>
      <w:pPr>
        <w:ind w:firstLine="640"/>
        <w:jc w:val="both"/>
      </w:pPr>
      <w:r>
        <w:rPr>
          <w:color w:val="000000"/>
          <w:sz w:val="32"/>
        </w:rPr>
        <w:t>7.被列入社会组织活动异常名单（符合行政处罚情形的）、严重违法失信名单或者被有关部门给予行政处罚的；</w:t>
      </w:r>
    </w:p>
    <w:p>
      <w:pPr>
        <w:ind w:firstLine="640"/>
        <w:jc w:val="both"/>
      </w:pPr>
      <w:r>
        <w:rPr>
          <w:color w:val="000000"/>
          <w:sz w:val="32"/>
        </w:rPr>
        <w:t>8.未按规定与其工作人员签订劳动协议、购买社保及支付劳动报酬的；</w:t>
      </w:r>
    </w:p>
    <w:p>
      <w:pPr>
        <w:ind w:firstLine="640"/>
        <w:jc w:val="both"/>
      </w:pPr>
      <w:r>
        <w:rPr>
          <w:color w:val="000000"/>
          <w:sz w:val="32"/>
        </w:rPr>
        <w:t>9.被吊销或注销资质证照等丧失主体资格的；</w:t>
      </w:r>
    </w:p>
    <w:p>
      <w:pPr>
        <w:ind w:firstLine="640"/>
        <w:jc w:val="both"/>
      </w:pPr>
      <w:r>
        <w:rPr>
          <w:color w:val="000000"/>
          <w:sz w:val="32"/>
        </w:rPr>
        <w:t>10.存在违反相关法律法规及本协议规定其他情形的。</w:t>
      </w:r>
    </w:p>
    <w:p>
      <w:pPr>
        <w:ind w:firstLine="640"/>
        <w:jc w:val="both"/>
      </w:pPr>
      <w:r>
        <w:rPr>
          <w:color w:val="000000"/>
          <w:sz w:val="32"/>
        </w:rPr>
        <w:t>发生上述任一情形的，甲方将书面通知乙方，解除通知到达乙方之日，本协议即解除。</w:t>
      </w:r>
    </w:p>
    <w:p>
      <w:pPr>
        <w:ind w:firstLine="640"/>
        <w:jc w:val="both"/>
      </w:pPr>
      <w:r>
        <w:rPr>
          <w:color w:val="000000"/>
          <w:sz w:val="32"/>
        </w:rPr>
        <w:t>（二）因国家、省、市等政策调整或上级主管部门行政决定或命令等因素导致双方无法继续履行协议的，受影响一方可书面通知另一方解除协议。</w:t>
      </w:r>
    </w:p>
    <w:p>
      <w:pPr>
        <w:ind w:firstLine="640"/>
        <w:jc w:val="both"/>
      </w:pPr>
      <w:r>
        <w:rPr>
          <w:color w:val="000000"/>
          <w:sz w:val="32"/>
        </w:rPr>
        <w:t>（三）</w:t>
      </w:r>
      <w:r>
        <w:rPr>
          <w:color w:val="000000"/>
          <w:sz w:val="32"/>
        </w:rPr>
        <w:t>自本协议解除之日起，甲方不再向乙方支付未完成工作部分的服务经费，对于乙方实际完成的工作，由甲方根据甲方留存并确认的工作成果单方核算确定应付乙方服务经费并书面通知乙方，乙方应在收到甲方通知日后</w:t>
      </w:r>
      <w:r>
        <w:rPr>
          <w:color w:val="000000"/>
          <w:sz w:val="32"/>
        </w:rPr>
        <w:t>5日内退还多收取的服务经费。</w:t>
      </w:r>
    </w:p>
    <w:p>
      <w:pPr>
        <w:ind w:firstLine="640"/>
        <w:jc w:val="both"/>
      </w:pPr>
      <w:r>
        <w:rPr>
          <w:color w:val="000000"/>
          <w:sz w:val="32"/>
        </w:rPr>
        <w:t>（四）</w:t>
      </w:r>
      <w:r>
        <w:rPr>
          <w:color w:val="000000"/>
          <w:sz w:val="32"/>
        </w:rPr>
        <w:t>本协议有效期届满前一个月，如甲方书面通知不再续签服务协议，则本协议到期终止，乙方应在协议终止后</w:t>
      </w:r>
      <w:r>
        <w:rPr>
          <w:color w:val="000000"/>
          <w:sz w:val="32"/>
        </w:rPr>
        <w:t>30个工作日内配合甲方办理服务资料、场地、项目档案等的移交手续。</w:t>
      </w:r>
    </w:p>
    <w:p>
      <w:pPr>
        <w:jc w:val="both"/>
      </w:pPr>
      <w:r>
        <w:rPr>
          <w:b/>
          <w:color w:val="000000"/>
          <w:sz w:val="32"/>
        </w:rPr>
        <w:t>十一、其他事项</w:t>
      </w:r>
    </w:p>
    <w:p>
      <w:pPr>
        <w:ind w:firstLine="640"/>
        <w:jc w:val="both"/>
      </w:pPr>
      <w:r>
        <w:rPr>
          <w:color w:val="000000"/>
          <w:sz w:val="32"/>
        </w:rPr>
        <w:t>（一）根据《中华人民共和国政府采购法》等有关规定，甲乙双方应当自成交通知书发出之日起二十日内，按照采购文件和乙方的响应文件订立书面合同。甲乙双方可在协商一致的前提下确定协议生效时间，确保协议生效时，乙方已按要求配齐项目人员。</w:t>
      </w:r>
    </w:p>
    <w:p>
      <w:pPr>
        <w:ind w:firstLine="640"/>
        <w:jc w:val="both"/>
      </w:pPr>
      <w:r>
        <w:rPr>
          <w:color w:val="000000"/>
          <w:sz w:val="32"/>
        </w:rPr>
        <w:t>（二）协议期间，如果政府部门颁布、修订、更新相关政策制度，则按照最新政策、制度执行，但甲方应书面告知乙方新政策、制度标椎或由双方签订补充协议确定。</w:t>
      </w:r>
    </w:p>
    <w:p>
      <w:pPr>
        <w:ind w:firstLine="640"/>
        <w:jc w:val="both"/>
      </w:pPr>
      <w:r>
        <w:rPr>
          <w:color w:val="000000"/>
          <w:sz w:val="32"/>
        </w:rPr>
        <w:t>（三）与本协议有关的一切争议，由甲乙双方友好协商解决，协商不成的，任何一方均可向甲方所在地人民法院提起诉讼。</w:t>
      </w:r>
    </w:p>
    <w:p>
      <w:pPr>
        <w:ind w:firstLine="640"/>
        <w:jc w:val="both"/>
      </w:pPr>
      <w:r>
        <w:rPr>
          <w:color w:val="000000"/>
          <w:sz w:val="32"/>
        </w:rPr>
        <w:t>（四）本协议一式三份，甲、乙双方各执一份，区民政局执一份，每份具有同等法律效力。</w:t>
      </w:r>
    </w:p>
    <w:p>
      <w:pPr>
        <w:ind w:firstLine="640"/>
        <w:jc w:val="both"/>
      </w:pPr>
      <w:r>
        <w:rPr>
          <w:color w:val="000000"/>
          <w:sz w:val="32"/>
        </w:rPr>
        <w:t>（五）本协议自双方签字并加盖公章后生效，生效日期以最后一方签署之日为准。</w:t>
      </w:r>
    </w:p>
    <w:p>
      <w:pPr>
        <w:ind w:firstLine="640"/>
        <w:jc w:val="both"/>
      </w:pPr>
      <w:r>
        <w:rPr>
          <w:color w:val="000000"/>
          <w:sz w:val="32"/>
        </w:rPr>
        <w:t>（六）本协议的所有附件均为本协议不可分割的组成部分，与协议正文同具有法律效力。</w:t>
      </w:r>
    </w:p>
    <w:p>
      <w:pPr>
        <w:ind w:firstLine="640"/>
        <w:jc w:val="both"/>
      </w:pPr>
      <w:r>
        <w:rPr>
          <w:color w:val="000000"/>
          <w:sz w:val="32"/>
        </w:rPr>
        <w:t>（以下无正文）</w:t>
      </w:r>
    </w:p>
    <w:p>
      <w:pPr>
        <w:jc w:val="both"/>
      </w:pPr>
    </w:p>
    <w:p>
      <w:pPr>
        <w:ind w:firstLine="640"/>
        <w:jc w:val="both"/>
      </w:pPr>
      <w:r>
        <w:rPr>
          <w:color w:val="000000"/>
          <w:sz w:val="32"/>
        </w:rPr>
        <w:t>甲方：</w:t>
      </w:r>
    </w:p>
    <w:p>
      <w:pPr>
        <w:ind w:firstLine="640"/>
        <w:jc w:val="both"/>
      </w:pPr>
      <w:r>
        <w:rPr>
          <w:color w:val="000000"/>
          <w:sz w:val="32"/>
        </w:rPr>
        <w:t>法定代表人</w:t>
      </w:r>
      <w:r>
        <w:rPr>
          <w:color w:val="000000"/>
          <w:sz w:val="32"/>
        </w:rPr>
        <w:t>/签约代表：</w:t>
      </w:r>
    </w:p>
    <w:p>
      <w:pPr>
        <w:ind w:firstLine="640"/>
        <w:jc w:val="both"/>
      </w:pPr>
      <w:r>
        <w:rPr>
          <w:color w:val="000000"/>
          <w:sz w:val="32"/>
        </w:rPr>
        <w:t>签订日期：</w:t>
      </w:r>
      <w:r>
        <w:rPr>
          <w:color w:val="000000"/>
          <w:sz w:val="32"/>
        </w:rPr>
        <w:t xml:space="preserve">    </w:t>
      </w:r>
      <w:r>
        <w:rPr>
          <w:color w:val="000000"/>
          <w:sz w:val="32"/>
        </w:rPr>
        <w:t>年</w:t>
      </w:r>
      <w:r>
        <w:rPr>
          <w:color w:val="000000"/>
          <w:sz w:val="32"/>
        </w:rPr>
        <w:t xml:space="preserve">    </w:t>
      </w:r>
      <w:r>
        <w:rPr>
          <w:color w:val="000000"/>
          <w:sz w:val="32"/>
        </w:rPr>
        <w:t>月</w:t>
      </w:r>
      <w:r>
        <w:rPr>
          <w:color w:val="000000"/>
          <w:sz w:val="32"/>
        </w:rPr>
        <w:t xml:space="preserve">    </w:t>
      </w:r>
      <w:r>
        <w:rPr>
          <w:color w:val="000000"/>
          <w:sz w:val="32"/>
        </w:rPr>
        <w:t>日</w:t>
      </w:r>
    </w:p>
    <w:p>
      <w:pPr>
        <w:jc w:val="both"/>
      </w:pPr>
    </w:p>
    <w:p>
      <w:pPr>
        <w:ind w:firstLine="640"/>
        <w:jc w:val="both"/>
      </w:pPr>
      <w:r>
        <w:rPr>
          <w:color w:val="000000"/>
          <w:sz w:val="32"/>
        </w:rPr>
        <w:t>乙方：</w:t>
      </w:r>
    </w:p>
    <w:p>
      <w:pPr>
        <w:ind w:firstLine="640"/>
        <w:jc w:val="both"/>
      </w:pPr>
      <w:r>
        <w:rPr>
          <w:color w:val="000000"/>
          <w:sz w:val="32"/>
        </w:rPr>
        <w:t>法定代表人</w:t>
      </w:r>
      <w:r>
        <w:rPr>
          <w:color w:val="000000"/>
          <w:sz w:val="32"/>
        </w:rPr>
        <w:t>/签约代表：</w:t>
      </w:r>
    </w:p>
    <w:p>
      <w:pPr>
        <w:ind w:firstLine="640"/>
        <w:jc w:val="both"/>
      </w:pPr>
      <w:r>
        <w:rPr>
          <w:color w:val="000000"/>
          <w:sz w:val="32"/>
        </w:rPr>
        <w:t>签订日期：</w:t>
      </w:r>
      <w:r>
        <w:rPr>
          <w:color w:val="000000"/>
          <w:sz w:val="32"/>
        </w:rPr>
        <w:t xml:space="preserve">    </w:t>
      </w:r>
      <w:r>
        <w:rPr>
          <w:color w:val="000000"/>
          <w:sz w:val="32"/>
        </w:rPr>
        <w:t>年</w:t>
      </w:r>
      <w:r>
        <w:rPr>
          <w:color w:val="000000"/>
          <w:sz w:val="32"/>
        </w:rPr>
        <w:t xml:space="preserve">    </w:t>
      </w:r>
      <w:r>
        <w:rPr>
          <w:color w:val="000000"/>
          <w:sz w:val="32"/>
        </w:rPr>
        <w:t>月</w:t>
      </w:r>
      <w:r>
        <w:rPr>
          <w:color w:val="000000"/>
          <w:sz w:val="32"/>
        </w:rPr>
        <w:t xml:space="preserve">    </w:t>
      </w:r>
      <w:r>
        <w:rPr>
          <w:color w:val="000000"/>
          <w:sz w:val="32"/>
        </w:rPr>
        <w:t>日</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440111-2023-04243</w:t>
      </w:r>
    </w:p>
    <w:p>
      <w:pPr>
        <w:jc w:val="center"/>
      </w:pPr>
      <w:r>
        <w:rPr>
          <w:b/>
          <w:sz w:val="24"/>
        </w:rPr>
        <w:t>采购项目编号：</w:t>
      </w:r>
      <w:r>
        <w:rPr>
          <w:b/>
          <w:sz w:val="24"/>
        </w:rPr>
        <w:t>GZGK23D226C0662Z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广州市白云区人民政府同和街道办事处社工站购买服务项目</w:t>
      </w:r>
      <w:r>
        <w:rPr>
          <w:u w:val="single"/>
        </w:rPr>
        <w:t>”</w:t>
      </w:r>
      <w:r>
        <w:rPr/>
        <w:t>项目的招标[采购项目编号为：</w:t>
      </w:r>
      <w:r>
        <w:rPr>
          <w:u w:val="single"/>
        </w:rPr>
        <w:t>GZGK23D226C0662Z</w:t>
      </w:r>
      <w:r>
        <w:rPr/>
        <w:t>]，我方愿参与投标。</w:t>
      </w:r>
    </w:p>
    <w:p>
      <w:pPr>
        <w:ind w:firstLine="480"/>
      </w:pPr>
      <w:r>
        <w:rPr/>
        <w:t>我方确认收到贵方提供的</w:t>
      </w:r>
      <w:r>
        <w:rPr>
          <w:u w:val="single"/>
        </w:rPr>
        <w:t>“</w:t>
      </w:r>
      <w:r>
        <w:rPr>
          <w:u w:val="single"/>
        </w:rPr>
        <w:t>广州市白云区人民政府同和街道办事处社工站购买服务项目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广州市白云区人民政府同和街道办事处社工站购买服务项目</w:t>
      </w:r>
      <w:r>
        <w:rPr/>
        <w:t>”项目采购[采购项目编号为</w:t>
      </w:r>
      <w:r>
        <w:rPr/>
        <w:t>GZGK23D226C0662Z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广州市白云区人民政府同和街道办事处</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广州市白云区人民政府同和街道办事处社工站购买服务项目</w:t>
      </w:r>
      <w:r>
        <w:rPr/>
        <w:t>招标中获中标（采购项目编号：</w:t>
      </w:r>
      <w:r>
        <w:rPr/>
        <w:t>GZGK23D226C0662Z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