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440111-2024-00357</w:t>
      </w:r>
    </w:p>
    <w:p>
      <w:pPr>
        <w:jc w:val="center"/>
      </w:pPr>
      <w:r>
        <w:rPr>
          <w:b/>
          <w:sz w:val="24"/>
        </w:rPr>
        <w:t>采购项目编号：</w:t>
      </w:r>
      <w:r>
        <w:rPr>
          <w:b/>
          <w:sz w:val="24"/>
        </w:rPr>
        <w:t>GZGK23D316C0988C</w:t>
      </w:r>
    </w:p>
    <w:p>
      <w:pPr>
        <w:jc w:val="center"/>
      </w:pPr>
      <w:r>
        <w:rPr>
          <w:b/>
          <w:sz w:val="24"/>
        </w:rPr>
        <w:t>项目名称：</w:t>
      </w:r>
      <w:r>
        <w:rPr>
          <w:b/>
          <w:sz w:val="24"/>
        </w:rPr>
        <w:t>2024-2026年同和街综合养老服务中心（颐康中心）政府采购项目</w:t>
      </w:r>
    </w:p>
    <w:p>
      <w:pPr>
        <w:jc w:val="center"/>
      </w:pPr>
      <w:r>
        <w:rPr>
          <w:b/>
          <w:sz w:val="24"/>
        </w:rPr>
        <w:t>采购人：</w:t>
      </w:r>
      <w:r>
        <w:rPr>
          <w:b/>
          <w:sz w:val="24"/>
        </w:rPr>
        <w:t>广州市白云区人民政府同和街道办事处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广州市白云区人民政府同和街道办事处</w:t>
      </w:r>
      <w:r>
        <w:rPr/>
        <w:t>的委托，采用</w:t>
      </w:r>
      <w:r>
        <w:rPr/>
        <w:t>竞争性磋商</w:t>
      </w:r>
      <w:r>
        <w:rPr/>
        <w:t>方式组织采购</w:t>
      </w:r>
      <w:r>
        <w:rPr/>
        <w:t>2024-2026年同和街综合养老服务中心（颐康中心）政府采购项目</w:t>
      </w:r>
      <w:r>
        <w:rPr/>
        <w:t>。欢迎符合资格条件的供应商参加。</w:t>
      </w:r>
    </w:p>
    <w:p>
      <w:r>
        <w:rPr>
          <w:b/>
          <w:sz w:val="28"/>
        </w:rPr>
        <w:t>一.项目概述</w:t>
      </w:r>
    </w:p>
    <w:p>
      <w:r>
        <w:rPr>
          <w:b/>
          <w:sz w:val="24"/>
        </w:rPr>
        <w:t>1.名称与编号</w:t>
      </w:r>
    </w:p>
    <w:p>
      <w:pPr>
        <w:ind w:firstLine="480"/>
      </w:pPr>
      <w:r>
        <w:rPr/>
        <w:t>采购项目名称：</w:t>
      </w:r>
      <w:r>
        <w:rPr/>
        <w:t>2024-2026年同和街综合养老服务中心（颐康中心）政府采购项目</w:t>
      </w:r>
    </w:p>
    <w:p>
      <w:pPr>
        <w:ind w:firstLine="480"/>
      </w:pPr>
      <w:r>
        <w:rPr/>
        <w:t>采购计划编号：</w:t>
      </w:r>
      <w:r>
        <w:rPr/>
        <w:t>440111-2024-00357</w:t>
      </w:r>
    </w:p>
    <w:p>
      <w:pPr>
        <w:ind w:firstLine="480"/>
      </w:pPr>
      <w:r>
        <w:rPr/>
        <w:t>采购项目编号：</w:t>
      </w:r>
      <w:r>
        <w:rPr/>
        <w:t>GZGK23D316C0988C</w:t>
      </w:r>
    </w:p>
    <w:p>
      <w:pPr>
        <w:ind w:firstLine="480"/>
      </w:pPr>
      <w:r>
        <w:rPr/>
        <w:t>采购方式：</w:t>
      </w:r>
      <w:r>
        <w:rPr/>
        <w:t>竞争性磋商</w:t>
      </w:r>
    </w:p>
    <w:p>
      <w:pPr>
        <w:ind w:firstLine="480"/>
      </w:pPr>
      <w:r>
        <w:rPr/>
        <w:t>预算金额：</w:t>
      </w:r>
      <w:r>
        <w:rPr/>
        <w:t>3,564,166.61</w:t>
      </w:r>
      <w:r>
        <w:rPr/>
        <w:t>元</w:t>
      </w:r>
    </w:p>
    <w:p>
      <w:r>
        <w:rPr>
          <w:b/>
          <w:sz w:val="24"/>
        </w:rPr>
        <w:t>2.项目内容及需求情况（采购项目技术规格、参数及要求）</w:t>
      </w:r>
    </w:p>
    <w:p>
      <w:pPr>
        <w:ind w:firstLine="480"/>
      </w:pPr>
    </w:p>
    <w:p/>
    <w:p>
      <w:r>
        <w:rPr/>
        <w:t>采购包1(2024-2026年同和街综合养老服务中心（颐康中心）政府采购项目):</w:t>
      </w:r>
    </w:p>
    <w:p>
      <w:r>
        <w:rPr/>
        <w:t>采购包预算金额：3,564,166.61元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2024-2026年同和街综合养老服务中心（颐康中心）政府采购项目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合同履行期限：详见“标的提供时间”要求。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采购包1（2024-2026年同和街综合养老服务中心（颐康中心）政府采购项目）：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广州市白云区人民政府同和街道办事处</w:t>
      </w:r>
    </w:p>
    <w:p>
      <w:pPr>
        <w:ind w:firstLine="480"/>
      </w:pPr>
      <w:r>
        <w:rPr/>
        <w:t>地址：</w:t>
      </w:r>
      <w:r>
        <w:rPr/>
        <w:t>广州市白云区广州大道北 2077 号同和街道办事处</w:t>
      </w:r>
    </w:p>
    <w:p>
      <w:pPr>
        <w:ind w:firstLine="480"/>
      </w:pPr>
      <w:r>
        <w:rPr/>
        <w:t>联系方式：</w:t>
      </w:r>
      <w:r>
        <w:rPr/>
        <w:t>37376866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020-87687142、020-87688847</w:t>
      </w:r>
    </w:p>
    <w:p>
      <w:r>
        <w:rPr>
          <w:b/>
          <w:sz w:val="24"/>
        </w:rPr>
        <w:t>3.项目联系方式</w:t>
      </w:r>
    </w:p>
    <w:p>
      <w:pPr>
        <w:ind w:firstLine="480"/>
      </w:pPr>
      <w:r>
        <w:rPr/>
        <w:t>项目联系人：</w:t>
      </w:r>
      <w:r>
        <w:rPr/>
        <w:t>李泽、李年秀</w:t>
      </w:r>
    </w:p>
    <w:p>
      <w:pPr>
        <w:ind w:firstLine="480"/>
      </w:pPr>
      <w:r>
        <w:rPr/>
        <w:t>电话：</w:t>
      </w:r>
      <w:r>
        <w:rPr/>
        <w:t>020-87687142、020-87688847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项目编号：</w:t>
      </w:r>
      <w:r>
        <w:rPr>
          <w:sz w:val="21"/>
        </w:rPr>
        <w:t>GZGK23D316C0988C</w:t>
      </w:r>
    </w:p>
    <w:p>
      <w:r>
        <w:rPr>
          <w:b/>
          <w:sz w:val="21"/>
        </w:rPr>
        <w:t>（二）</w:t>
      </w:r>
      <w:r>
        <w:rPr>
          <w:b/>
          <w:sz w:val="21"/>
        </w:rPr>
        <w:t>项目名称：</w:t>
      </w:r>
      <w:r>
        <w:rPr>
          <w:sz w:val="21"/>
        </w:rPr>
        <w:t>2024-2026年同和街综合养老服务中心（颐康中心）政府采购项目</w:t>
      </w:r>
    </w:p>
    <w:p>
      <w:r>
        <w:rPr>
          <w:b/>
          <w:sz w:val="21"/>
        </w:rPr>
        <w:t>（三）</w:t>
      </w:r>
      <w:r>
        <w:rPr>
          <w:b/>
          <w:sz w:val="21"/>
        </w:rPr>
        <w:t>总体要求说明：</w:t>
      </w:r>
    </w:p>
    <w:p>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“★”的条款未响应或负偏离，将按无效响应处理。</w:t>
      </w:r>
    </w:p>
    <w:p>
      <w:r>
        <w:rPr>
          <w:sz w:val="21"/>
        </w:rPr>
        <w:t>2、</w:t>
      </w:r>
      <w:r>
        <w:rPr>
          <w:sz w:val="21"/>
        </w:rPr>
        <w:t>响应供应商应对采购需求中的服务指标在响应详细内容中明确承诺。如果响应供应商只注明</w:t>
      </w:r>
      <w:r>
        <w:rPr>
          <w:sz w:val="21"/>
        </w:rPr>
        <w:t>“正偏离”或“无偏离”，将</w:t>
      </w:r>
      <w:r>
        <w:rPr>
          <w:sz w:val="21"/>
        </w:rPr>
        <w:t>可能</w:t>
      </w:r>
      <w:r>
        <w:rPr>
          <w:sz w:val="21"/>
        </w:rPr>
        <w:t>被视为</w:t>
      </w:r>
      <w:r>
        <w:rPr>
          <w:sz w:val="21"/>
        </w:rPr>
        <w:t>“负偏离”，从而可能导致严重影响评审结果。</w:t>
      </w:r>
    </w:p>
    <w:p>
      <w:r>
        <w:rPr>
          <w:sz w:val="21"/>
        </w:rPr>
        <w:t>3、</w:t>
      </w:r>
      <w:r>
        <w:rPr>
          <w:sz w:val="21"/>
        </w:rPr>
        <w:t>响应供应商没有在响应文件中注明偏离（文字说明或在响应表注明）的参数、配置、条款视为被响应供应商完全接受。</w:t>
      </w:r>
    </w:p>
    <w:p>
      <w:r>
        <w:rPr>
          <w:sz w:val="21"/>
        </w:rPr>
        <w:t>4、</w:t>
      </w:r>
      <w:r>
        <w:rPr>
          <w:sz w:val="21"/>
        </w:rPr>
        <w:t>响应供应商应保证，采购人在中华人民共和国使用该服务或服务的任何一部分时，免受第三方提出的侵犯其专利权、商标权、著作权或其它知识产权的起诉。</w:t>
      </w:r>
    </w:p>
    <w:p>
      <w:r>
        <w:rPr>
          <w:sz w:val="21"/>
        </w:rPr>
        <w:t>5、</w:t>
      </w:r>
      <w:r>
        <w:rPr>
          <w:sz w:val="21"/>
        </w:rPr>
        <w:t>不允许成交供应商</w:t>
      </w:r>
      <w:r>
        <w:rPr>
          <w:sz w:val="21"/>
        </w:rPr>
        <w:t>转包、分包项目内容</w:t>
      </w:r>
      <w:r>
        <w:rPr>
          <w:sz w:val="21"/>
        </w:rPr>
        <w:t>。</w:t>
      </w:r>
    </w:p>
    <w:p>
      <w:r>
        <w:rPr>
          <w:sz w:val="21"/>
        </w:rPr>
        <w:t>6、</w:t>
      </w:r>
      <w:r>
        <w:rPr>
          <w:sz w:val="21"/>
        </w:rPr>
        <w:t>小型和微型企业、监狱企业和残疾人福利性单位必须按照采购文件第三章的内容提供相应的资料。</w:t>
      </w:r>
    </w:p>
    <w:p>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r>
        <w:rPr>
          <w:sz w:val="21"/>
        </w:rPr>
        <w:t>8、</w:t>
      </w:r>
      <w:r>
        <w:rPr>
          <w:sz w:val="21"/>
        </w:rPr>
        <w:t>本项目符合《政府采购促进中小企业发展管理办法》第六条第（三）项的情形，故该采购包不专门面向中小企业。</w:t>
      </w:r>
    </w:p>
    <w:p>
      <w:r>
        <w:rPr>
          <w:sz w:val="21"/>
        </w:rPr>
        <w:t>9、</w:t>
      </w:r>
      <w:r>
        <w:rPr>
          <w:sz w:val="21"/>
        </w:rPr>
        <w:t>本项目涉及跨年采购，各年度拟安排采购预算金额如下：</w:t>
      </w:r>
      <w:r>
        <w:rPr>
          <w:sz w:val="21"/>
        </w:rPr>
        <w:t>2024年度拟安排采购预算金额预估为人民币</w:t>
      </w:r>
      <w:r>
        <w:rPr>
          <w:sz w:val="21"/>
        </w:rPr>
        <w:t>96.416661万元</w:t>
      </w:r>
      <w:r>
        <w:rPr>
          <w:sz w:val="21"/>
        </w:rPr>
        <w:t>；</w:t>
      </w:r>
      <w:r>
        <w:rPr>
          <w:sz w:val="21"/>
        </w:rPr>
        <w:t>2025年度拟安排采购预算金额预估为人民币</w:t>
      </w:r>
      <w:r>
        <w:rPr>
          <w:sz w:val="21"/>
        </w:rPr>
        <w:t>130万元</w:t>
      </w:r>
      <w:r>
        <w:rPr>
          <w:sz w:val="21"/>
        </w:rPr>
        <w:t>；</w:t>
      </w:r>
      <w:r>
        <w:rPr>
          <w:sz w:val="21"/>
        </w:rPr>
        <w:t>2026年度拟安排采购预算金额预估为人民币</w:t>
      </w:r>
      <w:r>
        <w:rPr>
          <w:sz w:val="21"/>
        </w:rPr>
        <w:t>130万元</w:t>
      </w:r>
      <w:r>
        <w:rPr>
          <w:sz w:val="21"/>
        </w:rPr>
        <w:t>。</w:t>
      </w:r>
    </w:p>
    <w:p>
      <w:r>
        <w:rPr>
          <w:b/>
          <w:sz w:val="21"/>
        </w:rPr>
        <w:t>（四）</w:t>
      </w:r>
      <w:r>
        <w:rPr>
          <w:b/>
          <w:sz w:val="21"/>
        </w:rPr>
        <w:t>其他说明：</w:t>
      </w:r>
    </w:p>
    <w:p>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r>
        <w:rPr>
          <w:b/>
          <w:sz w:val="21"/>
        </w:rPr>
        <w:t>（五）</w:t>
      </w:r>
      <w:r>
        <w:rPr>
          <w:b/>
          <w:sz w:val="21"/>
        </w:rPr>
        <w:t>实现的目标</w:t>
      </w:r>
    </w:p>
    <w:p>
      <w:pPr>
        <w:ind w:firstLine="420"/>
      </w:pPr>
      <w:r>
        <w:rPr>
          <w:sz w:val="21"/>
        </w:rPr>
        <w:t>根据广州市养老服务规定，为了更好地满足服务区域内的老年人多元化、个性化的服务需求，通过上门和到服务点等形式，为有需要的老年人提供养老服务向导、助餐配餐、生活照料、定期</w:t>
      </w:r>
      <w:r>
        <w:rPr>
          <w:sz w:val="21"/>
        </w:rPr>
        <w:t>巡访</w:t>
      </w:r>
      <w:r>
        <w:rPr>
          <w:sz w:val="21"/>
        </w:rPr>
        <w:t>、辅具租赁、平安通、家庭照护培训、文体教育、居家适老化改造、家庭养老床位、日间托管、临时托养、医养康养、康复护理等基本养老服务的功能，重点为有需求的失能、失智老年人提供服务。</w:t>
      </w:r>
    </w:p>
    <w:p>
      <w:r>
        <w:rPr>
          <w:b/>
          <w:sz w:val="21"/>
        </w:rPr>
        <w:t>（六）</w:t>
      </w:r>
      <w:r>
        <w:rPr>
          <w:b/>
          <w:sz w:val="21"/>
        </w:rPr>
        <w:t>需执行国家相关标准、行业标准、地方标准或者其他标准、规范</w:t>
      </w:r>
    </w:p>
    <w:p/>
    <w:p>
      <w:pPr>
        <w:ind w:firstLine="480"/>
      </w:pPr>
    </w:p>
    <w:p/>
    <w:p>
      <w:r>
        <w:rPr/>
        <w:t>采购包1（2024-2026年同和街综合养老服务中心（颐康中心）政府采购项目）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两年8个月27天，第一年签8个月27天，往后一年一签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1期：支付比例100%,（一）运营经费 1期：合同签订后，采购人按本条约定向成交供应商支付同和街综合养老服务中心（颐康中心）的运营经费（每年为人民币40万元，不足1年的，按实际服务的天数，按比例计算支付）。成交供应商应在办理财政支付申请手续前10个工作日内提供发票。如成交供应商拒不提供正规等额发票的，采购人有权拒绝付款，或采购人有权顺延付款直至收到成交供应商提供的正规等额发票并无需承担违约责任。采购人在收到成交供应商提供等额有效合法的发票后向政府采购支付部门提出办理财政支付申请手续，采购人办理完成款项支付的申请手续即视为完成付款义务。如因财政资金的下达、拨付问题导致付款延迟的，不视为采购人违约，成交供应商不能据此追究采购人的违约责任。  2期：每年服务期满由采购人相关主管部门安排第三方评估机构组织评定后，以评定结果及最终白云区拨付金额为准，向成交供应商安排拨付18个社区（村）居颐康服务站运营经费，实际支付的金额按照建成并通过验收的颐康服务站计算，但不能超出白云区拨付金额。每个社区（村）运营费标准为5万元/年，服务期限不足1年的，按实际服务的天数，按比例计算支付。 （二）服务对象资助经费（不在本项目采购包预算金额内）： 服务对象资助经费、助餐配餐服务资助经费等政策法规规定的其他经费，按照法律、法规、相关文件政策执行，不在本项目采购包预算金额内。，上述所述经费根据实际开展服务情况，以广州市为老服务综合平台服务数据作为结算依据。。  （三）服务奖励经费（不在本项目采购包预算金额内）：服务奖励资金按照下述政策文件落实执行，但该费用不包含在不在本项目采购包预算金额内。每年服务期满采购人上级相关主管部门根据服务评估结果给予服务奖励资金，服务时间不足规定服务时间的，按未服务的天数，按比例扣除奖励资金。 根据《广州市人民政府办公厅关于印发广州市居家社区养老服务管理办法的通知》（穗府办规〔2022〕13号）规定，居家社区养老服务组织运营区级、街道（镇）级、社区（村）级社区养老服务设施满12个月且经服务评估评定为合格及以上等级的，应当享受相应等级的服务奖励： 街道（镇）级社区养老服务设施（颐康中心）评估为优秀、良好、合格等级的，每年每个分别给予30万元、20万元、10万元服务奖励； 社区（村）级社区养老服务设施（颐康服务站）服务评估为优秀、良好、合格等级的，每年每个分别给予3万元、2万元、1万元奖励； 采购人上级相关主管部门根据服务评估结果给予服务奖励资金，不足规定服务时间的按比例扣除奖励资金。</w:t>
            </w:r>
          </w:p>
        </w:tc>
      </w:tr>
      <w:tr>
        <w:tc>
          <w:tcPr>
            <w:tcW w:type="dxa" w:w="4153"/>
          </w:tcPr>
          <w:p>
            <w:r>
              <w:rPr/>
              <w:t>验收要求</w:t>
            </w:r>
          </w:p>
        </w:tc>
        <w:tc>
          <w:tcPr>
            <w:tcW w:type="dxa" w:w="4153"/>
          </w:tcPr>
          <w:p/>
          <w:p/>
          <w:p/>
          <w:p>
            <w:r>
              <w:rPr/>
              <w:t>1期：自双方合同签订之日起，成交供应商每运营年末即12月前向采购人提交自评报告，由采购人申请相关主管部门安排第三方评估机构组织评定。对承接的服务项目评估定级不合格的成交供应商，由采购人上级相关主管部门限期督促整改，整改后仍不合格的，采购人按照合同约定追究其违约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其他，一、信用评价 （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二）综合信用评价得分=响应供应商的广州公共资源交易信用评价（政府采购供应商信用评价分）×5%。 响应供应商的信用评价分以开标当天广州交易集团有限公司网站公布的分值为准（通过“广州交易集团有限公司网站-信用信息-广州公共资源交易信用平台2.0”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一）采购人负责对成交供应商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成交供应商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 三、关于提供前期服务的供应商为采购项目提供整体设计、规范编制或者项目管理、监理、检测等服务的供应商，不得再参加该采购项目的其他采购活动。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2024-2026年同和街综合养老服务中心（颐康中心）政府采购项目</w:t>
            </w:r>
          </w:p>
        </w:tc>
        <w:tc>
          <w:tcPr>
            <w:tcW w:type="dxa" w:w="933"/>
          </w:tcPr>
          <w:p>
            <w:pPr>
              <w:jc w:val="left"/>
            </w:pPr>
            <w:r>
              <w:rPr/>
              <w:t>项</w:t>
            </w:r>
          </w:p>
        </w:tc>
        <w:tc>
          <w:tcPr>
            <w:tcW w:type="dxa" w:w="933"/>
          </w:tcPr>
          <w:p>
            <w:pPr>
              <w:jc w:val="right"/>
            </w:pPr>
            <w:r>
              <w:rPr/>
              <w:t>1.00</w:t>
            </w:r>
          </w:p>
        </w:tc>
        <w:tc>
          <w:tcPr>
            <w:tcW w:type="dxa" w:w="933"/>
          </w:tcPr>
          <w:p>
            <w:pPr>
              <w:jc w:val="right"/>
            </w:pPr>
            <w:r>
              <w:rPr/>
              <w:t>3,564,166.61</w:t>
            </w:r>
          </w:p>
        </w:tc>
        <w:tc>
          <w:tcPr>
            <w:tcW w:type="dxa" w:w="933"/>
          </w:tcPr>
          <w:p>
            <w:pPr>
              <w:jc w:val="right"/>
            </w:pPr>
            <w:r>
              <w:rPr/>
              <w:t>3,564,166.61</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2024-2026年同和街综合养老服务中心（颐康中心）政府采购项目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一、项目报价</w:t>
            </w:r>
          </w:p>
          <w:p>
            <w:pPr>
              <w:jc w:val="both"/>
            </w:pPr>
            <w:r>
              <w:rPr>
                <w:sz w:val="21"/>
              </w:rPr>
              <w:t>（一）项目费用为同和街街道级社区养老服务设施</w:t>
            </w:r>
            <w:r>
              <w:rPr>
                <w:sz w:val="21"/>
              </w:rPr>
              <w:t>-同和街综合养老服务中心（颐康中心）及社区（村）级社区养老服务设施（颐康服务站）运营经费。项目的服务期为两年8个月27天，第一年服务期为8个月27天，第二、第三年服务期均为一整年，采购合同一年一签。每年年底由区居家养老服务指导中心统一开展服务评估，评估合格后续签，评估不合格的，限期整改复查仍不合格的不予续签。运营经费含地水电费、人员经费、服务支持经费、专业支持经费、设备维护经费、宣传经费、培训教育经费、办公经费及由项目开展而产生的其他费用，按合同约定的方式分期拨付。</w:t>
            </w:r>
          </w:p>
          <w:p>
            <w:pPr>
              <w:jc w:val="center"/>
            </w:pPr>
            <w:r>
              <w:rPr>
                <w:b/>
                <w:sz w:val="21"/>
              </w:rPr>
              <w:t>表</w:t>
            </w:r>
            <w:r>
              <w:rPr>
                <w:b/>
                <w:sz w:val="21"/>
              </w:rPr>
              <w:t>1 运营经费一览表</w:t>
            </w:r>
          </w:p>
          <w:tbl>
            <w:tblPr>
              <w:tblBorders>
                <w:top w:val="none" w:color="000000" w:sz="4"/>
                <w:left w:val="none" w:color="000000" w:sz="4"/>
                <w:bottom w:val="none" w:color="000000" w:sz="4"/>
                <w:right w:val="none" w:color="000000" w:sz="4"/>
                <w:insideH w:val="none"/>
                <w:insideV w:val="none"/>
              </w:tblBorders>
            </w:tblPr>
            <w:tblGrid>
              <w:gridCol w:w="1022"/>
              <w:gridCol w:w="537"/>
              <w:gridCol w:w="347"/>
              <w:gridCol w:w="632"/>
              <w:gridCol w:w="632"/>
              <w:gridCol w:w="1191"/>
              <w:gridCol w:w="1191"/>
            </w:tblGrid>
            <w:tr>
              <w:tc>
                <w:tcPr>
                  <w:tcW w:type="dxa" w:w="1022"/>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537"/>
                  <w:tcBorders>
                    <w:top w:val="single" w:color="000000" w:sz="4"/>
                    <w:left w:val="single" w:color="000000" w:sz="4"/>
                    <w:bottom w:val="single" w:color="000000" w:sz="4"/>
                    <w:right w:val="single" w:color="000000" w:sz="4"/>
                  </w:tcBorders>
                  <w:vAlign w:val="top"/>
                </w:tcPr>
                <w:p>
                  <w:pPr>
                    <w:jc w:val="left"/>
                  </w:pPr>
                  <w:r>
                    <w:rPr>
                      <w:sz w:val="21"/>
                    </w:rPr>
                    <w:t>设施名称</w:t>
                  </w:r>
                </w:p>
              </w:tc>
              <w:tc>
                <w:tcPr>
                  <w:tcW w:type="dxa" w:w="347"/>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每年度最低服务</w:t>
                  </w:r>
                </w:p>
                <w:p>
                  <w:pPr>
                    <w:jc w:val="center"/>
                  </w:pPr>
                  <w:r>
                    <w:rPr>
                      <w:sz w:val="21"/>
                    </w:rPr>
                    <w:t>总工时</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每年度最高服务</w:t>
                  </w:r>
                </w:p>
                <w:p>
                  <w:pPr>
                    <w:jc w:val="center"/>
                  </w:pPr>
                  <w:r>
                    <w:rPr>
                      <w:sz w:val="21"/>
                    </w:rPr>
                    <w:t>总工时</w:t>
                  </w:r>
                </w:p>
              </w:tc>
              <w:tc>
                <w:tcPr>
                  <w:tcW w:type="dxa" w:w="1191"/>
                  <w:tcBorders>
                    <w:top w:val="single" w:color="000000" w:sz="4"/>
                    <w:left w:val="single" w:color="000000" w:sz="4"/>
                    <w:bottom w:val="single" w:color="000000" w:sz="4"/>
                    <w:right w:val="single" w:color="000000" w:sz="4"/>
                  </w:tcBorders>
                  <w:vAlign w:val="top"/>
                </w:tcPr>
                <w:p>
                  <w:pPr>
                    <w:jc w:val="center"/>
                  </w:pPr>
                  <w:r>
                    <w:rPr>
                      <w:sz w:val="21"/>
                    </w:rPr>
                    <w:t>采购预算（人民币：万元）</w:t>
                  </w:r>
                </w:p>
              </w:tc>
              <w:tc>
                <w:tcPr>
                  <w:tcW w:type="dxa" w:w="1191"/>
                  <w:tcBorders>
                    <w:top w:val="single" w:color="000000" w:sz="4"/>
                    <w:left w:val="single" w:color="000000" w:sz="4"/>
                    <w:bottom w:val="single" w:color="000000" w:sz="4"/>
                    <w:right w:val="single" w:color="000000" w:sz="4"/>
                  </w:tcBorders>
                  <w:vAlign w:val="top"/>
                </w:tcPr>
                <w:p>
                  <w:pPr>
                    <w:jc w:val="center"/>
                  </w:pPr>
                  <w:r>
                    <w:rPr>
                      <w:sz w:val="21"/>
                    </w:rPr>
                    <w:t>两年</w:t>
                  </w:r>
                  <w:r>
                    <w:rPr>
                      <w:sz w:val="21"/>
                    </w:rPr>
                    <w:t>8个月27天采购总预算</w:t>
                  </w:r>
                </w:p>
                <w:p>
                  <w:pPr>
                    <w:jc w:val="both"/>
                  </w:pPr>
                  <w:r>
                    <w:rPr>
                      <w:sz w:val="21"/>
                    </w:rPr>
                    <w:t>（人民币：万元）</w:t>
                  </w:r>
                </w:p>
              </w:tc>
            </w:tr>
            <w:tr>
              <w:tc>
                <w:tcPr>
                  <w:tcW w:type="dxa" w:w="1022"/>
                  <w:vMerge w:val="restart"/>
                  <w:tcBorders>
                    <w:top w:val="none" w:color="000000" w:sz="4"/>
                    <w:left w:val="single" w:color="000000" w:sz="4"/>
                    <w:bottom w:val="single" w:color="000000" w:sz="4"/>
                    <w:right w:val="single" w:color="000000" w:sz="4"/>
                  </w:tcBorders>
                  <w:vAlign w:val="top"/>
                </w:tcPr>
                <w:p>
                  <w:r>
                    <w:rPr>
                      <w:sz w:val="21"/>
                    </w:rPr>
                    <w:t>2024-2026年同和街综合养老服务中心（颐康中心）政府采购项目</w:t>
                  </w:r>
                </w:p>
              </w:tc>
              <w:tc>
                <w:tcPr>
                  <w:tcW w:type="dxa" w:w="537"/>
                  <w:tcBorders>
                    <w:top w:val="none" w:color="000000" w:sz="4"/>
                    <w:left w:val="single" w:color="000000" w:sz="4"/>
                    <w:bottom w:val="single" w:color="000000" w:sz="4"/>
                    <w:right w:val="single" w:color="000000" w:sz="4"/>
                  </w:tcBorders>
                  <w:vAlign w:val="top"/>
                </w:tcPr>
                <w:p>
                  <w:r>
                    <w:rPr>
                      <w:sz w:val="21"/>
                    </w:rPr>
                    <w:t>同和</w:t>
                  </w:r>
                  <w:r>
                    <w:rPr>
                      <w:sz w:val="21"/>
                    </w:rPr>
                    <w:t>街综合养老服务中心（颐康中心）</w:t>
                  </w:r>
                </w:p>
              </w:tc>
              <w:tc>
                <w:tcPr>
                  <w:tcW w:type="dxa" w:w="3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32"/>
                  <w:vMerge w:val="restart"/>
                  <w:tcBorders>
                    <w:top w:val="none" w:color="000000" w:sz="4"/>
                    <w:left w:val="single" w:color="000000" w:sz="4"/>
                    <w:bottom w:val="single" w:color="000000" w:sz="4"/>
                    <w:right w:val="single" w:color="000000" w:sz="4"/>
                  </w:tcBorders>
                  <w:vAlign w:val="top"/>
                </w:tcPr>
                <w:p>
                  <w:r>
                    <w:rPr>
                      <w:sz w:val="21"/>
                    </w:rPr>
                    <w:t>16510</w:t>
                  </w:r>
                </w:p>
                <w:p>
                  <w:r>
                    <w:rPr>
                      <w:sz w:val="21"/>
                    </w:rPr>
                    <w:t>小时（注：</w:t>
                  </w:r>
                  <w:r>
                    <w:rPr>
                      <w:sz w:val="21"/>
                    </w:rPr>
                    <w:t>2024年12382小时）</w:t>
                  </w:r>
                </w:p>
              </w:tc>
              <w:tc>
                <w:tcPr>
                  <w:tcW w:type="dxa" w:w="632"/>
                  <w:vMerge w:val="restart"/>
                  <w:tcBorders>
                    <w:top w:val="none" w:color="000000" w:sz="4"/>
                    <w:left w:val="single" w:color="000000" w:sz="4"/>
                    <w:bottom w:val="single" w:color="000000" w:sz="4"/>
                    <w:right w:val="single" w:color="000000" w:sz="4"/>
                  </w:tcBorders>
                  <w:vAlign w:val="top"/>
                </w:tcPr>
                <w:p>
                  <w:r>
                    <w:rPr>
                      <w:sz w:val="21"/>
                    </w:rPr>
                    <w:t>21560</w:t>
                  </w:r>
                </w:p>
                <w:p>
                  <w:r>
                    <w:rPr>
                      <w:sz w:val="21"/>
                    </w:rPr>
                    <w:t>小时（注：</w:t>
                  </w:r>
                  <w:r>
                    <w:rPr>
                      <w:sz w:val="21"/>
                    </w:rPr>
                    <w:t>2024年16170小时）</w:t>
                  </w:r>
                </w:p>
              </w:tc>
              <w:tc>
                <w:tcPr>
                  <w:tcW w:type="dxa" w:w="1191"/>
                  <w:vMerge w:val="restart"/>
                  <w:tcBorders>
                    <w:top w:val="none" w:color="000000" w:sz="4"/>
                    <w:left w:val="single" w:color="000000" w:sz="4"/>
                    <w:bottom w:val="single" w:color="000000" w:sz="4"/>
                    <w:right w:val="single" w:color="000000" w:sz="4"/>
                  </w:tcBorders>
                  <w:vAlign w:val="top"/>
                </w:tcPr>
                <w:p>
                  <w:r>
                    <w:rPr>
                      <w:sz w:val="21"/>
                    </w:rPr>
                    <w:t>130万元/年（注：2024年96.416661万元）</w:t>
                  </w:r>
                </w:p>
              </w:tc>
              <w:tc>
                <w:tcPr>
                  <w:tcW w:type="dxa" w:w="1191"/>
                  <w:vMerge w:val="restart"/>
                  <w:tcBorders>
                    <w:top w:val="none" w:color="000000" w:sz="4"/>
                    <w:left w:val="single" w:color="000000" w:sz="4"/>
                    <w:bottom w:val="single" w:color="000000" w:sz="4"/>
                    <w:right w:val="single" w:color="000000" w:sz="4"/>
                  </w:tcBorders>
                  <w:vAlign w:val="top"/>
                </w:tcPr>
                <w:p>
                  <w:r>
                    <w:rPr>
                      <w:sz w:val="21"/>
                    </w:rPr>
                    <w:t>356.416661万元</w:t>
                  </w:r>
                </w:p>
              </w:tc>
            </w:tr>
            <w:tr>
              <w:tc>
                <w:tcPr>
                  <w:tcW w:type="dxa" w:w="1022"/>
                  <w:vMerge/>
                  <w:tcBorders>
                    <w:top w:val="none" w:color="000000" w:sz="4"/>
                    <w:left w:val="single" w:color="000000" w:sz="4"/>
                    <w:bottom w:val="single" w:color="000000" w:sz="4"/>
                    <w:right w:val="single" w:color="000000" w:sz="4"/>
                  </w:tcBorders>
                </w:tcPr>
                <w:p/>
              </w:tc>
              <w:tc>
                <w:tcPr>
                  <w:tcW w:type="dxa" w:w="537"/>
                  <w:tcBorders>
                    <w:top w:val="none" w:color="000000" w:sz="4"/>
                    <w:left w:val="single" w:color="000000" w:sz="4"/>
                    <w:bottom w:val="single" w:color="000000" w:sz="4"/>
                    <w:right w:val="single" w:color="000000" w:sz="4"/>
                  </w:tcBorders>
                  <w:vAlign w:val="top"/>
                </w:tcPr>
                <w:p>
                  <w:pPr>
                    <w:jc w:val="both"/>
                  </w:pPr>
                  <w:r>
                    <w:rPr>
                      <w:sz w:val="21"/>
                    </w:rPr>
                    <w:t>同和</w:t>
                  </w:r>
                  <w:r>
                    <w:rPr>
                      <w:sz w:val="21"/>
                    </w:rPr>
                    <w:t>街道社区颐康服务站</w:t>
                  </w:r>
                </w:p>
              </w:tc>
              <w:tc>
                <w:tcPr>
                  <w:tcW w:type="dxa" w:w="347"/>
                  <w:tcBorders>
                    <w:top w:val="none" w:color="000000" w:sz="4"/>
                    <w:left w:val="single" w:color="000000" w:sz="4"/>
                    <w:bottom w:val="single" w:color="000000" w:sz="4"/>
                    <w:right w:val="single" w:color="000000" w:sz="4"/>
                  </w:tcBorders>
                  <w:vAlign w:val="top"/>
                </w:tcPr>
                <w:p>
                  <w:pPr>
                    <w:jc w:val="center"/>
                  </w:pPr>
                  <w:r>
                    <w:rPr>
                      <w:sz w:val="21"/>
                    </w:rPr>
                    <w:t>18</w:t>
                  </w:r>
                </w:p>
              </w:tc>
            </w:tr>
          </w:tbl>
          <w:p>
            <w:pPr>
              <w:jc w:val="left"/>
            </w:pPr>
          </w:p>
          <w:p>
            <w:pPr>
              <w:jc w:val="left"/>
            </w:pPr>
            <w:r>
              <w:rPr>
                <w:sz w:val="21"/>
              </w:rPr>
              <w:t>（注：服务供应商必须对本项目整体内容进行投标，只对本项目部分内容进行投标的将被视为无效投标。）</w:t>
            </w:r>
          </w:p>
          <w:p>
            <w:pPr>
              <w:jc w:val="left"/>
            </w:pPr>
            <w:r>
              <w:rPr>
                <w:sz w:val="21"/>
              </w:rPr>
              <w:t>如存在前一机构延长服务期限的情况，成交供应商收到采购人首笔付款后</w:t>
            </w:r>
            <w:r>
              <w:rPr>
                <w:sz w:val="21"/>
              </w:rPr>
              <w:t>5个工作日内，根据延长服务天数支付给上一家延长成交供应商。服务工时量按实际延长时间相应比例由新旧两机构分配。</w:t>
            </w:r>
          </w:p>
          <w:p>
            <w:pPr>
              <w:jc w:val="both"/>
            </w:pPr>
            <w:r>
              <w:rPr>
                <w:sz w:val="21"/>
              </w:rPr>
              <w:t>（二）本项目为固定总价项目，响应供应商按照本项目采购预算（人民币</w:t>
            </w:r>
            <w:r>
              <w:rPr>
                <w:sz w:val="21"/>
              </w:rPr>
              <w:t>356.416661万元）进行报价，价格分按照响应供应商服务总工时计算得分。</w:t>
            </w:r>
          </w:p>
          <w:p>
            <w:pPr>
              <w:jc w:val="both"/>
            </w:pPr>
            <w:r>
              <w:rPr>
                <w:sz w:val="21"/>
              </w:rPr>
              <w:t>★因采购文件中的格式为自动生成格式，与实际报价需求不符。为保证响应报价清晰合理，各响应供应商的《分项报价表》以下面格式为准。</w:t>
            </w:r>
          </w:p>
          <w:tbl>
            <w:tblPr>
              <w:tblInd w:type="dxa" w:w="120"/>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center"/>
                  </w:pPr>
                  <w:r>
                    <w:rPr>
                      <w:sz w:val="21"/>
                    </w:rPr>
                    <w:t>分项报价表</w:t>
                  </w:r>
                </w:p>
              </w:tc>
            </w:tr>
            <w:tr>
              <w:tc>
                <w:tcPr>
                  <w:tcW w:type="dxa" w:w="5598"/>
                  <w:tcBorders>
                    <w:top w:val="none" w:color="000000" w:sz="4"/>
                    <w:left w:val="single" w:color="000000" w:sz="4"/>
                    <w:bottom w:val="single" w:color="000000" w:sz="4"/>
                    <w:right w:val="single" w:color="000000" w:sz="4"/>
                  </w:tcBorders>
                  <w:vAlign w:val="top"/>
                </w:tcPr>
                <w:p>
                  <w:pPr>
                    <w:jc w:val="both"/>
                  </w:pPr>
                  <w:r>
                    <w:rPr>
                      <w:sz w:val="21"/>
                    </w:rPr>
                    <w:t>项目编号：</w:t>
                  </w:r>
                </w:p>
                <w:p>
                  <w:pPr>
                    <w:jc w:val="both"/>
                  </w:pPr>
                  <w:r>
                    <w:rPr>
                      <w:sz w:val="21"/>
                    </w:rPr>
                    <w:t>项目名称：</w:t>
                  </w:r>
                </w:p>
                <w:p>
                  <w:pPr>
                    <w:jc w:val="both"/>
                  </w:pPr>
                  <w:r>
                    <w:rPr>
                      <w:sz w:val="21"/>
                    </w:rPr>
                    <w:t>响应供应商名称：</w:t>
                  </w:r>
                </w:p>
                <w:tbl>
                  <w:tblPr>
                    <w:tblBorders>
                      <w:top w:val="none" w:color="000000" w:sz="4"/>
                      <w:left w:val="none" w:color="000000" w:sz="4"/>
                      <w:bottom w:val="none" w:color="000000" w:sz="4"/>
                      <w:right w:val="none" w:color="000000" w:sz="4"/>
                      <w:insideH w:val="none"/>
                      <w:insideV w:val="none"/>
                    </w:tblBorders>
                  </w:tblPr>
                  <w:tblGrid>
                    <w:gridCol w:w="1628"/>
                    <w:gridCol w:w="1099"/>
                    <w:gridCol w:w="1587"/>
                    <w:gridCol w:w="1068"/>
                  </w:tblGrid>
                  <w:tr>
                    <w:tc>
                      <w:tcPr>
                        <w:tcW w:type="dxa" w:w="1628"/>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1099"/>
                        <w:tcBorders>
                          <w:top w:val="single" w:color="000000" w:sz="4"/>
                          <w:left w:val="single" w:color="000000" w:sz="4"/>
                          <w:bottom w:val="single" w:color="000000" w:sz="4"/>
                          <w:right w:val="single" w:color="000000" w:sz="4"/>
                        </w:tcBorders>
                        <w:vAlign w:val="top"/>
                      </w:tcPr>
                      <w:p>
                        <w:pPr>
                          <w:jc w:val="center"/>
                        </w:pPr>
                        <w:r>
                          <w:rPr>
                            <w:sz w:val="21"/>
                          </w:rPr>
                          <w:t>响应报价</w:t>
                        </w:r>
                      </w:p>
                      <w:p>
                        <w:pPr>
                          <w:jc w:val="center"/>
                        </w:pPr>
                        <w:r>
                          <w:rPr>
                            <w:sz w:val="21"/>
                          </w:rPr>
                          <w:t>（元</w:t>
                        </w:r>
                        <w:r>
                          <w:rPr>
                            <w:sz w:val="21"/>
                          </w:rPr>
                          <w:t>/两年8个月27天）</w:t>
                        </w:r>
                      </w:p>
                    </w:tc>
                    <w:tc>
                      <w:tcPr>
                        <w:tcW w:type="dxa" w:w="1587"/>
                        <w:tcBorders>
                          <w:top w:val="single" w:color="000000" w:sz="4"/>
                          <w:left w:val="single" w:color="000000" w:sz="4"/>
                          <w:bottom w:val="single" w:color="000000" w:sz="4"/>
                          <w:right w:val="single" w:color="000000" w:sz="4"/>
                        </w:tcBorders>
                        <w:vAlign w:val="top"/>
                      </w:tcPr>
                      <w:p>
                        <w:pPr>
                          <w:jc w:val="center"/>
                        </w:pPr>
                        <w:r>
                          <w:rPr>
                            <w:sz w:val="21"/>
                          </w:rPr>
                          <w:t>年度服务总工时</w:t>
                        </w:r>
                      </w:p>
                      <w:p>
                        <w:pPr>
                          <w:jc w:val="center"/>
                        </w:pPr>
                        <w:r>
                          <w:rPr>
                            <w:sz w:val="21"/>
                          </w:rPr>
                          <w:t>（小时</w:t>
                        </w:r>
                        <w:r>
                          <w:rPr>
                            <w:sz w:val="21"/>
                          </w:rPr>
                          <w:t>/年）</w:t>
                        </w:r>
                      </w:p>
                    </w:tc>
                    <w:tc>
                      <w:tcPr>
                        <w:tcW w:type="dxa" w:w="106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1628"/>
                        <w:tcBorders>
                          <w:top w:val="none" w:color="000000" w:sz="4"/>
                          <w:left w:val="single" w:color="000000" w:sz="4"/>
                          <w:bottom w:val="single" w:color="000000" w:sz="4"/>
                          <w:right w:val="single" w:color="000000" w:sz="4"/>
                        </w:tcBorders>
                        <w:vAlign w:val="top"/>
                      </w:tcPr>
                      <w:p>
                        <w:r>
                          <w:rPr>
                            <w:sz w:val="21"/>
                          </w:rPr>
                          <w:t>2024-2026年同和街综合养老服务中心（颐康中心）政府采购项目</w:t>
                        </w:r>
                      </w:p>
                    </w:tc>
                    <w:tc>
                      <w:tcPr>
                        <w:tcW w:type="dxa" w:w="1099"/>
                        <w:tcBorders>
                          <w:top w:val="none" w:color="000000" w:sz="4"/>
                          <w:left w:val="single" w:color="000000" w:sz="4"/>
                          <w:bottom w:val="single" w:color="000000" w:sz="4"/>
                          <w:right w:val="single" w:color="000000" w:sz="4"/>
                        </w:tcBorders>
                        <w:vAlign w:val="top"/>
                      </w:tcPr>
                      <w:p>
                        <w:pPr>
                          <w:jc w:val="center"/>
                        </w:pPr>
                        <w:r>
                          <w:rPr>
                            <w:sz w:val="21"/>
                          </w:rPr>
                          <w:t>356.416661万</w:t>
                        </w:r>
                      </w:p>
                    </w:tc>
                    <w:tc>
                      <w:tcPr>
                        <w:tcW w:type="dxa" w:w="1587"/>
                        <w:tcBorders>
                          <w:top w:val="none" w:color="000000" w:sz="4"/>
                          <w:left w:val="single" w:color="000000" w:sz="4"/>
                          <w:bottom w:val="single" w:color="000000" w:sz="4"/>
                          <w:right w:val="single" w:color="000000" w:sz="4"/>
                        </w:tcBorders>
                        <w:vAlign w:val="top"/>
                      </w:tcPr>
                      <w:p>
                        <w:pPr>
                          <w:jc w:val="left"/>
                        </w:pPr>
                        <w:r>
                          <w:rPr>
                            <w:sz w:val="21"/>
                          </w:rPr>
                          <w:t>2024年：</w:t>
                        </w:r>
                        <w:r>
                          <w:rPr>
                            <w:sz w:val="21"/>
                            <w:u w:val="single"/>
                          </w:rPr>
                          <w:t xml:space="preserve">          </w:t>
                        </w:r>
                      </w:p>
                      <w:p>
                        <w:pPr>
                          <w:jc w:val="left"/>
                        </w:pPr>
                        <w:r>
                          <w:rPr>
                            <w:sz w:val="21"/>
                          </w:rPr>
                          <w:t>2025年、2026年：</w:t>
                        </w:r>
                        <w:r>
                          <w:rPr>
                            <w:sz w:val="21"/>
                            <w:u w:val="single"/>
                          </w:rPr>
                          <w:t xml:space="preserve">   </w:t>
                        </w:r>
                        <w:r>
                          <w:rPr>
                            <w:sz w:val="21"/>
                            <w:u w:val="single"/>
                          </w:rPr>
                          <w:t xml:space="preserve">   </w:t>
                        </w:r>
                        <w:r>
                          <w:rPr>
                            <w:sz w:val="21"/>
                          </w:rPr>
                          <w:t xml:space="preserve"> </w:t>
                        </w:r>
                      </w:p>
                    </w:tc>
                    <w:tc>
                      <w:tcPr>
                        <w:tcW w:type="dxa" w:w="1068"/>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备注：</w:t>
                  </w:r>
                  <w:r>
                    <w:rPr>
                      <w:sz w:val="21"/>
                    </w:rPr>
                    <w:t>1.服务总工时必须固定唯一且在采购文件规定的范围之内，否则视为无效响应。本项目年度最低服务总工时：16510小时；项目年度最高服务总工时：21560小时，不足一年按比例计算服务工时。</w:t>
                  </w:r>
                </w:p>
                <w:p>
                  <w:pPr>
                    <w:jc w:val="both"/>
                  </w:pPr>
                  <w:r>
                    <w:rPr>
                      <w:sz w:val="21"/>
                    </w:rPr>
                    <w:t>2.本项目的报价总价为采购预算金额，不得修改，否则按无效响应处理。</w:t>
                  </w:r>
                </w:p>
                <w:p>
                  <w:pPr>
                    <w:jc w:val="both"/>
                  </w:pPr>
                </w:p>
                <w:p>
                  <w:pPr>
                    <w:jc w:val="both"/>
                  </w:pPr>
                  <w:r>
                    <w:rPr>
                      <w:sz w:val="21"/>
                    </w:rPr>
                    <w:t>响应供应商签章：</w:t>
                  </w:r>
                  <w:r>
                    <w:rPr>
                      <w:sz w:val="21"/>
                    </w:rPr>
                    <w:t>__________________</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tc>
            </w:tr>
          </w:tbl>
          <w:p/>
          <w:p>
            <w:r>
              <w:rPr>
                <w:b/>
                <w:sz w:val="21"/>
              </w:rPr>
              <w:t>二、项目需求</w:t>
            </w:r>
          </w:p>
          <w:p>
            <w:pPr>
              <w:jc w:val="left"/>
            </w:pPr>
            <w:r>
              <w:rPr>
                <w:b/>
                <w:sz w:val="21"/>
              </w:rPr>
              <w:t>（一）项目内容</w:t>
            </w:r>
          </w:p>
          <w:p>
            <w:pPr>
              <w:ind w:firstLine="420"/>
              <w:jc w:val="left"/>
            </w:pPr>
            <w:r>
              <w:rPr>
                <w:sz w:val="21"/>
              </w:rPr>
              <w:t>根据广州市养老服务规定，为了更好地满足服务区域内的老年人多元化、个性化的服务需求，通过上门和到服务点等形式，为有需要的老年人提供养老服务向导、助餐配餐、生活照料、定期训访、辅具租赁、平安通、家庭照护培训、文体教育、居家适老化改造、家庭养老床位、日间托管、临时托养、医养康养、康复护理等基本养老服务的功能，重点为有需求的失能、失智老年人提供服务。</w:t>
            </w:r>
          </w:p>
          <w:p>
            <w:pPr>
              <w:ind w:firstLine="420"/>
              <w:jc w:val="left"/>
            </w:pPr>
            <w:r>
              <w:rPr>
                <w:sz w:val="21"/>
              </w:rPr>
              <w:t>截至</w:t>
            </w:r>
            <w:r>
              <w:rPr>
                <w:sz w:val="21"/>
              </w:rPr>
              <w:t>202</w:t>
            </w:r>
            <w:r>
              <w:rPr>
                <w:sz w:val="21"/>
              </w:rPr>
              <w:t>3</w:t>
            </w:r>
            <w:r>
              <w:rPr>
                <w:sz w:val="21"/>
              </w:rPr>
              <w:t>年</w:t>
            </w:r>
            <w:r>
              <w:rPr>
                <w:sz w:val="21"/>
              </w:rPr>
              <w:t>12月，同和街现有60周岁以上户籍长者4232人、常住半年以上长者3278人，空巢老人70 人、独居老人31人、孤寡老人12人、散居特困长者1人、计生特殊家庭23人。</w:t>
            </w:r>
            <w:r>
              <w:rPr>
                <w:sz w:val="21"/>
              </w:rPr>
              <w:t>（</w:t>
            </w:r>
            <w:r>
              <w:rPr>
                <w:sz w:val="21"/>
              </w:rPr>
              <w:t>2024年数据以当年实际情况为准。）</w:t>
            </w:r>
          </w:p>
          <w:p>
            <w:pPr>
              <w:jc w:val="left"/>
            </w:pPr>
            <w:r>
              <w:rPr>
                <w:b/>
                <w:sz w:val="21"/>
              </w:rPr>
              <w:t>（二）服务设施</w:t>
            </w:r>
          </w:p>
          <w:p>
            <w:pPr>
              <w:jc w:val="left"/>
            </w:pPr>
            <w:r>
              <w:rPr>
                <w:sz w:val="21"/>
              </w:rPr>
              <w:t>运营同和街综合养老服务中心（颐康中心）、颐康服务站、长者饭堂等服务场地设施，充分发挥场地设备的功能作用，为老年人开展专业化服务。</w:t>
            </w:r>
          </w:p>
          <w:p>
            <w:pPr>
              <w:jc w:val="center"/>
            </w:pPr>
            <w:r>
              <w:rPr>
                <w:b/>
                <w:sz w:val="21"/>
              </w:rPr>
              <w:t>表</w:t>
            </w:r>
            <w:r>
              <w:rPr>
                <w:b/>
                <w:sz w:val="21"/>
              </w:rPr>
              <w:t>2 服务设施一览表</w:t>
            </w:r>
          </w:p>
          <w:tbl>
            <w:tblPr>
              <w:tblInd w:type="dxa" w:w="120"/>
              <w:tblBorders>
                <w:top w:val="none" w:color="000000" w:sz="4"/>
                <w:left w:val="none" w:color="000000" w:sz="4"/>
                <w:bottom w:val="none" w:color="000000" w:sz="4"/>
                <w:right w:val="none" w:color="000000" w:sz="4"/>
                <w:insideH w:val="none"/>
                <w:insideV w:val="none"/>
              </w:tblBorders>
            </w:tblPr>
            <w:tblGrid>
              <w:gridCol w:w="598"/>
              <w:gridCol w:w="1638"/>
              <w:gridCol w:w="2027"/>
              <w:gridCol w:w="1312"/>
            </w:tblGrid>
            <w:tr>
              <w:tc>
                <w:tcPr>
                  <w:tcW w:type="dxa" w:w="59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38"/>
                  <w:tcBorders>
                    <w:top w:val="single" w:color="000000" w:sz="4"/>
                    <w:left w:val="none" w:color="000000" w:sz="4"/>
                    <w:bottom w:val="single" w:color="000000" w:sz="4"/>
                    <w:right w:val="single" w:color="000000" w:sz="4"/>
                  </w:tcBorders>
                  <w:vAlign w:val="top"/>
                </w:tcPr>
                <w:p>
                  <w:pPr>
                    <w:jc w:val="center"/>
                  </w:pPr>
                  <w:r>
                    <w:rPr>
                      <w:sz w:val="21"/>
                    </w:rPr>
                    <w:t>设施名称</w:t>
                  </w:r>
                </w:p>
              </w:tc>
              <w:tc>
                <w:tcPr>
                  <w:tcW w:type="dxa" w:w="2027"/>
                  <w:tcBorders>
                    <w:top w:val="single" w:color="000000" w:sz="4"/>
                    <w:left w:val="none" w:color="000000" w:sz="4"/>
                    <w:bottom w:val="single" w:color="000000" w:sz="4"/>
                    <w:right w:val="single" w:color="000000" w:sz="4"/>
                  </w:tcBorders>
                  <w:vAlign w:val="top"/>
                </w:tcPr>
                <w:p>
                  <w:pPr>
                    <w:jc w:val="center"/>
                  </w:pPr>
                  <w:r>
                    <w:rPr>
                      <w:sz w:val="21"/>
                    </w:rPr>
                    <w:t>设施地址（具体到楼层）</w:t>
                  </w:r>
                </w:p>
              </w:tc>
              <w:tc>
                <w:tcPr>
                  <w:tcW w:type="dxa" w:w="1312"/>
                  <w:tcBorders>
                    <w:top w:val="single" w:color="000000" w:sz="4"/>
                    <w:left w:val="none" w:color="000000" w:sz="4"/>
                    <w:bottom w:val="single" w:color="000000" w:sz="4"/>
                    <w:right w:val="single" w:color="000000" w:sz="4"/>
                  </w:tcBorders>
                  <w:vAlign w:val="top"/>
                </w:tcPr>
                <w:p>
                  <w:pPr>
                    <w:jc w:val="center"/>
                  </w:pPr>
                  <w:r>
                    <w:rPr>
                      <w:sz w:val="21"/>
                    </w:rPr>
                    <w:t>可使用面积（㎡）</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同和</w:t>
                  </w:r>
                  <w:r>
                    <w:rPr>
                      <w:sz w:val="21"/>
                    </w:rPr>
                    <w:t>街综合养老服务中心（颐康中心）</w:t>
                  </w:r>
                </w:p>
              </w:tc>
              <w:tc>
                <w:tcPr>
                  <w:tcW w:type="dxa" w:w="2027"/>
                  <w:tcBorders>
                    <w:top w:val="none" w:color="000000" w:sz="4"/>
                    <w:left w:val="none" w:color="000000" w:sz="4"/>
                    <w:bottom w:val="single" w:color="000000" w:sz="4"/>
                    <w:right w:val="single" w:color="000000" w:sz="4"/>
                  </w:tcBorders>
                  <w:vAlign w:val="top"/>
                </w:tcPr>
                <w:p>
                  <w:pPr>
                    <w:jc w:val="center"/>
                  </w:pPr>
                  <w:r>
                    <w:rPr>
                      <w:b/>
                      <w:sz w:val="21"/>
                    </w:rPr>
                    <w:t>由成交供应商提供</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白云区同和街白云山制药厂社区</w:t>
                  </w:r>
                  <w:r>
                    <w:rPr>
                      <w:sz w:val="21"/>
                    </w:rPr>
                    <w:t>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同和街白云山制药厂社区云祥路</w:t>
                  </w:r>
                  <w:r>
                    <w:rPr>
                      <w:sz w:val="21"/>
                    </w:rPr>
                    <w:t>97 号 9 栋 1 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白云区同和街蟾蜍石社区颐康服务站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同和街蟾蜍石社区蟾蜍石中街</w:t>
                  </w:r>
                  <w:r>
                    <w:rPr>
                      <w:sz w:val="21"/>
                    </w:rPr>
                    <w:t>45号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白云区同和街大陂社区颐康服务站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同泰路</w:t>
                  </w:r>
                  <w:r>
                    <w:rPr>
                      <w:sz w:val="21"/>
                    </w:rPr>
                    <w:t>1337 号之十二 101 房物业管理旁边</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白云区同和街富和社区颐康服务站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同和街同沙路</w:t>
                  </w:r>
                  <w:r>
                    <w:rPr>
                      <w:sz w:val="21"/>
                    </w:rPr>
                    <w:t>47号首层</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白云区同和街何屋社区颐康服务站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同和同园中路</w:t>
                  </w:r>
                  <w:r>
                    <w:rPr>
                      <w:sz w:val="21"/>
                    </w:rPr>
                    <w:t>54 号怡园居 E 栋 1 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白云区同和街金湖社区颐康服务站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同和街沙太北路</w:t>
                  </w:r>
                  <w:r>
                    <w:rPr>
                      <w:sz w:val="21"/>
                    </w:rPr>
                    <w:t>389 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白云区同和街老庄社区颐康服务站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同和街老庄社区老庄英豪街立兴巷</w:t>
                  </w:r>
                  <w:r>
                    <w:rPr>
                      <w:sz w:val="21"/>
                    </w:rPr>
                    <w:t>4 号 1 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白云区同和街南湖半岛社区颐康服务站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同和街南湖半岛社区同和路</w:t>
                  </w:r>
                  <w:r>
                    <w:rPr>
                      <w:sz w:val="21"/>
                    </w:rPr>
                    <w:t>998号南湖半岛花园 25 栋首层</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230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白云区同和街榕树头社区颐康服务站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同和街榕树头社区榕树头路市场二楼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白云区同和街石桥头社区颐康服务站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同和街石桥头社区蟹石路</w:t>
                  </w:r>
                  <w:r>
                    <w:rPr>
                      <w:sz w:val="21"/>
                    </w:rPr>
                    <w:t>6号首层及二楼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白云区同和街斯文井社区颐康服务站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同和街同和路</w:t>
                  </w:r>
                  <w:r>
                    <w:rPr>
                      <w:sz w:val="21"/>
                    </w:rPr>
                    <w:t>828号山水庭院小区荔庭街1号G-3099</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白云区同和街握山社区颐康服务站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同和街握山社区握山中路</w:t>
                  </w:r>
                  <w:r>
                    <w:rPr>
                      <w:sz w:val="21"/>
                    </w:rPr>
                    <w:t>41号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白云区同和街蟹山社区颐康服务站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同和街蟹山社区蟹山中街</w:t>
                  </w:r>
                  <w:r>
                    <w:rPr>
                      <w:sz w:val="21"/>
                    </w:rPr>
                    <w:t>42 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白云区同和街新庄社区颐康服务站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同和街新庄社区新庄同新路</w:t>
                  </w:r>
                  <w:r>
                    <w:rPr>
                      <w:sz w:val="21"/>
                    </w:rPr>
                    <w:t>38 号和同心路22号之二</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白云区同和街云祥社区颐康服务站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同和街云祥社区工兵路</w:t>
                  </w:r>
                  <w:r>
                    <w:rPr>
                      <w:sz w:val="21"/>
                    </w:rPr>
                    <w:t>9号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白云区同和街白水塘社区颐康服务站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同和街白水塘西横二路</w:t>
                  </w:r>
                  <w:r>
                    <w:rPr>
                      <w:sz w:val="21"/>
                    </w:rPr>
                    <w:t>6 号之二办公大楼</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白云区同和白山社区颐康服务站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同和街白山西街</w:t>
                  </w:r>
                  <w:r>
                    <w:rPr>
                      <w:sz w:val="21"/>
                    </w:rPr>
                    <w:t>79号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638"/>
                  <w:tcBorders>
                    <w:top w:val="none" w:color="000000" w:sz="4"/>
                    <w:left w:val="none" w:color="000000" w:sz="4"/>
                    <w:bottom w:val="single" w:color="000000" w:sz="4"/>
                    <w:right w:val="single" w:color="000000" w:sz="4"/>
                  </w:tcBorders>
                  <w:vAlign w:val="top"/>
                </w:tcPr>
                <w:p>
                  <w:pPr>
                    <w:jc w:val="center"/>
                  </w:pPr>
                  <w:r>
                    <w:rPr>
                      <w:sz w:val="21"/>
                    </w:rPr>
                    <w:t>白云区同和街倚绿山庄颐康服务站</w:t>
                  </w:r>
                </w:p>
              </w:tc>
              <w:tc>
                <w:tcPr>
                  <w:tcW w:type="dxa" w:w="2027"/>
                  <w:tcBorders>
                    <w:top w:val="none" w:color="000000" w:sz="4"/>
                    <w:left w:val="none" w:color="000000" w:sz="4"/>
                    <w:bottom w:val="single" w:color="000000" w:sz="4"/>
                    <w:right w:val="single" w:color="000000" w:sz="4"/>
                  </w:tcBorders>
                  <w:vAlign w:val="top"/>
                </w:tcPr>
                <w:p>
                  <w:pPr>
                    <w:jc w:val="center"/>
                  </w:pPr>
                  <w:r>
                    <w:rPr>
                      <w:sz w:val="21"/>
                    </w:rPr>
                    <w:t>同和街倚绿东街</w:t>
                  </w:r>
                  <w:r>
                    <w:rPr>
                      <w:sz w:val="21"/>
                    </w:rPr>
                    <w:t>9号</w:t>
                  </w:r>
                </w:p>
              </w:tc>
              <w:tc>
                <w:tcPr>
                  <w:tcW w:type="dxa" w:w="1312"/>
                  <w:tcBorders>
                    <w:top w:val="none" w:color="000000" w:sz="4"/>
                    <w:left w:val="none" w:color="000000" w:sz="4"/>
                    <w:bottom w:val="single" w:color="000000" w:sz="4"/>
                    <w:right w:val="single" w:color="000000" w:sz="4"/>
                  </w:tcBorders>
                  <w:vAlign w:val="top"/>
                </w:tcPr>
                <w:p>
                  <w:pPr>
                    <w:jc w:val="center"/>
                  </w:pPr>
                  <w:r>
                    <w:rPr>
                      <w:sz w:val="21"/>
                    </w:rPr>
                    <w:t>150</w:t>
                  </w:r>
                </w:p>
              </w:tc>
            </w:tr>
          </w:tbl>
          <w:p>
            <w:pPr>
              <w:jc w:val="both"/>
            </w:pPr>
          </w:p>
          <w:p>
            <w:pPr>
              <w:jc w:val="left"/>
            </w:pPr>
            <w:r>
              <w:rPr>
                <w:sz w:val="21"/>
              </w:rPr>
              <w:t>注：</w:t>
            </w:r>
            <w:r>
              <w:rPr>
                <w:sz w:val="21"/>
              </w:rPr>
              <w:t>1.</w:t>
            </w:r>
            <w:r>
              <w:rPr>
                <w:sz w:val="21"/>
              </w:rPr>
              <w:t>成交供应商根据实际情况开展建设和运营，将</w:t>
            </w:r>
            <w:r>
              <w:rPr>
                <w:sz w:val="21"/>
              </w:rPr>
              <w:t>所在社区（村）级分散设置的颐康服务站分站整合到该社区（村）级颐康服务站，如地址变更，以实际情况为准。</w:t>
            </w:r>
          </w:p>
          <w:p>
            <w:r>
              <w:rPr>
                <w:sz w:val="21"/>
              </w:rPr>
              <w:t>★</w:t>
            </w:r>
            <w:r>
              <w:rPr>
                <w:sz w:val="21"/>
              </w:rPr>
              <w:t>2.</w:t>
            </w:r>
            <w:r>
              <w:rPr>
                <w:sz w:val="21"/>
              </w:rPr>
              <w:t>如现有颐康中心、颐康服务站点场地建设不符合民政部门的有关要求，成交供应商须按要求进行升级改造建设，其中颐康服务站确无合适场地的，按照不同的服务功能区分散设置，分散设置的分站须有专人负责（提供书面承诺函）。</w:t>
            </w:r>
          </w:p>
          <w:p>
            <w:pPr>
              <w:ind w:firstLine="2530"/>
              <w:jc w:val="both"/>
            </w:pPr>
            <w:r>
              <w:rPr>
                <w:b/>
                <w:sz w:val="21"/>
              </w:rPr>
              <w:t>表</w:t>
            </w:r>
            <w:r>
              <w:rPr>
                <w:b/>
                <w:sz w:val="21"/>
              </w:rPr>
              <w:t>3 服务资助经费一览表</w:t>
            </w:r>
          </w:p>
          <w:tbl>
            <w:tblPr>
              <w:tblBorders>
                <w:top w:val="none" w:color="000000" w:sz="4"/>
                <w:left w:val="none" w:color="000000" w:sz="4"/>
                <w:bottom w:val="none" w:color="000000" w:sz="4"/>
                <w:right w:val="none" w:color="000000" w:sz="4"/>
                <w:insideH w:val="none"/>
                <w:insideV w:val="none"/>
              </w:tblBorders>
            </w:tblPr>
            <w:tblGrid>
              <w:gridCol w:w="2281"/>
              <w:gridCol w:w="1548"/>
              <w:gridCol w:w="1747"/>
            </w:tblGrid>
            <w:tr>
              <w:tc>
                <w:tcPr>
                  <w:tcW w:type="dxa" w:w="2281"/>
                  <w:tcBorders>
                    <w:top w:val="single" w:color="000000" w:sz="4"/>
                    <w:left w:val="single" w:color="000000" w:sz="4"/>
                    <w:bottom w:val="single" w:color="000000" w:sz="4"/>
                    <w:right w:val="single" w:color="000000" w:sz="4"/>
                  </w:tcBorders>
                  <w:vAlign w:val="top"/>
                </w:tcPr>
                <w:p>
                  <w:pPr>
                    <w:jc w:val="center"/>
                  </w:pPr>
                  <w:r>
                    <w:rPr>
                      <w:b/>
                      <w:sz w:val="21"/>
                    </w:rPr>
                    <w:t>资助对象类型</w:t>
                  </w:r>
                </w:p>
              </w:tc>
              <w:tc>
                <w:tcPr>
                  <w:tcW w:type="dxa" w:w="1548"/>
                  <w:tcBorders>
                    <w:top w:val="single" w:color="000000" w:sz="4"/>
                    <w:left w:val="single" w:color="000000" w:sz="4"/>
                    <w:bottom w:val="single" w:color="000000" w:sz="4"/>
                    <w:right w:val="single" w:color="000000" w:sz="4"/>
                  </w:tcBorders>
                  <w:vAlign w:val="top"/>
                </w:tcPr>
                <w:p>
                  <w:pPr>
                    <w:jc w:val="center"/>
                  </w:pPr>
                  <w:r>
                    <w:rPr>
                      <w:b/>
                      <w:sz w:val="21"/>
                    </w:rPr>
                    <w:t>服务人数（约）</w:t>
                  </w:r>
                </w:p>
              </w:tc>
              <w:tc>
                <w:tcPr>
                  <w:tcW w:type="dxa" w:w="1747"/>
                  <w:tcBorders>
                    <w:top w:val="single" w:color="000000" w:sz="4"/>
                    <w:left w:val="single" w:color="000000" w:sz="4"/>
                    <w:bottom w:val="single" w:color="000000" w:sz="4"/>
                    <w:right w:val="single" w:color="000000" w:sz="4"/>
                  </w:tcBorders>
                  <w:vAlign w:val="top"/>
                </w:tcPr>
                <w:p>
                  <w:pPr>
                    <w:jc w:val="center"/>
                  </w:pPr>
                  <w:r>
                    <w:rPr>
                      <w:b/>
                      <w:sz w:val="21"/>
                    </w:rPr>
                    <w:t>资助金额（人</w:t>
                  </w:r>
                  <w:r>
                    <w:rPr>
                      <w:b/>
                      <w:sz w:val="21"/>
                    </w:rPr>
                    <w:t>/元/月）</w:t>
                  </w:r>
                </w:p>
              </w:tc>
            </w:tr>
            <w:tr>
              <w:tc>
                <w:tcPr>
                  <w:tcW w:type="dxa" w:w="2281"/>
                  <w:tcBorders>
                    <w:top w:val="none" w:color="000000" w:sz="4"/>
                    <w:left w:val="single" w:color="000000" w:sz="4"/>
                    <w:bottom w:val="single" w:color="000000" w:sz="4"/>
                    <w:right w:val="single" w:color="000000" w:sz="4"/>
                  </w:tcBorders>
                  <w:vAlign w:val="top"/>
                </w:tcPr>
                <w:p>
                  <w:pPr>
                    <w:jc w:val="center"/>
                  </w:pPr>
                  <w:r>
                    <w:rPr>
                      <w:sz w:val="21"/>
                    </w:rPr>
                    <w:t>第一类资助对象中重度失能的</w:t>
                  </w:r>
                </w:p>
              </w:tc>
              <w:tc>
                <w:tcPr>
                  <w:tcW w:type="dxa" w:w="1548"/>
                  <w:tcBorders>
                    <w:top w:val="none" w:color="000000" w:sz="4"/>
                    <w:left w:val="single" w:color="000000" w:sz="4"/>
                    <w:bottom w:val="single" w:color="000000" w:sz="4"/>
                    <w:right w:val="single" w:color="000000" w:sz="4"/>
                  </w:tcBorders>
                  <w:vAlign w:val="top"/>
                </w:tcPr>
                <w:p>
                  <w:pPr>
                    <w:jc w:val="center"/>
                  </w:pPr>
                  <w:r>
                    <w:rPr>
                      <w:sz w:val="21"/>
                    </w:rPr>
                    <w:t>0</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2281"/>
                  <w:tcBorders>
                    <w:top w:val="none" w:color="000000" w:sz="4"/>
                    <w:left w:val="single" w:color="000000" w:sz="4"/>
                    <w:bottom w:val="single" w:color="000000" w:sz="4"/>
                    <w:right w:val="single" w:color="000000" w:sz="4"/>
                  </w:tcBorders>
                  <w:vAlign w:val="top"/>
                </w:tcPr>
                <w:p>
                  <w:pPr>
                    <w:jc w:val="center"/>
                  </w:pPr>
                  <w:r>
                    <w:rPr>
                      <w:sz w:val="21"/>
                    </w:rPr>
                    <w:t>第一类资助对象中非重度失能的</w:t>
                  </w:r>
                </w:p>
              </w:tc>
              <w:tc>
                <w:tcPr>
                  <w:tcW w:type="dxa" w:w="154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2281"/>
                  <w:tcBorders>
                    <w:top w:val="none" w:color="000000" w:sz="4"/>
                    <w:left w:val="single" w:color="000000" w:sz="4"/>
                    <w:bottom w:val="single" w:color="000000" w:sz="4"/>
                    <w:right w:val="single" w:color="000000" w:sz="4"/>
                  </w:tcBorders>
                  <w:vAlign w:val="top"/>
                </w:tcPr>
                <w:p>
                  <w:pPr>
                    <w:jc w:val="center"/>
                  </w:pPr>
                  <w:r>
                    <w:rPr>
                      <w:sz w:val="21"/>
                    </w:rPr>
                    <w:t>第二类资助对象</w:t>
                  </w:r>
                </w:p>
              </w:tc>
              <w:tc>
                <w:tcPr>
                  <w:tcW w:type="dxa" w:w="1548"/>
                  <w:tcBorders>
                    <w:top w:val="none" w:color="000000" w:sz="4"/>
                    <w:left w:val="single" w:color="000000" w:sz="4"/>
                    <w:bottom w:val="single" w:color="000000" w:sz="4"/>
                    <w:right w:val="single" w:color="000000" w:sz="4"/>
                  </w:tcBorders>
                  <w:vAlign w:val="top"/>
                </w:tcPr>
                <w:p>
                  <w:pPr>
                    <w:jc w:val="center"/>
                  </w:pPr>
                  <w:r>
                    <w:rPr>
                      <w:sz w:val="21"/>
                    </w:rPr>
                    <w:t>0</w:t>
                  </w:r>
                </w:p>
              </w:tc>
              <w:tc>
                <w:tcPr>
                  <w:tcW w:type="dxa" w:w="1747"/>
                  <w:tcBorders>
                    <w:top w:val="none" w:color="000000" w:sz="4"/>
                    <w:left w:val="single" w:color="000000" w:sz="4"/>
                    <w:bottom w:val="single" w:color="000000" w:sz="4"/>
                    <w:right w:val="single" w:color="000000" w:sz="4"/>
                  </w:tcBorders>
                  <w:vAlign w:val="top"/>
                </w:tcPr>
                <w:p>
                  <w:pPr>
                    <w:jc w:val="center"/>
                  </w:pPr>
                  <w:r>
                    <w:rPr>
                      <w:sz w:val="21"/>
                    </w:rPr>
                    <w:t>200</w:t>
                  </w:r>
                </w:p>
              </w:tc>
            </w:tr>
          </w:tbl>
          <w:p>
            <w:pPr>
              <w:jc w:val="left"/>
            </w:pPr>
            <w:r>
              <w:rPr>
                <w:sz w:val="21"/>
              </w:rPr>
              <w:t>（注：</w:t>
            </w:r>
            <w:r>
              <w:rPr>
                <w:sz w:val="21"/>
              </w:rPr>
              <w:t>1.服务资助对象类型均对应</w:t>
            </w:r>
            <w:r>
              <w:rPr>
                <w:sz w:val="21"/>
              </w:rPr>
              <w:t>《广州市人民政府办公厅关于印发广州市居家社区养老服务管理办法》（穗府办规〔</w:t>
            </w:r>
            <w:r>
              <w:rPr>
                <w:sz w:val="21"/>
              </w:rPr>
              <w:t>2022〕13号）第二十四条的资助对象类型；</w:t>
            </w:r>
            <w:r>
              <w:rPr>
                <w:sz w:val="21"/>
              </w:rPr>
              <w:t>2.服务资助经费</w:t>
            </w:r>
            <w:r>
              <w:rPr>
                <w:sz w:val="21"/>
              </w:rPr>
              <w:t>根据实际服务情况进行结算；</w:t>
            </w:r>
            <w:r>
              <w:rPr>
                <w:sz w:val="21"/>
              </w:rPr>
              <w:t>3.以上服务对象人数属动态数据。）</w:t>
            </w:r>
          </w:p>
          <w:p>
            <w:pPr>
              <w:jc w:val="left"/>
            </w:pPr>
            <w:r>
              <w:rPr>
                <w:b/>
                <w:sz w:val="21"/>
              </w:rPr>
              <w:t>（三）服务区域：</w:t>
            </w:r>
            <w:r>
              <w:rPr>
                <w:sz w:val="21"/>
              </w:rPr>
              <w:t>广州市白云区同和街道</w:t>
            </w:r>
          </w:p>
          <w:p>
            <w:pPr>
              <w:jc w:val="left"/>
            </w:pPr>
            <w:r>
              <w:rPr>
                <w:b/>
                <w:sz w:val="21"/>
              </w:rPr>
              <w:t>（四）服务对象</w:t>
            </w:r>
          </w:p>
          <w:p>
            <w:pPr>
              <w:ind w:firstLine="420"/>
              <w:jc w:val="left"/>
            </w:pPr>
            <w:r>
              <w:rPr>
                <w:sz w:val="21"/>
              </w:rPr>
              <w:t>为白云区同和街综合养老服务中心（颐康中心）、社区（村）级颐康服务站、区域内有需求的</w:t>
            </w:r>
            <w:r>
              <w:rPr>
                <w:sz w:val="21"/>
              </w:rPr>
              <w:t>60周岁及以上居家老年人，以享受政府资助的社区居家养老服务老年群体作为重点对象，服务率须达到100%；同时发展区域内的老年群体成为服务对象，覆盖率须达到100%。</w:t>
            </w:r>
          </w:p>
          <w:p>
            <w:pPr>
              <w:jc w:val="left"/>
            </w:pPr>
            <w:r>
              <w:rPr>
                <w:b/>
                <w:sz w:val="21"/>
              </w:rPr>
              <w:t>（五）服务形式</w:t>
            </w:r>
          </w:p>
          <w:p>
            <w:pPr>
              <w:ind w:firstLine="420"/>
              <w:jc w:val="left"/>
            </w:pPr>
            <w:r>
              <w:rPr>
                <w:sz w:val="21"/>
              </w:rPr>
              <w:t>根据辖区老年人多元化、个性化的服务需求，分为上门服务和到服务站点服务，提供覆盖老年人全生命周期的各项养老服务项目。</w:t>
            </w:r>
          </w:p>
          <w:p>
            <w:pPr>
              <w:jc w:val="left"/>
            </w:pPr>
            <w:r>
              <w:rPr>
                <w:b/>
                <w:sz w:val="21"/>
              </w:rPr>
              <w:t>（六）工作需求指标</w:t>
            </w:r>
          </w:p>
          <w:p>
            <w:pPr>
              <w:ind w:firstLine="420"/>
              <w:jc w:val="left"/>
            </w:pPr>
            <w:r>
              <w:rPr>
                <w:sz w:val="21"/>
              </w:rPr>
              <w:t>1.综合养老服务中心（颐康中心）服务</w:t>
            </w:r>
          </w:p>
          <w:p>
            <w:pPr>
              <w:ind w:firstLine="420"/>
              <w:jc w:val="left"/>
            </w:pPr>
            <w:r>
              <w:rPr>
                <w:sz w:val="21"/>
              </w:rPr>
              <w:t>成交供应商承办同和街综合养老服务中心（颐康中心）项目，应当按照《广州市人民政府办公厅关于印发广州市居家社区养老服务管理办法的通知》（穗府办规【</w:t>
            </w:r>
            <w:r>
              <w:rPr>
                <w:sz w:val="21"/>
              </w:rPr>
              <w:t>2022】13号）规定向同和街辖区内有需要的老年人提供下列服务：</w:t>
            </w:r>
          </w:p>
          <w:p>
            <w:pPr>
              <w:ind w:firstLine="420"/>
              <w:jc w:val="left"/>
            </w:pPr>
            <w:r>
              <w:rPr>
                <w:sz w:val="21"/>
              </w:rPr>
              <w:t>1.1老服务向导：养老政策咨询、服务查询、办事指引、服务转介等。</w:t>
            </w:r>
          </w:p>
          <w:p>
            <w:pPr>
              <w:ind w:firstLine="420"/>
              <w:jc w:val="left"/>
            </w:pPr>
            <w:r>
              <w:rPr>
                <w:sz w:val="21"/>
              </w:rPr>
              <w:t>1.2助餐配餐服务：集中用餐服务、上门送餐服务、上门做餐服务。</w:t>
            </w:r>
          </w:p>
          <w:p>
            <w:pPr>
              <w:ind w:firstLine="420"/>
              <w:jc w:val="left"/>
            </w:pPr>
            <w:r>
              <w:rPr>
                <w:sz w:val="21"/>
              </w:rPr>
              <w:t>1.3生活照料：为有需要的老年人提供助洁、洗涤、陪伴就医、陪同外出、上门做餐、代办服务、日常提示、情感关怀、个人护理、转移护理、排泄护理、助浴护理、助行护理等服务。</w:t>
            </w:r>
          </w:p>
          <w:p>
            <w:pPr>
              <w:ind w:firstLine="420"/>
              <w:jc w:val="left"/>
            </w:pPr>
            <w:r>
              <w:rPr>
                <w:sz w:val="21"/>
              </w:rPr>
              <w:t>1.4定期巡访：为有需要的老年人提供上门探访、服务转介、资源链接、安全排查等服务。</w:t>
            </w:r>
          </w:p>
          <w:p>
            <w:pPr>
              <w:ind w:firstLine="420"/>
              <w:jc w:val="left"/>
            </w:pPr>
            <w:r>
              <w:rPr>
                <w:sz w:val="21"/>
              </w:rPr>
              <w:t>1.5辅具租赁：为有需要的老年人提供轮椅、拐杖、助行器、洗澡椅、爬楼梯机、腋下拐杖、坐便器等辅具的租赁，有特别需要的老年人可以提前电话联系，提供送辅具上门服务。</w:t>
            </w:r>
          </w:p>
          <w:p>
            <w:pPr>
              <w:ind w:firstLine="420"/>
              <w:jc w:val="left"/>
            </w:pPr>
            <w:r>
              <w:rPr>
                <w:sz w:val="21"/>
              </w:rPr>
              <w:t>1.6平安通：和辖区内提供平安通服务的机构合作，为有需要的老年人提供平安通咨询、申请、维护等服务。</w:t>
            </w:r>
          </w:p>
          <w:p>
            <w:pPr>
              <w:ind w:firstLine="420"/>
              <w:jc w:val="left"/>
            </w:pPr>
            <w:r>
              <w:rPr>
                <w:sz w:val="21"/>
              </w:rPr>
              <w:t>1.7家庭照护培训：为有需要的老年人家属和其他照护者提供照护技能培训、照护知识培训和心理健康教育等服务。</w:t>
            </w:r>
          </w:p>
          <w:p>
            <w:pPr>
              <w:ind w:firstLine="420"/>
              <w:jc w:val="left"/>
            </w:pPr>
            <w:r>
              <w:rPr>
                <w:sz w:val="21"/>
              </w:rPr>
              <w:t>1.8文体教育：为有需要的老年人提供文体康乐活动、老年教育类活动等服务，丰富老年人晚年生活。</w:t>
            </w:r>
          </w:p>
          <w:p>
            <w:pPr>
              <w:ind w:firstLine="420"/>
              <w:jc w:val="left"/>
            </w:pPr>
            <w:r>
              <w:rPr>
                <w:sz w:val="21"/>
              </w:rPr>
              <w:t>1.9居家适老化改造：为有需要的老年人提供地面改造、卧室改造、门改造、如厕洗浴设备改造、厨房设备改造、物理环境改造、老年用品配置等服务。</w:t>
            </w:r>
          </w:p>
          <w:p>
            <w:pPr>
              <w:ind w:firstLine="420"/>
              <w:jc w:val="left"/>
            </w:pPr>
            <w:r>
              <w:rPr>
                <w:sz w:val="21"/>
              </w:rPr>
              <w:t>1.10家庭养老床位：为有需要的老年人提供安装自动感应灯具、防走失装置、安全监控装置、生命体征检测设备、门磁感应、语音或视频通话设备、其它智能化设备、相关适老化设备等。</w:t>
            </w:r>
          </w:p>
          <w:p>
            <w:pPr>
              <w:ind w:firstLine="420"/>
              <w:jc w:val="left"/>
            </w:pPr>
            <w:r>
              <w:rPr>
                <w:sz w:val="21"/>
              </w:rPr>
              <w:t>1.11日间托管：为有需要的老年人提供助餐配餐、午间休息、康复训练、文体活动、日间特殊护理等服务。</w:t>
            </w:r>
          </w:p>
          <w:p>
            <w:pPr>
              <w:ind w:firstLine="420"/>
              <w:jc w:val="left"/>
            </w:pPr>
            <w:r>
              <w:rPr>
                <w:sz w:val="21"/>
              </w:rPr>
              <w:t>1.12临时托养：为有需要的老年人提供助餐配餐、个人护理、康复训练、文体活动、夜间住宿、医疗保健等服务。</w:t>
            </w:r>
          </w:p>
          <w:p>
            <w:pPr>
              <w:ind w:firstLine="420"/>
              <w:jc w:val="left"/>
            </w:pPr>
            <w:r>
              <w:rPr>
                <w:sz w:val="21"/>
              </w:rPr>
              <w:t>1.13医养康养：为有需要的老年人提供健康管理、医疗护理等服务。</w:t>
            </w:r>
          </w:p>
          <w:p>
            <w:pPr>
              <w:ind w:firstLine="420"/>
              <w:jc w:val="left"/>
            </w:pPr>
            <w:r>
              <w:rPr>
                <w:sz w:val="21"/>
              </w:rPr>
              <w:t>1.14康复护理：为有需要的老年人提供贴天灸、上门康复理疗、到站康复理疗、针灸、拔火罐、康复训练、康复咨询等服务。</w:t>
            </w:r>
          </w:p>
          <w:p>
            <w:pPr>
              <w:ind w:firstLine="420"/>
              <w:jc w:val="left"/>
            </w:pPr>
            <w:r>
              <w:rPr>
                <w:sz w:val="21"/>
              </w:rPr>
              <w:t>1.15基本养老服务：为有需要的老年人安装自动感应灯具、防走失装置、安全监控装置、生命体征检测装置、门磁感应器、语音或视频通话设备、其它智能化设备和相关适老化改造。</w:t>
            </w:r>
          </w:p>
          <w:p>
            <w:pPr>
              <w:ind w:firstLine="420"/>
              <w:jc w:val="left"/>
            </w:pPr>
            <w:r>
              <w:rPr>
                <w:sz w:val="21"/>
              </w:rPr>
              <w:t>1.16政府或者上级部门对于项目服务形式、内容、指标要求等有调整的，成交供应商须按要求落实执行。</w:t>
            </w:r>
          </w:p>
          <w:p>
            <w:r>
              <w:rPr>
                <w:sz w:val="21"/>
              </w:rPr>
              <w:t>2.街道级综合养老服务中心（颐康中心）配备专职项目负责人，配备医生、康复师、护士、社工、养老护理员和其他人员，其中专职人员比例不低于60%。各社区（村）级颐康服务站需配备至少1名养老向导员，保障开放时间。</w:t>
            </w:r>
          </w:p>
          <w:p>
            <w:r>
              <w:rPr>
                <w:sz w:val="21"/>
              </w:rPr>
              <w:t>3.社区（村）级颐康服务站开展养老服务应符合国家、省、市居家社区养老服务相关政策规定及服务标准。开放时间为工作日，每天不少于6个小时。每月制定并发布活动安排，结合送餐上门、平安通、居家护理等服务对特殊困难老年人开展定期探访。每年组织老年人集体活动不少于6次,每次活动不少于20人参加。大力开展为老志愿服务，成立一支互助养老志愿服务队，每年组织志愿者上门服务或在站点活动10次以上，服务时数不少于200小时，建立“公益时间”志愿服务站点。每个颐康服务站须设立长者饭堂功能，并按照相关规定及验收标准，配置应有设施。其他未尽事宜，参照《广州市民政局关于进一步明确村居颐康服务站建设管理有关事项的通知》。</w:t>
            </w:r>
          </w:p>
          <w:p>
            <w:pPr>
              <w:ind w:firstLine="420"/>
              <w:jc w:val="left"/>
            </w:pPr>
            <w:r>
              <w:rPr>
                <w:sz w:val="21"/>
              </w:rPr>
              <w:t>4.街道</w:t>
            </w:r>
            <w:r>
              <w:rPr>
                <w:sz w:val="21"/>
              </w:rPr>
              <w:t>综合养老服务中心（颐康中心）、各社区（村）级颐康服务站、长者饭堂的消防安全等定期检查、维护由成交供应商负责。（服务设施包括综合养老服务中心（颐康中心）平台、各社区（村）颐康服务站、长者饭堂产生的水、电、网络、物业管理、垃圾处理、因服务所需设施设备的购置及维护等所有费用由成交供应商承担。）</w:t>
            </w:r>
          </w:p>
          <w:p>
            <w:pPr>
              <w:ind w:firstLine="420"/>
            </w:pPr>
            <w:r>
              <w:rPr>
                <w:sz w:val="21"/>
              </w:rPr>
              <w:t>5.社区养老服务设施100%配备康复辅助器具，并提供专业</w:t>
            </w:r>
            <w:r>
              <w:rPr>
                <w:sz w:val="21"/>
              </w:rPr>
              <w:t>使用</w:t>
            </w:r>
            <w:r>
              <w:rPr>
                <w:sz w:val="21"/>
              </w:rPr>
              <w:t>指导服务。</w:t>
            </w:r>
          </w:p>
          <w:p>
            <w:pPr>
              <w:ind w:firstLine="420"/>
            </w:pPr>
            <w:r>
              <w:rPr>
                <w:sz w:val="21"/>
              </w:rPr>
              <w:t>6.自建厨房模式的长者饭堂</w:t>
            </w:r>
            <w:r>
              <w:rPr>
                <w:sz w:val="21"/>
              </w:rPr>
              <w:t>，为同和街辖区</w:t>
            </w:r>
            <w:r>
              <w:rPr>
                <w:sz w:val="21"/>
              </w:rPr>
              <w:t>60周岁及以上老年人</w:t>
            </w:r>
            <w:r>
              <w:rPr>
                <w:sz w:val="21"/>
              </w:rPr>
              <w:t>提供助餐配餐服务，其中每年</w:t>
            </w:r>
            <w:r>
              <w:rPr>
                <w:sz w:val="21"/>
              </w:rPr>
              <w:t>享受配餐服务覆盖率不低于户籍老年人口的</w:t>
            </w:r>
            <w:r>
              <w:rPr>
                <w:sz w:val="21"/>
              </w:rPr>
              <w:t>3.5%。</w:t>
            </w:r>
          </w:p>
          <w:p>
            <w:pPr>
              <w:ind w:firstLine="422"/>
              <w:jc w:val="center"/>
            </w:pPr>
            <w:r>
              <w:rPr>
                <w:b/>
                <w:sz w:val="21"/>
              </w:rPr>
              <w:t>表</w:t>
            </w:r>
            <w:r>
              <w:rPr>
                <w:b/>
                <w:sz w:val="21"/>
              </w:rPr>
              <w:t>4 工作需求指标表</w:t>
            </w:r>
          </w:p>
          <w:p>
            <w:r>
              <w:rPr>
                <w:sz w:val="21"/>
              </w:rPr>
              <w:t>同和街综合养老服务中心运营项目工作需求指标</w:t>
            </w:r>
          </w:p>
          <w:tbl>
            <w:tblPr>
              <w:tblInd w:type="dxa" w:w="120"/>
              <w:tblBorders>
                <w:top w:val="none" w:color="000000" w:sz="4"/>
                <w:left w:val="none" w:color="000000" w:sz="4"/>
                <w:bottom w:val="none" w:color="000000" w:sz="4"/>
                <w:right w:val="none" w:color="000000" w:sz="4"/>
                <w:insideH w:val="none"/>
                <w:insideV w:val="none"/>
              </w:tblBorders>
            </w:tblPr>
            <w:tblGrid>
              <w:gridCol w:w="362"/>
              <w:gridCol w:w="1002"/>
              <w:gridCol w:w="522"/>
              <w:gridCol w:w="1961"/>
              <w:gridCol w:w="447"/>
              <w:gridCol w:w="618"/>
              <w:gridCol w:w="650"/>
            </w:tblGrid>
            <w:tr>
              <w:tc>
                <w:tcPr>
                  <w:tcW w:type="dxa" w:w="36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02"/>
                  <w:tcBorders>
                    <w:top w:val="single" w:color="000000" w:sz="4"/>
                    <w:left w:val="none" w:color="000000" w:sz="4"/>
                    <w:bottom w:val="single" w:color="000000" w:sz="4"/>
                    <w:right w:val="single" w:color="000000" w:sz="4"/>
                  </w:tcBorders>
                  <w:vAlign w:val="top"/>
                </w:tcPr>
                <w:p>
                  <w:pPr>
                    <w:jc w:val="center"/>
                  </w:pPr>
                  <w:r>
                    <w:rPr>
                      <w:sz w:val="21"/>
                    </w:rPr>
                    <w:t>服务类别</w:t>
                  </w:r>
                </w:p>
              </w:tc>
              <w:tc>
                <w:tcPr>
                  <w:tcW w:type="dxa" w:w="522"/>
                  <w:tcBorders>
                    <w:top w:val="single" w:color="000000" w:sz="4"/>
                    <w:left w:val="none" w:color="000000" w:sz="4"/>
                    <w:bottom w:val="single" w:color="000000" w:sz="4"/>
                    <w:right w:val="single" w:color="000000" w:sz="4"/>
                  </w:tcBorders>
                  <w:vAlign w:val="top"/>
                </w:tcPr>
                <w:p>
                  <w:pPr>
                    <w:jc w:val="center"/>
                  </w:pPr>
                  <w:r>
                    <w:rPr>
                      <w:sz w:val="21"/>
                    </w:rPr>
                    <w:t>服务项目</w:t>
                  </w:r>
                </w:p>
              </w:tc>
              <w:tc>
                <w:tcPr>
                  <w:tcW w:type="dxa" w:w="1961"/>
                  <w:tcBorders>
                    <w:top w:val="single" w:color="000000" w:sz="4"/>
                    <w:left w:val="none" w:color="000000" w:sz="4"/>
                    <w:bottom w:val="single" w:color="000000" w:sz="4"/>
                    <w:right w:val="single" w:color="000000" w:sz="4"/>
                  </w:tcBorders>
                  <w:vAlign w:val="top"/>
                </w:tcPr>
                <w:p>
                  <w:pPr>
                    <w:jc w:val="center"/>
                  </w:pPr>
                  <w:r>
                    <w:rPr>
                      <w:sz w:val="21"/>
                    </w:rPr>
                    <w:t>服务内容</w:t>
                  </w:r>
                </w:p>
              </w:tc>
              <w:tc>
                <w:tcPr>
                  <w:tcW w:type="dxa" w:w="447"/>
                  <w:tcBorders>
                    <w:top w:val="single" w:color="000000" w:sz="4"/>
                    <w:left w:val="none" w:color="000000" w:sz="4"/>
                    <w:bottom w:val="single" w:color="000000" w:sz="4"/>
                    <w:right w:val="single" w:color="000000" w:sz="4"/>
                  </w:tcBorders>
                  <w:vAlign w:val="top"/>
                </w:tcPr>
                <w:p>
                  <w:pPr>
                    <w:jc w:val="center"/>
                  </w:pPr>
                  <w:r>
                    <w:rPr>
                      <w:sz w:val="21"/>
                    </w:rPr>
                    <w:t>指标单位</w:t>
                  </w:r>
                </w:p>
              </w:tc>
              <w:tc>
                <w:tcPr>
                  <w:tcW w:type="dxa" w:w="618"/>
                  <w:tcBorders>
                    <w:top w:val="single" w:color="000000" w:sz="4"/>
                    <w:left w:val="none" w:color="000000" w:sz="4"/>
                    <w:bottom w:val="single" w:color="000000" w:sz="4"/>
                    <w:right w:val="single" w:color="000000" w:sz="4"/>
                  </w:tcBorders>
                  <w:vAlign w:val="top"/>
                </w:tcPr>
                <w:p>
                  <w:pPr>
                    <w:jc w:val="center"/>
                  </w:pPr>
                  <w:r>
                    <w:rPr>
                      <w:sz w:val="21"/>
                    </w:rPr>
                    <w:t>最低量化指标</w:t>
                  </w:r>
                </w:p>
              </w:tc>
              <w:tc>
                <w:tcPr>
                  <w:tcW w:type="dxa" w:w="65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生活照料</w:t>
                  </w:r>
                </w:p>
                <w:p>
                  <w:pPr>
                    <w:jc w:val="center"/>
                  </w:pPr>
                  <w:r>
                    <w:rPr>
                      <w:sz w:val="21"/>
                    </w:rPr>
                    <w:t>（通用服务）</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助洁服务</w:t>
                  </w:r>
                </w:p>
              </w:tc>
              <w:tc>
                <w:tcPr>
                  <w:tcW w:type="dxa" w:w="1961"/>
                  <w:tcBorders>
                    <w:top w:val="none" w:color="000000" w:sz="4"/>
                    <w:left w:val="none" w:color="000000" w:sz="4"/>
                    <w:bottom w:val="single" w:color="000000" w:sz="4"/>
                    <w:right w:val="single" w:color="000000" w:sz="4"/>
                  </w:tcBorders>
                  <w:vAlign w:val="top"/>
                </w:tcPr>
                <w:p>
                  <w:pPr>
                    <w:numPr>
                      <w:ilvl w:val="0"/>
                      <w:numId w:val="1"/>
                    </w:numPr>
                    <w:jc w:val="center"/>
                  </w:pPr>
                  <w:r>
                    <w:rPr>
                      <w:sz w:val="21"/>
                    </w:rPr>
                    <w:t>居家清洁：对客厅、卧室、厨房、洗浴间、卫生间等居家环境进行清扫、清洁；</w:t>
                  </w:r>
                </w:p>
                <w:p>
                  <w:pPr>
                    <w:jc w:val="both"/>
                  </w:pPr>
                  <w:r>
                    <w:rPr>
                      <w:sz w:val="21"/>
                    </w:rPr>
                    <w:t>2.物品整理：整理床铺（铺床、叠被子）及其他物品。</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400</w:t>
                  </w:r>
                </w:p>
              </w:tc>
              <w:tc>
                <w:tcPr>
                  <w:tcW w:type="dxa" w:w="650"/>
                  <w:vMerge w:val="restart"/>
                  <w:tcBorders>
                    <w:top w:val="none" w:color="000000" w:sz="4"/>
                    <w:left w:val="none" w:color="000000" w:sz="4"/>
                    <w:bottom w:val="single" w:color="000000" w:sz="4"/>
                    <w:right w:val="single" w:color="000000" w:sz="4"/>
                  </w:tcBorders>
                  <w:vAlign w:val="top"/>
                </w:tcPr>
                <w:p>
                  <w:pPr>
                    <w:jc w:val="center"/>
                  </w:pPr>
                  <w:r>
                    <w:rPr>
                      <w:sz w:val="21"/>
                    </w:rPr>
                    <w:t>可由养老护理员或家政服务员提供服务。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洗涤服务</w:t>
                  </w:r>
                </w:p>
              </w:tc>
              <w:tc>
                <w:tcPr>
                  <w:tcW w:type="dxa" w:w="1961"/>
                  <w:tcBorders>
                    <w:top w:val="none" w:color="000000" w:sz="4"/>
                    <w:left w:val="none" w:color="000000" w:sz="4"/>
                    <w:bottom w:val="single" w:color="000000" w:sz="4"/>
                    <w:right w:val="single" w:color="000000" w:sz="4"/>
                  </w:tcBorders>
                  <w:vAlign w:val="top"/>
                </w:tcPr>
                <w:p>
                  <w:pPr>
                    <w:jc w:val="left"/>
                  </w:pPr>
                  <w:r>
                    <w:rPr>
                      <w:sz w:val="21"/>
                    </w:rPr>
                    <w:t>清洗与晾晒衣物、床上用品（床单、被套、枕套）、窗帘、毛巾等。洗涤方式分为上门洗涤和集中送洗，大件、贵重衣物可采用集中送洗方式。</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陪伴就医</w:t>
                  </w:r>
                </w:p>
              </w:tc>
              <w:tc>
                <w:tcPr>
                  <w:tcW w:type="dxa" w:w="1961"/>
                  <w:tcBorders>
                    <w:top w:val="none" w:color="000000" w:sz="4"/>
                    <w:left w:val="none" w:color="000000" w:sz="4"/>
                    <w:bottom w:val="single" w:color="000000" w:sz="4"/>
                    <w:right w:val="single" w:color="000000" w:sz="4"/>
                  </w:tcBorders>
                  <w:vAlign w:val="top"/>
                </w:tcPr>
                <w:p>
                  <w:pPr>
                    <w:jc w:val="left"/>
                  </w:pPr>
                  <w:r>
                    <w:rPr>
                      <w:sz w:val="21"/>
                    </w:rPr>
                    <w:t>代预约挂号、陪诊、协助与医生沟通、取药、缴费、陪同往返、协助出行等。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陪同外出</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户外活动陪伴，陪护行动不便的服务对象到户外活动、包括（但不限于）参加社区活动、散步、购物等。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上门做餐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代买食材、清洗烹饪、协助进食、餐后卫生等。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代办服务</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代预约挂号、银行打薄、排队；代缴纳水电、煤气、话费等；代收寄快递；代领物品；代送物品；代买生活必需品；协助报修设备及物品；协助申请相关事务等。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日常提示</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根据医嘱或家属要求按时提醒老年人吃药、取药，提醒就医或办理相关事务。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情感关怀</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陪同聊天、定期探访（上门</w:t>
                  </w:r>
                  <w:r>
                    <w:rPr>
                      <w:sz w:val="21"/>
                    </w:rPr>
                    <w:t>/电访）。</w:t>
                  </w:r>
                </w:p>
              </w:tc>
            </w:tr>
            <w:tr>
              <w:tc>
                <w:tcPr>
                  <w:tcW w:type="dxa" w:w="362"/>
                  <w:vMerge/>
                  <w:tcBorders>
                    <w:top w:val="none" w:color="000000" w:sz="4"/>
                    <w:left w:val="single" w:color="000000" w:sz="4"/>
                    <w:bottom w:val="single" w:color="000000" w:sz="4"/>
                    <w:right w:val="single" w:color="000000" w:sz="4"/>
                  </w:tcBorders>
                </w:tcP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生活照料</w:t>
                  </w:r>
                </w:p>
                <w:p>
                  <w:pPr>
                    <w:jc w:val="center"/>
                  </w:pPr>
                  <w:r>
                    <w:rPr>
                      <w:sz w:val="21"/>
                    </w:rPr>
                    <w:t>（专业服务）</w:t>
                  </w:r>
                </w:p>
              </w:tc>
              <w:tc>
                <w:tcPr>
                  <w:tcW w:type="dxa" w:w="522"/>
                  <w:tcBorders>
                    <w:top w:val="none" w:color="000000" w:sz="4"/>
                    <w:left w:val="none" w:color="000000" w:sz="4"/>
                    <w:bottom w:val="single" w:color="000000" w:sz="4"/>
                    <w:right w:val="single" w:color="000000" w:sz="4"/>
                  </w:tcBorders>
                  <w:vAlign w:val="top"/>
                </w:tcPr>
                <w:p>
                  <w:pPr>
                    <w:jc w:val="center"/>
                  </w:pPr>
                  <w:r>
                    <w:rPr>
                      <w:sz w:val="21"/>
                    </w:rPr>
                    <w:t>个人护理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1.皮肤外用药物涂擦；留置尿管护理；人工肛门便袋护理；口腔清洁；协助翻身；褥疮预防；叩背排痰等；2.协助穿（脱）衣；洗脸；梳头；剪发；剃须；刷牙；漱口、洗手；洗足；会阴清洁；修剪指（趾）甲。</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vMerge w:val="restart"/>
                  <w:tcBorders>
                    <w:top w:val="none" w:color="000000" w:sz="4"/>
                    <w:left w:val="none" w:color="000000" w:sz="4"/>
                    <w:bottom w:val="single" w:color="000000" w:sz="4"/>
                    <w:right w:val="single" w:color="000000" w:sz="4"/>
                  </w:tcBorders>
                  <w:vAlign w:val="top"/>
                </w:tcPr>
                <w:p>
                  <w:pPr>
                    <w:jc w:val="center"/>
                  </w:pPr>
                  <w:r>
                    <w:rPr>
                      <w:sz w:val="21"/>
                    </w:rPr>
                    <w:t>由养老护理员、康复治疗师、医生、社工、护士等专业人员提供服务。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转移护理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协助床上移动；床上体位转换；轮椅转移；移动辅助器应用指导等。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排泄护理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协助排便；更换一次性尿裤；会阴护理；留置尿管护理；人工肛门便袋护理等。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协助进餐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喂食或帮助服务对象使用辅助器材进食，包括喂水、喂饭、鼻饲、喂药等。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助浴服务</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洗头；洗澡（温水擦浴、沐浴）；床上浴、更换衣物。</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助行服务</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协助服务对象行走、外出、散步，协助其使用助行器</w:t>
                  </w:r>
                  <w:r>
                    <w:rPr>
                      <w:sz w:val="21"/>
                    </w:rPr>
                    <w:t>/步行器移动。</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其他护理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睡眠照顾（协助脱去衣裤就寝，盖被，定时翻身）；热水袋保暖；更换床上用品。</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日常提示</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根据医嘱或家属要求按时提醒老年人吃药、取药，提醒就医或办理相关事宜。</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情感关怀</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陪同聊天、定期探访（上门</w:t>
                  </w:r>
                  <w:r>
                    <w:rPr>
                      <w:sz w:val="21"/>
                    </w:rPr>
                    <w:t>/电访）。</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522"/>
                  <w:tcBorders>
                    <w:top w:val="none" w:color="000000" w:sz="4"/>
                    <w:left w:val="none" w:color="000000" w:sz="4"/>
                    <w:bottom w:val="single" w:color="000000" w:sz="4"/>
                    <w:right w:val="single" w:color="000000" w:sz="4"/>
                  </w:tcBorders>
                  <w:vAlign w:val="top"/>
                </w:tcPr>
                <w:p>
                  <w:pPr>
                    <w:jc w:val="center"/>
                  </w:pPr>
                  <w:r>
                    <w:rPr>
                      <w:sz w:val="21"/>
                    </w:rPr>
                    <w:t>集中用餐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在社区长者饭堂集中用餐、打包外带。</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12210</w:t>
                  </w:r>
                </w:p>
              </w:tc>
              <w:tc>
                <w:tcPr>
                  <w:tcW w:type="dxa" w:w="650"/>
                  <w:vMerge w:val="restart"/>
                  <w:tcBorders>
                    <w:top w:val="none" w:color="000000" w:sz="4"/>
                    <w:left w:val="none" w:color="000000" w:sz="4"/>
                    <w:bottom w:val="single" w:color="000000" w:sz="4"/>
                    <w:right w:val="single" w:color="000000" w:sz="4"/>
                  </w:tcBorders>
                  <w:vAlign w:val="top"/>
                </w:tcPr>
                <w:p>
                  <w:pPr>
                    <w:jc w:val="center"/>
                  </w:pPr>
                  <w:r>
                    <w:rPr>
                      <w:sz w:val="21"/>
                    </w:rPr>
                    <w:t>1小时/人次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上门做餐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为同和街辖区内符合条件的失能、半失能且有需要的长者提供上门做餐服务。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上门送餐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为同和街辖区内符合条件的失能、半失能且有需要的长者提供送餐上门服务。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自建厨房</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建设一个符合食谱安全要求的自建厨房，为辖区长者提供做餐服务。</w:t>
                  </w:r>
                </w:p>
              </w:tc>
              <w:tc>
                <w:tcPr>
                  <w:tcW w:type="dxa" w:w="447"/>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康复护理</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康复咨询</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健康咨询、康复咨询、康复指引。</w:t>
                  </w:r>
                </w:p>
              </w:tc>
              <w:tc>
                <w:tcPr>
                  <w:tcW w:type="dxa" w:w="447"/>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none" w:color="000000" w:sz="4"/>
                    <w:right w:val="single" w:color="000000" w:sz="4"/>
                  </w:tcBorders>
                  <w:vAlign w:val="top"/>
                </w:tcPr>
                <w:p>
                  <w:pPr>
                    <w:jc w:val="center"/>
                  </w:pPr>
                  <w:r>
                    <w:rPr>
                      <w:sz w:val="21"/>
                    </w:rPr>
                    <w:t>200</w:t>
                  </w:r>
                </w:p>
              </w:tc>
              <w:tc>
                <w:tcPr>
                  <w:tcW w:type="dxa" w:w="650"/>
                  <w:vMerge w:val="restart"/>
                  <w:tcBorders>
                    <w:top w:val="none" w:color="000000" w:sz="4"/>
                    <w:left w:val="none" w:color="000000" w:sz="4"/>
                    <w:bottom w:val="none" w:color="000000" w:sz="4"/>
                    <w:right w:val="single" w:color="000000" w:sz="4"/>
                  </w:tcBorders>
                  <w:vAlign w:val="top"/>
                </w:tcPr>
                <w:p>
                  <w:pPr>
                    <w:jc w:val="center"/>
                  </w:pPr>
                  <w:r>
                    <w:rPr>
                      <w:sz w:val="21"/>
                    </w:rPr>
                    <w:t>由康复治疗师提供</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器材锻炼</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安全性高、操作简便、老人可自行开展的一般器材锻炼（如按摩椅、手指训练器、拼图、握力器等）。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肢体类康复训练（如腰椎康复训练、关节放松训练等）、认知感官类训练（如记忆力训练、认知测试等）。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康复理疗</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针灸理疗、穴位针灸、足部理疗、器械按摩、中风物理治疗、颈肩推拿、按摩推拿、拔罐刮痧。</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医养康养</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健康档案</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建立健康档案，进行病历记录、个人药物记录、体检记录等，定时跟踪健康情况。</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200</w:t>
                  </w:r>
                </w:p>
              </w:tc>
              <w:tc>
                <w:tcPr>
                  <w:tcW w:type="dxa" w:w="650"/>
                  <w:vMerge w:val="restart"/>
                  <w:tcBorders>
                    <w:top w:val="none" w:color="000000" w:sz="4"/>
                    <w:left w:val="none" w:color="000000" w:sz="4"/>
                    <w:bottom w:val="single" w:color="000000" w:sz="4"/>
                    <w:right w:val="single" w:color="000000" w:sz="4"/>
                  </w:tcBorders>
                  <w:vAlign w:val="top"/>
                </w:tcPr>
                <w:p>
                  <w:pPr>
                    <w:jc w:val="center"/>
                  </w:pPr>
                  <w:r>
                    <w:rPr>
                      <w:sz w:val="21"/>
                    </w:rPr>
                    <w:t>由专业医疗机构、医护人员提供。</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预防保健</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1.提供健康咨询、饮食咨询、营养指导、锻炼指导、活动指导服务；2.用药指导与用药观察，日常提示吃药、取药；3.健康宣教、保健知识讲座、保健学习及相关的小组活动；4.社区义诊。</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基础监测</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常规生理指数监测，如体温、血压、心率、呼吸、血糖、体重等。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健康体检</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常规体格检查、血常规、尿常规、大便常规、肝功能、肾功能、空腹血糖、血脂和心电图检测等项目。</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医疗护理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鼻饲、物理降温、导尿、压疮护理、创口换药、吸氧、造口护理、其他专业护理项目。</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家庭病床</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家庭医生、上门巡诊等。</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文体教育</w:t>
                  </w:r>
                </w:p>
              </w:tc>
              <w:tc>
                <w:tcPr>
                  <w:tcW w:type="dxa" w:w="522"/>
                  <w:tcBorders>
                    <w:top w:val="none" w:color="000000" w:sz="4"/>
                    <w:left w:val="none" w:color="000000" w:sz="4"/>
                    <w:bottom w:val="single" w:color="000000" w:sz="4"/>
                    <w:right w:val="single" w:color="000000" w:sz="4"/>
                  </w:tcBorders>
                  <w:vAlign w:val="top"/>
                </w:tcPr>
                <w:p>
                  <w:pPr>
                    <w:jc w:val="center"/>
                  </w:pPr>
                  <w:r>
                    <w:rPr>
                      <w:sz w:val="21"/>
                    </w:rPr>
                    <w:t>问题康乐活动</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如棋牌、歌舞、打球、书画、阅读、太极、健康操、八段锦、茶话会、生日会、游园会、节假日活动等。</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tcBorders>
                    <w:top w:val="none" w:color="000000" w:sz="4"/>
                    <w:left w:val="none" w:color="000000" w:sz="4"/>
                    <w:bottom w:val="single" w:color="000000" w:sz="4"/>
                    <w:right w:val="single" w:color="000000" w:sz="4"/>
                  </w:tcBorders>
                  <w:vAlign w:val="top"/>
                </w:tcPr>
                <w:p>
                  <w:pPr>
                    <w:jc w:val="center"/>
                  </w:pPr>
                  <w:r>
                    <w:rPr>
                      <w:sz w:val="21"/>
                    </w:rPr>
                    <w:t>800</w:t>
                  </w: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老年教育</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老年课堂，如钢琴、摄影、书法绘画、英语、计算机、编织、手工等。</w:t>
                  </w:r>
                </w:p>
              </w:tc>
              <w:tc>
                <w:tcPr>
                  <w:tcW w:type="dxa" w:w="447"/>
                  <w:vMerge/>
                  <w:tcBorders>
                    <w:top w:val="none" w:color="000000" w:sz="4"/>
                    <w:left w:val="none" w:color="000000" w:sz="4"/>
                    <w:bottom w:val="single" w:color="000000" w:sz="4"/>
                    <w:right w:val="single" w:color="000000" w:sz="4"/>
                  </w:tcBorders>
                </w:tcPr>
                <w:p/>
              </w:tc>
              <w:tc>
                <w:tcPr>
                  <w:tcW w:type="dxa" w:w="618"/>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定期巡访</w:t>
                  </w:r>
                </w:p>
              </w:tc>
              <w:tc>
                <w:tcPr>
                  <w:tcW w:type="dxa" w:w="522"/>
                  <w:tcBorders>
                    <w:top w:val="none" w:color="000000" w:sz="4"/>
                    <w:left w:val="none" w:color="000000" w:sz="4"/>
                    <w:bottom w:val="single" w:color="000000" w:sz="4"/>
                    <w:right w:val="single" w:color="000000" w:sz="4"/>
                  </w:tcBorders>
                  <w:vAlign w:val="top"/>
                </w:tcPr>
                <w:p>
                  <w:pPr>
                    <w:jc w:val="center"/>
                  </w:pPr>
                  <w:r>
                    <w:rPr>
                      <w:sz w:val="21"/>
                    </w:rPr>
                    <w:t>电话问候</w:t>
                  </w:r>
                </w:p>
              </w:tc>
              <w:tc>
                <w:tcPr>
                  <w:tcW w:type="dxa" w:w="1961"/>
                  <w:tcBorders>
                    <w:top w:val="none" w:color="000000" w:sz="4"/>
                    <w:left w:val="none" w:color="000000" w:sz="4"/>
                    <w:bottom w:val="single" w:color="000000" w:sz="4"/>
                    <w:right w:val="single" w:color="000000" w:sz="4"/>
                  </w:tcBorders>
                  <w:vAlign w:val="top"/>
                </w:tcPr>
                <w:p>
                  <w:pPr>
                    <w:jc w:val="left"/>
                  </w:pPr>
                  <w:r>
                    <w:rPr>
                      <w:sz w:val="21"/>
                    </w:rPr>
                    <w:t>定期电话问候、聊天、提示。</w:t>
                  </w:r>
                </w:p>
              </w:tc>
              <w:tc>
                <w:tcPr>
                  <w:tcW w:type="dxa" w:w="447"/>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none" w:color="000000" w:sz="4"/>
                    <w:right w:val="single" w:color="000000" w:sz="4"/>
                  </w:tcBorders>
                  <w:vAlign w:val="top"/>
                </w:tcPr>
                <w:p>
                  <w:pPr>
                    <w:jc w:val="center"/>
                  </w:pPr>
                  <w:r>
                    <w:rPr>
                      <w:sz w:val="21"/>
                    </w:rPr>
                    <w:t>500</w:t>
                  </w: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关怀访视</w:t>
                  </w:r>
                </w:p>
              </w:tc>
              <w:tc>
                <w:tcPr>
                  <w:tcW w:type="dxa" w:w="1961"/>
                  <w:tcBorders>
                    <w:top w:val="none" w:color="000000" w:sz="4"/>
                    <w:left w:val="none" w:color="000000" w:sz="4"/>
                    <w:bottom w:val="single" w:color="000000" w:sz="4"/>
                    <w:right w:val="single" w:color="000000" w:sz="4"/>
                  </w:tcBorders>
                  <w:vAlign w:val="top"/>
                </w:tcPr>
                <w:p>
                  <w:pPr>
                    <w:jc w:val="left"/>
                  </w:pPr>
                  <w:r>
                    <w:rPr>
                      <w:sz w:val="21"/>
                    </w:rPr>
                    <w:t>定期上门探访、关怀问候。</w:t>
                  </w:r>
                </w:p>
              </w:tc>
              <w:tc>
                <w:tcPr>
                  <w:tcW w:type="dxa" w:w="447"/>
                  <w:vMerge/>
                  <w:tcBorders>
                    <w:top w:val="none" w:color="000000" w:sz="4"/>
                    <w:left w:val="none" w:color="000000" w:sz="4"/>
                    <w:bottom w:val="none" w:color="000000" w:sz="4"/>
                    <w:right w:val="single" w:color="000000" w:sz="4"/>
                  </w:tcBorders>
                </w:tcPr>
                <w:p/>
              </w:tc>
              <w:tc>
                <w:tcPr>
                  <w:tcW w:type="dxa" w:w="618"/>
                  <w:vMerge/>
                  <w:tcBorders>
                    <w:top w:val="none" w:color="000000" w:sz="4"/>
                    <w:left w:val="none" w:color="000000" w:sz="4"/>
                    <w:bottom w:val="none" w:color="000000" w:sz="4"/>
                    <w:right w:val="single" w:color="000000" w:sz="4"/>
                  </w:tcBorders>
                </w:tcP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资源链接</w:t>
                  </w:r>
                </w:p>
              </w:tc>
              <w:tc>
                <w:tcPr>
                  <w:tcW w:type="dxa" w:w="1961"/>
                  <w:tcBorders>
                    <w:top w:val="none" w:color="000000" w:sz="4"/>
                    <w:left w:val="none" w:color="000000" w:sz="4"/>
                    <w:bottom w:val="single" w:color="000000" w:sz="4"/>
                    <w:right w:val="single" w:color="000000" w:sz="4"/>
                  </w:tcBorders>
                  <w:vAlign w:val="top"/>
                </w:tcPr>
                <w:p>
                  <w:pPr>
                    <w:jc w:val="left"/>
                  </w:pPr>
                  <w:r>
                    <w:rPr>
                      <w:sz w:val="21"/>
                    </w:rPr>
                    <w:t>了解到老年人相关需求，和相关部门反馈沟通，链接长者需要的服务。</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安全排查</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专业人员上门排查老年人用水、用电、用气安全，排查安全隐患。</w:t>
                  </w:r>
                </w:p>
              </w:tc>
            </w:tr>
            <w:tr>
              <w:tc>
                <w:tcPr>
                  <w:tcW w:type="dxa" w:w="36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02"/>
                  <w:tcBorders>
                    <w:top w:val="none" w:color="000000" w:sz="4"/>
                    <w:left w:val="none" w:color="000000" w:sz="4"/>
                    <w:bottom w:val="single" w:color="000000" w:sz="4"/>
                    <w:right w:val="single" w:color="000000" w:sz="4"/>
                  </w:tcBorders>
                  <w:vAlign w:val="top"/>
                </w:tcPr>
                <w:p>
                  <w:pPr>
                    <w:jc w:val="center"/>
                  </w:pPr>
                  <w:r>
                    <w:rPr>
                      <w:sz w:val="21"/>
                    </w:rPr>
                    <w:t>居家适老化改造</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居家适老化改造</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1.上门查看老年人家居安全情况，进行安全评估、居家安全教育。</w:t>
                  </w:r>
                </w:p>
                <w:p>
                  <w:pPr>
                    <w:jc w:val="center"/>
                  </w:pPr>
                  <w:r>
                    <w:rPr>
                      <w:sz w:val="21"/>
                    </w:rPr>
                    <w:t>2.根据《广州市老年人居家适老化改造工作实施方案》等文件要求，完成辖内特殊困难老年人家庭居家适老化改造工作，并为辖内其他有需求的老年人家庭提供居家适老化改造服务。</w:t>
                  </w:r>
                </w:p>
              </w:tc>
              <w:tc>
                <w:tcPr>
                  <w:tcW w:type="dxa" w:w="447"/>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tcBorders>
                    <w:top w:val="none" w:color="000000" w:sz="4"/>
                    <w:left w:val="none" w:color="000000" w:sz="4"/>
                    <w:bottom w:val="single" w:color="000000" w:sz="4"/>
                    <w:right w:val="single" w:color="000000" w:sz="4"/>
                  </w:tcBorders>
                  <w:vAlign w:val="top"/>
                </w:tcPr>
                <w:p>
                  <w:pPr>
                    <w:jc w:val="center"/>
                  </w:pPr>
                  <w:r>
                    <w:rPr>
                      <w:sz w:val="21"/>
                    </w:rPr>
                    <w:t>由平安通服务机构提供服务，服务机构需与平安通服务公司进行对接。</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辅具租赁</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展示与咨询</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拐杖、轮椅、坐便器、助行器、生活辅助器具等老年用品展示与介绍。</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租赁与回收</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拐杖（四脚拐杖、三脚拐杖）、腋下拐杖、轮椅、洗澡椅、坐便椅、爬楼梯机等辅具租赁。</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捐赠与受赠</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老年用品、物资捐赠与受赠。</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养老服务向导</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养老政策咨询</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为老年人提供相关养老服务政策的咨询服务</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800</w:t>
                  </w: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服务查询</w:t>
                  </w:r>
                </w:p>
              </w:tc>
              <w:tc>
                <w:tcPr>
                  <w:tcW w:type="dxa" w:w="1961"/>
                  <w:tcBorders>
                    <w:top w:val="none" w:color="000000" w:sz="4"/>
                    <w:left w:val="none" w:color="000000" w:sz="4"/>
                    <w:bottom w:val="single" w:color="000000" w:sz="4"/>
                    <w:right w:val="single" w:color="000000" w:sz="4"/>
                  </w:tcBorders>
                  <w:vAlign w:val="top"/>
                </w:tcPr>
                <w:p>
                  <w:pPr>
                    <w:jc w:val="left"/>
                  </w:pPr>
                  <w:r>
                    <w:rPr>
                      <w:sz w:val="21"/>
                    </w:rPr>
                    <w:t>协助查询相关养老服务的查询工作</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办事指引</w:t>
                  </w:r>
                </w:p>
              </w:tc>
              <w:tc>
                <w:tcPr>
                  <w:tcW w:type="dxa" w:w="1961"/>
                  <w:tcBorders>
                    <w:top w:val="none" w:color="000000" w:sz="4"/>
                    <w:left w:val="none" w:color="000000" w:sz="4"/>
                    <w:bottom w:val="single" w:color="000000" w:sz="4"/>
                    <w:right w:val="single" w:color="000000" w:sz="4"/>
                  </w:tcBorders>
                  <w:vAlign w:val="top"/>
                </w:tcPr>
                <w:p>
                  <w:pPr>
                    <w:jc w:val="left"/>
                  </w:pPr>
                  <w:r>
                    <w:rPr>
                      <w:sz w:val="21"/>
                    </w:rPr>
                    <w:t>协助老年人办理养老服务相关事项</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服务指引</w:t>
                  </w:r>
                </w:p>
              </w:tc>
              <w:tc>
                <w:tcPr>
                  <w:tcW w:type="dxa" w:w="1961"/>
                  <w:tcBorders>
                    <w:top w:val="none" w:color="000000" w:sz="4"/>
                    <w:left w:val="none" w:color="000000" w:sz="4"/>
                    <w:bottom w:val="single" w:color="000000" w:sz="4"/>
                    <w:right w:val="single" w:color="000000" w:sz="4"/>
                  </w:tcBorders>
                  <w:vAlign w:val="top"/>
                </w:tcPr>
                <w:p>
                  <w:pPr>
                    <w:jc w:val="left"/>
                  </w:pPr>
                  <w:r>
                    <w:rPr>
                      <w:sz w:val="21"/>
                    </w:rPr>
                    <w:t>指引老年人提供服务指引工作。</w:t>
                  </w:r>
                </w:p>
              </w:tc>
            </w:tr>
            <w:tr>
              <w:tc>
                <w:tcPr>
                  <w:tcW w:type="dxa" w:w="36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02"/>
                  <w:tcBorders>
                    <w:top w:val="none" w:color="000000" w:sz="4"/>
                    <w:left w:val="none" w:color="000000" w:sz="4"/>
                    <w:bottom w:val="single" w:color="000000" w:sz="4"/>
                    <w:right w:val="single" w:color="000000" w:sz="4"/>
                  </w:tcBorders>
                  <w:vAlign w:val="top"/>
                </w:tcPr>
                <w:p>
                  <w:pPr>
                    <w:jc w:val="center"/>
                  </w:pPr>
                  <w:r>
                    <w:rPr>
                      <w:sz w:val="21"/>
                    </w:rPr>
                    <w:t>转介服务</w:t>
                  </w:r>
                </w:p>
              </w:tc>
              <w:tc>
                <w:tcPr>
                  <w:tcW w:type="dxa" w:w="522"/>
                  <w:tcBorders>
                    <w:top w:val="none" w:color="000000" w:sz="4"/>
                    <w:left w:val="none" w:color="000000" w:sz="4"/>
                    <w:bottom w:val="single" w:color="000000" w:sz="4"/>
                    <w:right w:val="single" w:color="000000" w:sz="4"/>
                  </w:tcBorders>
                  <w:vAlign w:val="top"/>
                </w:tcPr>
                <w:p>
                  <w:pPr>
                    <w:jc w:val="center"/>
                  </w:pPr>
                  <w:r>
                    <w:rPr>
                      <w:sz w:val="21"/>
                    </w:rPr>
                    <w:t>转介服务</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包括转介医疗、护理、康复、法律援助、社工服务、义工服务、入住养老机构等服务。</w:t>
                  </w:r>
                </w:p>
              </w:tc>
              <w:tc>
                <w:tcPr>
                  <w:tcW w:type="dxa" w:w="447"/>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618"/>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val="restart"/>
                  <w:tcBorders>
                    <w:top w:val="none" w:color="000000" w:sz="4"/>
                    <w:left w:val="single" w:color="000000" w:sz="4"/>
                    <w:bottom w:val="none" w:color="000000" w:sz="4"/>
                    <w:right w:val="single" w:color="000000" w:sz="4"/>
                  </w:tcBorders>
                  <w:vAlign w:val="top"/>
                </w:tcPr>
                <w:p>
                  <w:pPr>
                    <w:jc w:val="center"/>
                  </w:pPr>
                  <w:r>
                    <w:rPr>
                      <w:sz w:val="21"/>
                    </w:rPr>
                    <w:t>11</w:t>
                  </w:r>
                </w:p>
              </w:tc>
              <w:tc>
                <w:tcPr>
                  <w:tcW w:type="dxa" w:w="1002"/>
                  <w:vMerge w:val="restart"/>
                  <w:tcBorders>
                    <w:top w:val="none" w:color="000000" w:sz="4"/>
                    <w:left w:val="none" w:color="000000" w:sz="4"/>
                    <w:bottom w:val="none" w:color="000000" w:sz="4"/>
                    <w:right w:val="single" w:color="000000" w:sz="4"/>
                  </w:tcBorders>
                  <w:vAlign w:val="top"/>
                </w:tcPr>
                <w:p>
                  <w:pPr>
                    <w:jc w:val="center"/>
                  </w:pPr>
                  <w:r>
                    <w:rPr>
                      <w:sz w:val="21"/>
                    </w:rPr>
                    <w:t>日间托管</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午餐</w:t>
                  </w:r>
                </w:p>
              </w:tc>
              <w:tc>
                <w:tcPr>
                  <w:tcW w:type="dxa" w:w="447"/>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500</w:t>
                  </w: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使用中心器械：步行器、固定单车、手臂滑轮、平衡杠、肋木、扶梯、手指训练器等器械开展的康复或保健训练。</w:t>
                  </w: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健康管理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体温、血压、血糖监测，健康操运动等。</w:t>
                  </w: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文体活动</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棋牌、歌舞、打球、绘画、看书、兴趣学习等。</w:t>
                  </w: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午间休息</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提供床位。</w:t>
                  </w:r>
                </w:p>
              </w:tc>
              <w:tc>
                <w:tcPr>
                  <w:tcW w:type="dxa" w:w="447"/>
                  <w:vMerge/>
                  <w:tcBorders>
                    <w:top w:val="none" w:color="000000" w:sz="4"/>
                    <w:left w:val="none" w:color="000000" w:sz="4"/>
                    <w:bottom w:val="none" w:color="000000" w:sz="4"/>
                    <w:right w:val="single" w:color="000000" w:sz="4"/>
                  </w:tcBorders>
                </w:tcPr>
                <w:p/>
              </w:tc>
              <w:tc>
                <w:tcPr>
                  <w:tcW w:type="dxa" w:w="618"/>
                  <w:tcBorders>
                    <w:top w:val="none" w:color="000000" w:sz="4"/>
                    <w:left w:val="none" w:color="000000" w:sz="4"/>
                    <w:bottom w:val="single" w:color="000000" w:sz="4"/>
                    <w:right w:val="single" w:color="000000" w:sz="4"/>
                  </w:tcBorders>
                  <w:vAlign w:val="top"/>
                </w:tcPr>
                <w:p>
                  <w:pPr>
                    <w:jc w:val="center"/>
                  </w:pPr>
                  <w:r>
                    <w:rPr>
                      <w:sz w:val="21"/>
                    </w:rPr>
                    <w:t>6个床位</w:t>
                  </w: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特殊护理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日间特殊护理</w:t>
                  </w:r>
                </w:p>
              </w:tc>
              <w:tc>
                <w:tcPr>
                  <w:tcW w:type="dxa" w:w="447"/>
                  <w:vMerge/>
                  <w:tcBorders>
                    <w:top w:val="none" w:color="000000" w:sz="4"/>
                    <w:left w:val="none" w:color="000000" w:sz="4"/>
                    <w:bottom w:val="none" w:color="000000" w:sz="4"/>
                    <w:right w:val="single" w:color="000000" w:sz="4"/>
                  </w:tcBorders>
                </w:tcP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临时托养</w:t>
                  </w:r>
                </w:p>
              </w:tc>
              <w:tc>
                <w:tcPr>
                  <w:tcW w:type="dxa" w:w="522"/>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早餐、午餐、晚餐。</w:t>
                  </w:r>
                </w:p>
              </w:tc>
              <w:tc>
                <w:tcPr>
                  <w:tcW w:type="dxa" w:w="447"/>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none" w:color="000000" w:sz="4"/>
                    <w:right w:val="single" w:color="000000" w:sz="4"/>
                  </w:tcBorders>
                  <w:vAlign w:val="top"/>
                </w:tcPr>
                <w:p>
                  <w:pPr>
                    <w:jc w:val="center"/>
                  </w:pPr>
                  <w:r>
                    <w:rPr>
                      <w:sz w:val="21"/>
                    </w:rPr>
                    <w:t>200</w:t>
                  </w:r>
                </w:p>
              </w:tc>
              <w:tc>
                <w:tcPr>
                  <w:tcW w:type="dxa" w:w="650"/>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个人护理</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c>
                <w:tcPr>
                  <w:tcW w:type="dxa" w:w="447"/>
                  <w:vMerge/>
                  <w:tcBorders>
                    <w:top w:val="none" w:color="000000" w:sz="4"/>
                    <w:left w:val="none" w:color="000000" w:sz="4"/>
                    <w:bottom w:val="none" w:color="000000" w:sz="4"/>
                    <w:right w:val="single" w:color="000000" w:sz="4"/>
                  </w:tcBorders>
                </w:tcPr>
                <w:p/>
              </w:tc>
              <w:tc>
                <w:tcPr>
                  <w:tcW w:type="dxa" w:w="618"/>
                  <w:vMerge/>
                  <w:tcBorders>
                    <w:top w:val="none" w:color="000000" w:sz="4"/>
                    <w:left w:val="none" w:color="000000" w:sz="4"/>
                    <w:bottom w:val="none" w:color="000000" w:sz="4"/>
                    <w:right w:val="single" w:color="000000" w:sz="4"/>
                  </w:tcBorders>
                </w:tcP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使用中心器械：步行器、固定单车、手臂滑轮、平衡杠、肋木、扶梯、手指训练器等器械开展的康复或训练。</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文体活动</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棋牌、歌舞、打球、绘画、看书、兴趣学习等。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医疗保健</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体温、心率、血压、血糖监测，健康操运动、用药等。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夜间住宿</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提供床位。</w:t>
                  </w:r>
                </w:p>
              </w:tc>
              <w:tc>
                <w:tcPr>
                  <w:tcW w:type="dxa" w:w="447"/>
                  <w:tcBorders>
                    <w:top w:val="none" w:color="000000" w:sz="4"/>
                    <w:left w:val="none" w:color="000000" w:sz="4"/>
                    <w:bottom w:val="single" w:color="000000" w:sz="4"/>
                    <w:right w:val="single" w:color="000000" w:sz="4"/>
                  </w:tcBorders>
                  <w:vAlign w:val="top"/>
                </w:tcPr>
                <w:p>
                  <w:pPr>
                    <w:jc w:val="center"/>
                  </w:pPr>
                  <w:r>
                    <w:rPr>
                      <w:sz w:val="21"/>
                    </w:rPr>
                    <w:t>床位数</w:t>
                  </w:r>
                </w:p>
              </w:tc>
              <w:tc>
                <w:tcPr>
                  <w:tcW w:type="dxa" w:w="618"/>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362"/>
                  <w:vMerge w:val="restart"/>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02"/>
                  <w:vMerge w:val="restart"/>
                  <w:tcBorders>
                    <w:top w:val="none" w:color="000000" w:sz="4"/>
                    <w:left w:val="none" w:color="000000" w:sz="4"/>
                    <w:bottom w:val="single" w:color="000000" w:sz="4"/>
                    <w:right w:val="single" w:color="000000" w:sz="4"/>
                  </w:tcBorders>
                  <w:vAlign w:val="top"/>
                </w:tcPr>
                <w:p>
                  <w:pPr>
                    <w:jc w:val="center"/>
                  </w:pPr>
                  <w:r>
                    <w:rPr>
                      <w:sz w:val="21"/>
                    </w:rPr>
                    <w:t>家庭养老床位</w:t>
                  </w:r>
                </w:p>
              </w:tc>
              <w:tc>
                <w:tcPr>
                  <w:tcW w:type="dxa" w:w="522"/>
                  <w:tcBorders>
                    <w:top w:val="none" w:color="000000" w:sz="4"/>
                    <w:left w:val="none" w:color="000000" w:sz="4"/>
                    <w:bottom w:val="single" w:color="000000" w:sz="4"/>
                    <w:right w:val="single" w:color="000000" w:sz="4"/>
                  </w:tcBorders>
                  <w:vAlign w:val="top"/>
                </w:tcPr>
                <w:p>
                  <w:pPr>
                    <w:jc w:val="center"/>
                  </w:pPr>
                  <w:r>
                    <w:rPr>
                      <w:sz w:val="21"/>
                    </w:rPr>
                    <w:t>智能化设备配置</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为有需要的老年人提供安装自动感应灯具、防走失装置、安全监控装置、生命体征检测设备、门磁感应、语音或视频通话设备、其它智能化设备、相关适老化设备等</w:t>
                  </w:r>
                </w:p>
              </w:tc>
              <w:tc>
                <w:tcPr>
                  <w:tcW w:type="dxa" w:w="447"/>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650"/>
                  <w:vMerge w:val="restart"/>
                  <w:tcBorders>
                    <w:top w:val="none" w:color="000000" w:sz="4"/>
                    <w:left w:val="none" w:color="000000" w:sz="4"/>
                    <w:bottom w:val="single" w:color="000000" w:sz="4"/>
                    <w:right w:val="single" w:color="000000" w:sz="4"/>
                  </w:tcBorders>
                  <w:vAlign w:val="top"/>
                </w:tcPr>
                <w:p>
                  <w:pPr>
                    <w:jc w:val="center"/>
                  </w:pP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适老化设改造</w:t>
                  </w:r>
                </w:p>
              </w:tc>
              <w:tc>
                <w:tcPr>
                  <w:tcW w:type="dxa" w:w="1961"/>
                  <w:tcBorders>
                    <w:top w:val="none" w:color="000000" w:sz="4"/>
                    <w:left w:val="none" w:color="000000" w:sz="4"/>
                    <w:bottom w:val="single" w:color="000000" w:sz="4"/>
                    <w:right w:val="single" w:color="000000" w:sz="4"/>
                  </w:tcBorders>
                  <w:vAlign w:val="top"/>
                </w:tcPr>
                <w:p>
                  <w:pPr>
                    <w:jc w:val="left"/>
                  </w:pPr>
                  <w:r>
                    <w:rPr>
                      <w:sz w:val="21"/>
                    </w:rPr>
                    <w:t>地面、门、卧室、如厕、厨房、物理环境等改造，配置相关适老化设备等。</w:t>
                  </w:r>
                </w:p>
              </w:tc>
            </w:tr>
            <w:tr>
              <w:tc>
                <w:tcPr>
                  <w:tcW w:type="dxa" w:w="362"/>
                  <w:vMerge/>
                  <w:tcBorders>
                    <w:top w:val="none" w:color="000000" w:sz="4"/>
                    <w:left w:val="single" w:color="000000" w:sz="4"/>
                    <w:bottom w:val="single" w:color="000000" w:sz="4"/>
                    <w:right w:val="single" w:color="000000" w:sz="4"/>
                  </w:tcBorders>
                </w:tcPr>
                <w:p/>
              </w:tc>
              <w:tc>
                <w:tcPr>
                  <w:tcW w:type="dxa" w:w="1002"/>
                  <w:vMerge/>
                  <w:tcBorders>
                    <w:top w:val="none" w:color="000000" w:sz="4"/>
                    <w:left w:val="none" w:color="000000" w:sz="4"/>
                    <w:bottom w:val="singl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上门服务</w:t>
                  </w:r>
                </w:p>
              </w:tc>
              <w:tc>
                <w:tcPr>
                  <w:tcW w:type="dxa" w:w="1961"/>
                  <w:tcBorders>
                    <w:top w:val="none" w:color="000000" w:sz="4"/>
                    <w:left w:val="none" w:color="000000" w:sz="4"/>
                    <w:bottom w:val="single" w:color="000000" w:sz="4"/>
                    <w:right w:val="single" w:color="000000" w:sz="4"/>
                  </w:tcBorders>
                  <w:vAlign w:val="top"/>
                </w:tcPr>
                <w:p>
                  <w:pPr>
                    <w:jc w:val="center"/>
                  </w:pPr>
                  <w:r>
                    <w:rPr>
                      <w:sz w:val="21"/>
                    </w:rPr>
                    <w:t>根据其意</w:t>
                  </w:r>
                </w:p>
                <w:p>
                  <w:pPr>
                    <w:jc w:val="left"/>
                  </w:pPr>
                  <w:r>
                    <w:rPr>
                      <w:sz w:val="21"/>
                    </w:rPr>
                    <w:t>愿需求提供上门服务。</w:t>
                  </w:r>
                </w:p>
              </w:tc>
            </w:tr>
            <w:tr>
              <w:tc>
                <w:tcPr>
                  <w:tcW w:type="dxa" w:w="362"/>
                  <w:vMerge w:val="restart"/>
                  <w:tcBorders>
                    <w:top w:val="none" w:color="000000" w:sz="4"/>
                    <w:left w:val="single" w:color="000000" w:sz="4"/>
                    <w:bottom w:val="none" w:color="000000" w:sz="4"/>
                    <w:right w:val="single" w:color="000000" w:sz="4"/>
                  </w:tcBorders>
                  <w:vAlign w:val="top"/>
                </w:tcPr>
                <w:p>
                  <w:pPr>
                    <w:jc w:val="center"/>
                  </w:pPr>
                  <w:r>
                    <w:rPr>
                      <w:sz w:val="21"/>
                    </w:rPr>
                    <w:t>14</w:t>
                  </w:r>
                </w:p>
              </w:tc>
              <w:tc>
                <w:tcPr>
                  <w:tcW w:type="dxa" w:w="1002"/>
                  <w:vMerge w:val="restart"/>
                  <w:tcBorders>
                    <w:top w:val="none" w:color="000000" w:sz="4"/>
                    <w:left w:val="none" w:color="000000" w:sz="4"/>
                    <w:bottom w:val="none" w:color="000000" w:sz="4"/>
                    <w:right w:val="single" w:color="000000" w:sz="4"/>
                  </w:tcBorders>
                  <w:vAlign w:val="top"/>
                </w:tcPr>
                <w:p>
                  <w:pPr>
                    <w:jc w:val="center"/>
                  </w:pPr>
                  <w:r>
                    <w:rPr>
                      <w:sz w:val="21"/>
                    </w:rPr>
                    <w:t>家庭照护者培训</w:t>
                  </w:r>
                </w:p>
              </w:tc>
              <w:tc>
                <w:tcPr>
                  <w:tcW w:type="dxa" w:w="522"/>
                  <w:tcBorders>
                    <w:top w:val="none" w:color="000000" w:sz="4"/>
                    <w:left w:val="none" w:color="000000" w:sz="4"/>
                    <w:bottom w:val="single" w:color="000000" w:sz="4"/>
                    <w:right w:val="single" w:color="000000" w:sz="4"/>
                  </w:tcBorders>
                  <w:vAlign w:val="top"/>
                </w:tcPr>
                <w:p>
                  <w:pPr>
                    <w:jc w:val="center"/>
                  </w:pPr>
                  <w:r>
                    <w:rPr>
                      <w:sz w:val="21"/>
                    </w:rPr>
                    <w:t>照护知识培训</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为老年人照护者提供照护知识培训</w:t>
                  </w:r>
                </w:p>
              </w:tc>
              <w:tc>
                <w:tcPr>
                  <w:tcW w:type="dxa" w:w="447"/>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618"/>
                  <w:vMerge w:val="restart"/>
                  <w:tcBorders>
                    <w:top w:val="none" w:color="000000" w:sz="4"/>
                    <w:left w:val="none" w:color="000000" w:sz="4"/>
                    <w:bottom w:val="none" w:color="000000" w:sz="4"/>
                    <w:right w:val="single" w:color="000000" w:sz="4"/>
                  </w:tcBorders>
                  <w:vAlign w:val="top"/>
                </w:tcPr>
                <w:p>
                  <w:pPr>
                    <w:jc w:val="center"/>
                  </w:pPr>
                  <w:r>
                    <w:rPr>
                      <w:sz w:val="21"/>
                    </w:rPr>
                    <w:t>100</w:t>
                  </w:r>
                </w:p>
              </w:tc>
              <w:tc>
                <w:tcPr>
                  <w:tcW w:type="dxa" w:w="650"/>
                  <w:vMerge w:val="restart"/>
                  <w:tcBorders>
                    <w:top w:val="none" w:color="000000" w:sz="4"/>
                    <w:left w:val="none" w:color="000000" w:sz="4"/>
                    <w:bottom w:val="none" w:color="000000" w:sz="4"/>
                    <w:right w:val="single" w:color="000000" w:sz="4"/>
                  </w:tcBorders>
                  <w:vAlign w:val="top"/>
                </w:tcPr>
                <w:p>
                  <w:pPr>
                    <w:jc w:val="center"/>
                  </w:pP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照护技能培训</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为老年人照护者提供照护技能培训</w:t>
                  </w:r>
                </w:p>
              </w:tc>
            </w:tr>
            <w:tr>
              <w:tc>
                <w:tcPr>
                  <w:tcW w:type="dxa" w:w="362"/>
                  <w:vMerge/>
                  <w:tcBorders>
                    <w:top w:val="none" w:color="000000" w:sz="4"/>
                    <w:left w:val="single" w:color="000000" w:sz="4"/>
                    <w:bottom w:val="none" w:color="000000" w:sz="4"/>
                    <w:right w:val="single" w:color="000000" w:sz="4"/>
                  </w:tcBorders>
                </w:tcPr>
                <w:p/>
              </w:tc>
              <w:tc>
                <w:tcPr>
                  <w:tcW w:type="dxa" w:w="100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vAlign w:val="top"/>
                </w:tcPr>
                <w:p>
                  <w:pPr>
                    <w:jc w:val="center"/>
                  </w:pPr>
                  <w:r>
                    <w:rPr>
                      <w:sz w:val="21"/>
                    </w:rPr>
                    <w:t>心理健康管理</w:t>
                  </w:r>
                </w:p>
              </w:tc>
              <w:tc>
                <w:tcPr>
                  <w:tcW w:type="dxa" w:w="1961"/>
                  <w:tcBorders>
                    <w:top w:val="none" w:color="000000" w:sz="4"/>
                    <w:left w:val="none" w:color="000000" w:sz="4"/>
                    <w:bottom w:val="single" w:color="000000" w:sz="4"/>
                    <w:right w:val="single" w:color="000000" w:sz="4"/>
                  </w:tcBorders>
                  <w:vAlign w:val="top"/>
                </w:tcPr>
                <w:p>
                  <w:pPr>
                    <w:jc w:val="left"/>
                  </w:pPr>
                  <w:r>
                    <w:rPr>
                      <w:sz w:val="21"/>
                    </w:rPr>
                    <w:t>为老年人照护者提供心理健康管理培训，给其支持</w:t>
                  </w:r>
                </w:p>
              </w:tc>
            </w:tr>
          </w:tbl>
          <w:p>
            <w:pPr>
              <w:jc w:val="both"/>
            </w:pPr>
            <w:r>
              <w:rPr>
                <w:sz w:val="21"/>
              </w:rPr>
              <w:t>注：</w:t>
            </w:r>
            <w:r>
              <w:rPr>
                <w:sz w:val="21"/>
              </w:rPr>
              <w:t>1.工时计算：（1）个人年度总工时=8小时/天*245天=1960小时；（2）项目专业服务年度总工时=1960小时*8人=19600小时；（3）个人年度间接服务工时=年度会议时数+年度培训时数=2小时/周*49周+15小时=113小时；（4）项目年度直接服务工时=项目专业服务年度总工时﹣项目年度间接服务工时﹣1名预留员工年度服务工时=19600﹣113*10﹣1960=16510小时；（5）项目年度最低服务工时=项目年度直接服务工时=16510小时；项目年度最高服务工时=项目专业服务年度总工时×110%=19600×110%=21560小时。</w:t>
            </w:r>
          </w:p>
          <w:p>
            <w:pPr>
              <w:jc w:val="both"/>
            </w:pPr>
            <w:r>
              <w:rPr>
                <w:sz w:val="21"/>
              </w:rPr>
              <w:t>2.服务工时可采用综合定额方式计算，其中生活照料、助餐配餐、康复护理、医养康养、日间托管等5项服务的工时合计不少于年度最低服务总工时的75%。</w:t>
            </w:r>
          </w:p>
          <w:p>
            <w:pPr>
              <w:jc w:val="both"/>
            </w:pPr>
            <w:r>
              <w:rPr>
                <w:sz w:val="21"/>
              </w:rPr>
              <w:t>3.如因政策变动或服务指标要求有调整，成交供应商应按政策最新的指标要求完成。</w:t>
            </w:r>
          </w:p>
          <w:p>
            <w:pPr>
              <w:jc w:val="both"/>
            </w:pPr>
            <w:r>
              <w:rPr>
                <w:b/>
                <w:sz w:val="21"/>
              </w:rPr>
              <w:t>三、响应供应商和人员要求</w:t>
            </w:r>
          </w:p>
          <w:p>
            <w:r>
              <w:rPr>
                <w:sz w:val="21"/>
              </w:rPr>
              <w:t>（一）响应供应商要求</w:t>
            </w:r>
          </w:p>
          <w:p>
            <w:r>
              <w:rPr>
                <w:sz w:val="21"/>
              </w:rPr>
              <w:t>1. 响应供应商具备相关综合养老服务设施运营经验，且取得良好及以上成效。</w:t>
            </w:r>
          </w:p>
          <w:p>
            <w:r>
              <w:rPr>
                <w:sz w:val="21"/>
              </w:rPr>
              <w:t>2.按照养老服务等相关法律法规和行业标准，配备与服务和运营相适应且具备相应从业资格的养老护理员、医生、护士、康复治疗师、社会工作师、养老护理员、财务人员、后勤人员等，配备经验丰富的专职中心主任。</w:t>
            </w:r>
          </w:p>
          <w:p>
            <w:r>
              <w:rPr>
                <w:sz w:val="21"/>
              </w:rPr>
              <w:t>3.具备从事养老、餐饮服务、医疗服务等相关资质。</w:t>
            </w:r>
          </w:p>
          <w:p>
            <w:r>
              <w:rPr>
                <w:sz w:val="21"/>
              </w:rPr>
              <w:t>4.响应供应商统一纳入广州市为老服务综合平台供应商库，接受政府部门的监督管理，按照政府部门的要求开展服务；</w:t>
            </w:r>
          </w:p>
          <w:p>
            <w:pPr>
              <w:ind w:firstLine="420"/>
              <w:jc w:val="left"/>
            </w:pPr>
            <w:r>
              <w:rPr>
                <w:sz w:val="21"/>
              </w:rPr>
              <w:t>5.按照合同等约定履行提供服务的义务，认真组织实施项目，按时完成项目任务，保证服务数量、质量和效果，主动接受有关部门、服务对象及社会监督，严禁响应供应商将服务项目交由其他服务供应机构实际承担的转包行为；</w:t>
            </w:r>
          </w:p>
          <w:p>
            <w:r>
              <w:rPr>
                <w:sz w:val="21"/>
              </w:rPr>
              <w:t>6.严格按照合同等约定使用服务设施，严禁擅自改变服务设施功能和用途，主动接受政府部门管理和指导；认真落实消防、环保、卫生、安全管理等相关法律法规要求，购买场所责任保险；</w:t>
            </w:r>
          </w:p>
          <w:p>
            <w:r>
              <w:rPr>
                <w:sz w:val="21"/>
              </w:rPr>
              <w:t>7.提供医疗服务的应获得医疗机构执业许可证，提供餐饮服务的应获得食品经营许可证；</w:t>
            </w:r>
          </w:p>
          <w:p>
            <w:r>
              <w:rPr>
                <w:sz w:val="21"/>
              </w:rPr>
              <w:t>8.能有效管理社区居家养老服务相关文件和档案，真实完整记录并及时更新服务对象信息，保护个人信息安全，与服务对象的服务协议签约率及建档率达100%；</w:t>
            </w:r>
          </w:p>
          <w:p>
            <w:r>
              <w:rPr>
                <w:sz w:val="21"/>
              </w:rPr>
              <w:t>9.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r>
              <w:rPr>
                <w:sz w:val="21"/>
              </w:rPr>
              <w:t>10.建立服务风险防范制度，为工作人员购买人身意外保险；</w:t>
            </w:r>
          </w:p>
          <w:p>
            <w:r>
              <w:rPr>
                <w:sz w:val="21"/>
              </w:rPr>
              <w:t>11.建立完善的规章制度和工作流程，包括财务、人事、运营、公共安全、卫生、资产、服务等方面的管理制度和应急措施。</w:t>
            </w:r>
          </w:p>
          <w:p>
            <w:r>
              <w:rPr>
                <w:sz w:val="21"/>
              </w:rPr>
              <w:t>（二）人员要求</w:t>
            </w:r>
          </w:p>
          <w:p>
            <w:pPr>
              <w:ind w:firstLine="200"/>
              <w:jc w:val="left"/>
            </w:pPr>
            <w:r>
              <w:rPr>
                <w:sz w:val="20"/>
              </w:rPr>
              <w:t>★</w:t>
            </w:r>
            <w:r>
              <w:rPr>
                <w:sz w:val="21"/>
              </w:rPr>
              <w:t>1.响应供应商应为本项目配备专职项目负责人1名，执业医师1名，执业护士1名，康复治疗师1名，社会工作师2名，养老护理员4名，其他工作人员2名（专职人员须占人员总数60%以上）。响应供应商承诺在服务期内必须保证投入的工作人员数量不能减少，服务期中如有人事变动问题，必须保证能达到响应时承诺投入的人员。（提供书面承诺函加盖公章）；</w:t>
            </w:r>
          </w:p>
          <w:p>
            <w:r>
              <w:rPr>
                <w:sz w:val="21"/>
              </w:rPr>
              <w:t>2.提供上门生活照料服务的，保障上门服务人员与服务对象的比例不低于1：10；</w:t>
            </w:r>
          </w:p>
          <w:p>
            <w:r>
              <w:rPr>
                <w:sz w:val="21"/>
              </w:rPr>
              <w:t>3.提供康复护理服务的，护理人员与服务对象的配备比例不低于1：10，护理人员应具有护理、康复治疗专业技术教育背景或从业资格；</w:t>
            </w:r>
          </w:p>
          <w:p>
            <w:r>
              <w:rPr>
                <w:sz w:val="21"/>
              </w:rPr>
              <w:t>4.提供医疗保健类服务的，应配备执业医生、执业护士、康复治疗师、技师等专业人员；</w:t>
            </w:r>
          </w:p>
          <w:p>
            <w:r>
              <w:rPr>
                <w:sz w:val="21"/>
              </w:rPr>
              <w:t>5.应配备具有财会专业教育背景或持有财会职业资格证书的人员管理财务；</w:t>
            </w:r>
          </w:p>
          <w:p>
            <w:r>
              <w:rPr>
                <w:sz w:val="21"/>
              </w:rPr>
              <w:t>6.成交供应商应保障服务人员上岗前接受不少于10学时的岗前培训</w:t>
            </w:r>
            <w:r>
              <w:rPr>
                <w:sz w:val="20"/>
              </w:rPr>
              <w:t>，</w:t>
            </w:r>
            <w:r>
              <w:rPr>
                <w:sz w:val="21"/>
              </w:rPr>
              <w:t>每年在岗培训时间不少于</w:t>
            </w:r>
            <w:r>
              <w:rPr>
                <w:sz w:val="21"/>
              </w:rPr>
              <w:t>15学时。</w:t>
            </w:r>
          </w:p>
          <w:p>
            <w:r>
              <w:rPr>
                <w:sz w:val="21"/>
              </w:rPr>
              <w:t>（三）服务要求</w:t>
            </w:r>
          </w:p>
          <w:p>
            <w:r>
              <w:rPr>
                <w:sz w:val="21"/>
              </w:rPr>
              <w:t>1.对辖区内老年人的服务覆盖率达到100%。优先为社区居家养老服务资助对象、独居、高龄失能、计划生育特殊家庭等特殊困难老年人群提供服务；</w:t>
            </w:r>
          </w:p>
          <w:p>
            <w:r>
              <w:rPr>
                <w:sz w:val="21"/>
              </w:rPr>
              <w:t>2.提供的服务项目应参照广州市地方标准《广州市人民政府办公厅关于印发广州市居家社区养老服务管理办法的通知》的要求开展；</w:t>
            </w:r>
          </w:p>
          <w:p>
            <w:r>
              <w:rPr>
                <w:sz w:val="21"/>
              </w:rPr>
              <w:t>3.为服务对象制订详细具体的服务方案，并做好服务记录；</w:t>
            </w:r>
          </w:p>
          <w:p>
            <w:r>
              <w:rPr>
                <w:sz w:val="21"/>
              </w:rPr>
              <w:t>4.服务项目完成率达到100%，服务对象满意率达到80%及以上；</w:t>
            </w:r>
          </w:p>
          <w:p>
            <w:r>
              <w:rPr>
                <w:sz w:val="21"/>
              </w:rPr>
              <w:t>5.服务人员应遵循职业操守，按规定开展服务；</w:t>
            </w:r>
          </w:p>
          <w:p>
            <w:r>
              <w:rPr>
                <w:sz w:val="21"/>
              </w:rPr>
              <w:t>6.能有效管理社区居家养老服务相关文件和档案，真实完整记录并及时更新服务对象信息，保护个人信息安全，与服务对象的服务协议签约率及建档率达100%，能够根据服务对象的实际需求制订详细具体的服务方案，并做好服务记录。</w:t>
            </w:r>
          </w:p>
          <w:p>
            <w:r>
              <w:rPr>
                <w:sz w:val="21"/>
              </w:rPr>
              <w:t>（四）服务收费</w:t>
            </w:r>
          </w:p>
          <w:p>
            <w:r>
              <w:rPr>
                <w:sz w:val="21"/>
              </w:rPr>
              <w:t>1.成交供应商开展的服务项目费用按照《广州市社区居家养老服务项目清单与指导参考价（试行）》（穗居家养老服务指导中心办〔2018〕6号）的要求执行。</w:t>
            </w:r>
          </w:p>
          <w:p>
            <w:r>
              <w:rPr>
                <w:sz w:val="21"/>
              </w:rPr>
              <w:t>2.成交供应商收费标准必须向社会公开，公开载体包括各级人民政府或民政部门官方网站、成交供应商的网站、宣传栏等。</w:t>
            </w:r>
          </w:p>
          <w:p>
            <w:pPr>
              <w:jc w:val="both"/>
            </w:pPr>
            <w:r>
              <w:rPr>
                <w:b/>
                <w:sz w:val="21"/>
              </w:rPr>
              <w:t>四、保密要求</w:t>
            </w:r>
          </w:p>
          <w:p>
            <w:pPr>
              <w:ind w:firstLine="420"/>
              <w:jc w:val="both"/>
            </w:pPr>
            <w:r>
              <w:rPr>
                <w:sz w:val="21"/>
              </w:rPr>
              <w:t>1.成交供应商须对本项目涉及服务对象的个人相关信息进行保密，未经服务对象或其法定监护人书面许可，不得对外披露，不得以任何形式提供给第三方，不得在参与本项目工作之外使用这些保密信息。</w:t>
            </w:r>
          </w:p>
          <w:p>
            <w:pPr>
              <w:ind w:firstLine="420"/>
              <w:jc w:val="both"/>
            </w:pPr>
            <w:r>
              <w:rPr>
                <w:sz w:val="21"/>
              </w:rPr>
              <w:t>2.成交供应商在合同解除或者终止后不得保留以任何形式存储、使用、披露的服务对象的任何信息数据，不得利用该项目之保密信息数据为其他的单位（包括自办单位）或项目服务。</w:t>
            </w:r>
          </w:p>
          <w:p>
            <w:pPr>
              <w:jc w:val="both"/>
            </w:pPr>
            <w:r>
              <w:rPr>
                <w:b/>
                <w:sz w:val="21"/>
              </w:rPr>
              <w:t>五、监管条款</w:t>
            </w:r>
          </w:p>
          <w:p>
            <w:pPr>
              <w:ind w:firstLine="420"/>
              <w:jc w:val="both"/>
            </w:pPr>
            <w:r>
              <w:rPr>
                <w:sz w:val="21"/>
              </w:rPr>
              <w:t>1.成交供应商必须无条件接受采购人及上级部门的监督管理。</w:t>
            </w:r>
          </w:p>
          <w:p>
            <w:pPr>
              <w:ind w:firstLine="420"/>
              <w:jc w:val="both"/>
            </w:pPr>
            <w:r>
              <w:rPr>
                <w:sz w:val="21"/>
              </w:rPr>
              <w:t>2.采购人有权制定、修订对本项目的考核制度和评分标准，对成交供应商的运营行为进行考核、评分，并根据考评结果作出相应的处理。</w:t>
            </w:r>
          </w:p>
          <w:p>
            <w:pPr>
              <w:ind w:firstLine="420"/>
              <w:jc w:val="both"/>
            </w:pPr>
            <w:r>
              <w:rPr>
                <w:sz w:val="21"/>
              </w:rPr>
              <w:t>3.运营期间发生安全卫生责任事故（包括但不限于消防事故、食品药品事故、人身安全事故等），或出现欺老虐老行为、伙食费未按照非营利性原则收取、未购买机构意外责任保险或入住对象满意率调查低于80%的，民政部门将停止资助，并责令限期整改，整改后仍不合格的，与成交供应商解除合同，追究相应违约责任。出现其他管理服务、安全稳定问题的，依据《广东省养老服务条例》、《养老机构管理办法》等相关规定予以处理。</w:t>
            </w:r>
          </w:p>
          <w:p>
            <w:pPr>
              <w:jc w:val="both"/>
            </w:pPr>
            <w:r>
              <w:rPr>
                <w:b/>
                <w:sz w:val="21"/>
              </w:rPr>
              <w:t>六、终止和退出机制</w:t>
            </w:r>
          </w:p>
          <w:p>
            <w:pPr>
              <w:ind w:firstLine="420"/>
              <w:jc w:val="both"/>
            </w:pPr>
            <w:r>
              <w:rPr>
                <w:sz w:val="21"/>
              </w:rPr>
              <w:t>1.项目运营过程中，如运营期届满或合同提前终止时，成交供应商应及时做好机构交接工作，保障机构正常运营或入住老人妥善安置，双方应在合同终止60日前向白云区民政部门提交终止合同情况报告及入住对象安置方案，经批准后实施。双方共同委托专业会计师事务所进行资产清算，妥善做好资产和账目交接，运营届满前应按时移交政府，移交前产生的一切债务或纠纷由成交供应商自行负责。</w:t>
            </w:r>
          </w:p>
          <w:p>
            <w:pPr>
              <w:ind w:firstLine="420"/>
              <w:jc w:val="both"/>
            </w:pPr>
            <w:r>
              <w:rPr>
                <w:sz w:val="21"/>
              </w:rPr>
              <w:t>2.因不可抗力因素或政府政策原因影响合同执行的，双方不承担违约责任，相关补偿按当期有关政策执行。</w:t>
            </w:r>
          </w:p>
          <w:p>
            <w:pPr>
              <w:ind w:firstLine="420"/>
              <w:jc w:val="both"/>
            </w:pPr>
            <w:r>
              <w:rPr>
                <w:sz w:val="21"/>
              </w:rPr>
              <w:t>3.本项目合同生效后即具有法律约束力，双方均不得随意变更或解除。合同需要变更或解除时，须经双方共同协商，达成一致意见。</w:t>
            </w:r>
          </w:p>
          <w:p>
            <w:pPr>
              <w:ind w:firstLine="420"/>
              <w:jc w:val="both"/>
            </w:pPr>
            <w:r>
              <w:rPr>
                <w:sz w:val="21"/>
              </w:rPr>
              <w:t>4.成交供应商有下列情形之一的，采购人及民政部门有权责令其限期整改；情节严重的，应当解除合同，并依法移交有关部门追究责任：</w:t>
            </w:r>
          </w:p>
          <w:p>
            <w:pPr>
              <w:ind w:firstLine="420"/>
              <w:jc w:val="both"/>
            </w:pPr>
            <w:r>
              <w:rPr>
                <w:sz w:val="21"/>
              </w:rPr>
              <w:t>4.1利用本项目场所实施非法活动，违法经营或损害公共利益及违反本合同相关约定的。若因成交供应商违悖法律法规行为可能造成采购人在行政、经济上的责任，对造成损失的由成交供应商负全责；</w:t>
            </w:r>
          </w:p>
          <w:p>
            <w:pPr>
              <w:ind w:firstLine="420"/>
              <w:jc w:val="both"/>
            </w:pPr>
            <w:r>
              <w:rPr>
                <w:sz w:val="21"/>
              </w:rPr>
              <w:t>4.2以本项目的经营权向第三方进行转包、担保、保证、抵押或其他有损害采购人权益的，以及以国有资产进行抵押、融资、贷款，或违反协议约定的收费标准或捐赠管理制度，造成严重后果的；</w:t>
            </w:r>
          </w:p>
          <w:p>
            <w:pPr>
              <w:ind w:firstLine="420"/>
              <w:jc w:val="both"/>
            </w:pPr>
            <w:r>
              <w:rPr>
                <w:sz w:val="21"/>
              </w:rPr>
              <w:t>4.3未经采购人同意，擅自变更法定代表人或运营方的；</w:t>
            </w:r>
          </w:p>
          <w:p>
            <w:pPr>
              <w:ind w:firstLine="420"/>
              <w:jc w:val="both"/>
            </w:pPr>
            <w:r>
              <w:rPr>
                <w:sz w:val="21"/>
              </w:rPr>
              <w:t>4.4擅自改变经营范围的；</w:t>
            </w:r>
          </w:p>
          <w:p>
            <w:pPr>
              <w:ind w:firstLine="420"/>
              <w:jc w:val="both"/>
            </w:pPr>
            <w:r>
              <w:rPr>
                <w:sz w:val="21"/>
              </w:rPr>
              <w:t>4.5损毁设施或改变设施用途的，无法保障养老机构设施、设备正常运转的；</w:t>
            </w:r>
          </w:p>
          <w:p>
            <w:pPr>
              <w:ind w:firstLine="420"/>
              <w:jc w:val="both"/>
            </w:pPr>
            <w:r>
              <w:rPr>
                <w:sz w:val="21"/>
              </w:rPr>
              <w:t>4.6造成重大安全事故的；</w:t>
            </w:r>
          </w:p>
          <w:p>
            <w:pPr>
              <w:ind w:firstLine="420"/>
              <w:jc w:val="both"/>
            </w:pPr>
            <w:r>
              <w:rPr>
                <w:sz w:val="21"/>
              </w:rPr>
              <w:t>4.7经采购人或上级部门评估为不合格、要求整改后未按时整改或整改后仍然不合要求的；</w:t>
            </w:r>
          </w:p>
          <w:p>
            <w:pPr>
              <w:ind w:firstLine="420"/>
              <w:jc w:val="both"/>
            </w:pPr>
            <w:r>
              <w:rPr>
                <w:sz w:val="21"/>
              </w:rPr>
              <w:t>4.8经营资质降级或丧失的；</w:t>
            </w:r>
          </w:p>
          <w:p>
            <w:pPr>
              <w:ind w:firstLine="420"/>
              <w:jc w:val="both"/>
            </w:pPr>
            <w:r>
              <w:rPr>
                <w:sz w:val="21"/>
              </w:rPr>
              <w:t>4.9违反国家法律法规、违反合同的其他情形。</w:t>
            </w:r>
          </w:p>
          <w:p>
            <w:pPr>
              <w:jc w:val="both"/>
            </w:pPr>
            <w:r>
              <w:rPr>
                <w:b/>
                <w:sz w:val="21"/>
              </w:rPr>
              <w:t>七、其他要求</w:t>
            </w:r>
          </w:p>
          <w:p>
            <w:pPr>
              <w:ind w:firstLine="420"/>
              <w:jc w:val="both"/>
            </w:pPr>
            <w:r>
              <w:rPr>
                <w:sz w:val="21"/>
              </w:rPr>
              <w:t>1.服务期间如遇到国家规定的广州市职工最低工资标准发生调整，采购人将不作任何调整，具体以广州市有关部门颁发的文件为准。</w:t>
            </w:r>
          </w:p>
          <w:p>
            <w:pPr>
              <w:ind w:firstLine="420"/>
              <w:jc w:val="both"/>
            </w:pPr>
            <w:r>
              <w:rPr>
                <w:sz w:val="21"/>
              </w:rPr>
              <w:t>2.成交供应商如需要对服务设施进行改造，改造方案需先报采购人审核，经采购人同意后方可实施。</w:t>
            </w:r>
          </w:p>
          <w:p>
            <w:pPr>
              <w:ind w:firstLine="420"/>
              <w:jc w:val="both"/>
            </w:pPr>
            <w:r>
              <w:rPr>
                <w:sz w:val="21"/>
              </w:rPr>
              <w:t>3.服务期间如成交供应商在年度内的服务质量评估不合格的，采购人有权解除合同并不向成交供应商做任何赔偿或补偿。在解除合同至采购人确定接替的社区居家养老服务机构正式履行合同前，成交供应商仍要为原服务对象提供合同约定的服务，费用按实际人数及服务时间进行结算。合同履行完毕或解除合同后，成交供应商应与接替的居家养老服务机构做好服务内容、相关档案等的交接工作。</w:t>
            </w:r>
          </w:p>
          <w:p>
            <w:pPr>
              <w:ind w:firstLine="420"/>
              <w:jc w:val="both"/>
            </w:pPr>
            <w:r>
              <w:rPr>
                <w:sz w:val="21"/>
              </w:rPr>
              <w:t>4.采购人与成交供应商签订合同后15天内，成交供应商需按采购人要求完善同和街综合养老服务中心、社区颐康服务站、长者饭堂等标牌标识，相关费用由成交供应商承担。</w:t>
            </w:r>
          </w:p>
          <w:p>
            <w:pPr>
              <w:ind w:firstLine="420"/>
              <w:jc w:val="both"/>
            </w:pPr>
            <w:r>
              <w:rPr>
                <w:sz w:val="21"/>
              </w:rPr>
              <w:t>5.成交供应商应当按照建筑、消防、食品安全、医疗卫生等法律、法规和国家、省、市有关标准开展服务活动；应与服务对象签订服务协议，购买机构责任保险和场地险；须申请纳入长期护理保险协议定点服务机构，其内设医疗机构按规定纳入医保定点机构，便于为老年人提供综合性、全方位的养老服务。</w:t>
            </w:r>
          </w:p>
          <w:p>
            <w:pPr>
              <w:ind w:firstLine="420"/>
              <w:jc w:val="both"/>
            </w:pPr>
            <w:r>
              <w:rPr>
                <w:sz w:val="21"/>
              </w:rPr>
              <w:t>6.运营期间，成交供应商应守法经营，遵守国家的各项法律规定，遵守上级部门的管理公约，必须按有关部门要求认真落实安全生产工作，如因成交供应商原因（包括但不限于安全生产等工作落实不到位等）造成发生事故，或被有关行政主管部门处罚或者责令整改的，因此造成的一切损害损失及法律责任均由成交供应商承担。</w:t>
            </w:r>
          </w:p>
          <w:p>
            <w:pPr>
              <w:ind w:firstLine="420"/>
              <w:jc w:val="both"/>
            </w:pPr>
            <w:r>
              <w:rPr>
                <w:sz w:val="21"/>
              </w:rPr>
              <w:t>7.成交供应商不得以本项目的经营权向第三方进行分包、转包、担保、保证、抵押、融资、贷款或其他有损害采购人权益的行为。</w:t>
            </w:r>
          </w:p>
          <w:p>
            <w:pPr>
              <w:ind w:firstLine="420"/>
              <w:jc w:val="both"/>
            </w:pPr>
            <w:r>
              <w:rPr>
                <w:sz w:val="21"/>
              </w:rPr>
              <w:t>8.成交供应商应自行负责相关行政审批。运营期间未经采购人同意，成交供应商不得转租或改变经营项目。</w:t>
            </w:r>
          </w:p>
          <w:p>
            <w:pPr>
              <w:ind w:firstLine="420"/>
              <w:jc w:val="both"/>
            </w:pPr>
            <w:r>
              <w:rPr>
                <w:sz w:val="21"/>
              </w:rPr>
              <w:t>9.运营期间，不得发生欺老、虐老等违法行为，不得从事与养老服务无关的经营活动，不得利用本项目场地从事违法犯罪行为（包括但不限于生产、销售、经营国家规定的违禁品等），不得从事任何其他违法活动。成交供应商不得发行与本项目相关的商业预付卡，不得利用本项目的任何场地以产品展示的方式向服务对象推销所谓的保健食品或者保健器材等，如经发现上述任一情况的，采购人可视严重程度自行选择单方立即解除合同并按相关法律追究法律责任。运营期间，因成交供应商经营活动发生的一切纠纷，由成交供应商自行承担全部法律责任。</w:t>
            </w:r>
          </w:p>
          <w:p>
            <w:pPr>
              <w:ind w:firstLine="420"/>
              <w:jc w:val="both"/>
            </w:pPr>
            <w:r>
              <w:rPr>
                <w:sz w:val="21"/>
              </w:rPr>
              <w:t>10.如采购人或政府职能部门收到关于</w:t>
            </w:r>
            <w:r>
              <w:rPr>
                <w:sz w:val="21"/>
              </w:rPr>
              <w:t>成交</w:t>
            </w:r>
            <w:r>
              <w:rPr>
                <w:sz w:val="21"/>
              </w:rPr>
              <w:t>供应商违反建设、对老人存在暴力或不文明的行为的投诉或反映，采购人有权责令成交供应商在限期内改正，并依照相关的规定、合同约定追究成交供应商的违约责任。</w:t>
            </w:r>
          </w:p>
          <w:p>
            <w:pPr>
              <w:ind w:firstLine="210"/>
              <w:jc w:val="both"/>
            </w:pPr>
            <w:r>
              <w:rPr>
                <w:sz w:val="21"/>
              </w:rPr>
              <w:t>★11.</w:t>
            </w:r>
            <w:r>
              <w:rPr>
                <w:sz w:val="21"/>
              </w:rPr>
              <w:t>成交供应商须于签订合同之日起开始运营综合养老服务中心（颐康中心）</w:t>
            </w:r>
            <w:r>
              <w:rPr>
                <w:sz w:val="21"/>
              </w:rPr>
              <w:t>。（提供书面承诺函，格式自拟）</w:t>
            </w:r>
          </w:p>
          <w:p>
            <w:pPr>
              <w:ind w:firstLine="420"/>
              <w:jc w:val="both"/>
            </w:pPr>
            <w:r>
              <w:rPr>
                <w:sz w:val="21"/>
              </w:rPr>
              <w:t>12.与成交供应商的特殊约定：</w:t>
            </w:r>
          </w:p>
          <w:p>
            <w:pPr>
              <w:ind w:firstLine="420"/>
              <w:jc w:val="both"/>
            </w:pPr>
            <w:r>
              <w:rPr>
                <w:sz w:val="21"/>
              </w:rPr>
              <w:t>（</w:t>
            </w:r>
            <w:r>
              <w:rPr>
                <w:sz w:val="21"/>
              </w:rPr>
              <w:t>1）颐康中心命名为“白云区同和街综合养老服务中心（颐康中心）”并对外挂牌，由白云区民政局编号管理，成交供应商不得冠名。</w:t>
            </w:r>
          </w:p>
          <w:p>
            <w:pPr>
              <w:ind w:firstLine="210"/>
              <w:jc w:val="both"/>
            </w:pPr>
            <w:r>
              <w:rPr>
                <w:sz w:val="21"/>
              </w:rPr>
              <w:t>★（2）服务期间，如广州市、白云区关于养老服务的相关政策调整（包括但不限于居家社区养老政策、综合养老服务项目建设及运营政策等）、服务要求、场地建设和验收标准、重点服务对象人数、补贴标准发生变化等，成交供应商必须无条件接受，并严格按有关要求执行，成交供应商与采购人应根据最新政策签订补充协议，补充协议和原运营合同具有同等法律效力，补充协议与原运营合同存在冲突的条款，以最新的补充协议为准。（提供书面承诺函，格式自拟）</w:t>
            </w:r>
          </w:p>
          <w:p>
            <w:pPr>
              <w:jc w:val="both"/>
            </w:pPr>
            <w:r>
              <w:rPr>
                <w:sz w:val="21"/>
              </w:rPr>
              <w:t>（</w:t>
            </w:r>
            <w:r>
              <w:rPr>
                <w:sz w:val="21"/>
              </w:rPr>
              <w:t>3）服务期间，政府补助经费（包括但不限于颐康中心助餐配餐补贴、政府资助对象上门补助等经费）根据养老相关政策法规规定拨付，根据实际服务量进行结算。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广州市白云区人民政府同和街道办事处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采购代理服务费计价标准以本项目采购包预算金额为计算基数，参照国家计委颁布的（计价格【2002】1980号）及国家发改委颁布的（发改办价格【2003】857号）的标准来计算。采购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李泽、李年秀</w:t>
      </w:r>
    </w:p>
    <w:p>
      <w:pPr>
        <w:ind w:firstLine="480"/>
      </w:pPr>
      <w:r>
        <w:rPr/>
        <w:t>电话：</w:t>
      </w:r>
      <w:r>
        <w:rPr/>
        <w:t>020-87687142、020-87688847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(2024-2026年同和街综合养老服务中心（颐康中心）政府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采购包1（2024-2026年同和街综合养老服务中心（颐康中心）政府采购项目）：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采购包1（2024-2026年同和街综合养老服务中心（颐康中心）政府采购项目）：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采购包1（2024-2026年同和街综合养老服务中心（颐康中心）政府采购项目）：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计划投入本项目的年度服务总工时唯一且在规定的范围内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采购包1(2024-2026年同和街综合养老服务中心（颐康中心）政府采购项目):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综合信用分5.0分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项目计划的专业服务内容（一） (1.0分)</w:t>
            </w:r>
          </w:p>
        </w:tc>
        <w:tc>
          <w:tcPr>
            <w:tcW w:type="dxa" w:w="5076"/>
          </w:tcPr>
          <w:p>
            <w:pPr>
              <w:jc w:val="left"/>
            </w:pPr>
            <w:r>
              <w:rPr/>
              <w:t>评标委员会根据响应供应商提供的项目计划实施的制度保障进行评审，方案应包括（投标文件中方案标题应以下列方案名称命名）： 1、制定了完善和详细的实施计划； 2、服务供给、应急预案内容、对进度把控及方案质量保证有详细的说明。 提供全部内容得1分，每缺1项扣0.5分。</w:t>
            </w:r>
          </w:p>
        </w:tc>
      </w:tr>
      <w:tr>
        <w:tc>
          <w:tcPr>
            <w:tcW w:type="dxa" w:w="922"/>
            <w:gridSpan w:val="2"/>
            <w:vMerge/>
          </w:tcPr>
          <w:p/>
        </w:tc>
        <w:tc>
          <w:tcPr>
            <w:tcW w:type="dxa" w:w="2307"/>
          </w:tcPr>
          <w:p>
            <w:pPr>
              <w:jc w:val="left"/>
            </w:pPr>
            <w:r>
              <w:rPr/>
              <w:t>项目计划的专业服务内容（二） (5.0分)</w:t>
            </w:r>
            <w:r>
              <w:rPr/>
              <w:t>，（等次分值选择：</w:t>
            </w:r>
            <w:r>
              <w:rPr/>
              <w:t>0.0;</w:t>
            </w:r>
            <w:r>
              <w:rPr/>
              <w:t>1.0;</w:t>
            </w:r>
            <w:r>
              <w:rPr/>
              <w:t>3.0;</w:t>
            </w:r>
            <w:r>
              <w:rPr/>
              <w:t>4.0;</w:t>
            </w:r>
            <w:r>
              <w:rPr/>
              <w:t>5.0;</w:t>
            </w:r>
            <w:r>
              <w:rPr/>
              <w:t>）</w:t>
            </w:r>
          </w:p>
        </w:tc>
        <w:tc>
          <w:tcPr>
            <w:tcW w:type="dxa" w:w="5076"/>
          </w:tcPr>
          <w:p>
            <w:pPr>
              <w:jc w:val="left"/>
            </w:pPr>
            <w:r>
              <w:rPr/>
              <w:t>评标委员会根据响应供应商提供的项目计划的专业服务内容（一）详细内容进行综合评审： 1、非常熟悉项目内容，针对本项目制定了完善和详细的实施计划、服务供给、应急预案内容、对进度把控及方案质量保证有详细的说明，内容切实可行，有创新特色，得5分； 2、一般清楚项目内容，能针对本项目制定相应的实施计划、服务供给、应急预案内容，方案内容较为具体明确，具有一定的可执行性，对进度把控及方案质量保证有相关的说明，内容具有一定的可行性，得4分； 3、了解项目内容，能针对本项目制定相应的实施计划、服务供给内容，但内容不够全面具体，不够细化，对进度把控及方案质量保证有一些说明，内容较为简略，可行性较差，得3分； 4、不了解项目内容，不能针对本项目制定相应的实施计划、服务供给内容，对进度把控及方案质量没有说明，或内容简单粗略，不具有可行性，得1分。 5、无或其他不得分。</w:t>
            </w:r>
          </w:p>
        </w:tc>
      </w:tr>
      <w:tr>
        <w:tc>
          <w:tcPr>
            <w:tcW w:type="dxa" w:w="922"/>
            <w:gridSpan w:val="2"/>
            <w:vMerge/>
          </w:tcPr>
          <w:p/>
        </w:tc>
        <w:tc>
          <w:tcPr>
            <w:tcW w:type="dxa" w:w="2307"/>
          </w:tcPr>
          <w:p>
            <w:pPr>
              <w:jc w:val="left"/>
            </w:pPr>
            <w:r>
              <w:rPr/>
              <w:t>拟投入项目的专业团队人员情况（一） (4.0分)</w:t>
            </w:r>
          </w:p>
        </w:tc>
        <w:tc>
          <w:tcPr>
            <w:tcW w:type="dxa" w:w="5076"/>
          </w:tcPr>
          <w:p>
            <w:pPr>
              <w:jc w:val="left"/>
            </w:pPr>
            <w:r>
              <w:rPr/>
              <w:t>（一）为本项目配备的专职的项目负责人： 1、具有5年或以上养老服务或社会工作服务工作经验； 2、具备中级或高级社会工作师；（提供证书复印件）； 以上每符合一项得2分，可累计，最高4分。 注：响应文件中提供相关资质证件、工作经验（工作经验证明可以为项目合同等能证明工作经验的资料）证明文件复印件，及供应商为其缴纳的响应截止前6个月内任意一个月的社保证明复印件。</w:t>
            </w:r>
          </w:p>
        </w:tc>
      </w:tr>
      <w:tr>
        <w:tc>
          <w:tcPr>
            <w:tcW w:type="dxa" w:w="922"/>
            <w:gridSpan w:val="2"/>
            <w:vMerge/>
          </w:tcPr>
          <w:p/>
        </w:tc>
        <w:tc>
          <w:tcPr>
            <w:tcW w:type="dxa" w:w="2307"/>
          </w:tcPr>
          <w:p>
            <w:pPr>
              <w:jc w:val="left"/>
            </w:pPr>
            <w:r>
              <w:rPr/>
              <w:t>拟投入项目的专业团队人员情况（二） (4.0分)</w:t>
            </w:r>
          </w:p>
        </w:tc>
        <w:tc>
          <w:tcPr>
            <w:tcW w:type="dxa" w:w="5076"/>
          </w:tcPr>
          <w:p>
            <w:pPr>
              <w:jc w:val="left"/>
            </w:pPr>
            <w:r>
              <w:rPr/>
              <w:t>（二）本项目配备执业医师的情况： 1、专职的执业医师，每配备1位得2分； 2、兼职的执业医师，每配备1位得1分。 可累计，最高得4分。 注：同时提供执业医师证书及劳动合同、身份证证明复印件加盖公章，资料不全不得分。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拟投入项目的专业团队人员情况（三） (4.0分)</w:t>
            </w:r>
          </w:p>
        </w:tc>
        <w:tc>
          <w:tcPr>
            <w:tcW w:type="dxa" w:w="5076"/>
          </w:tcPr>
          <w:p>
            <w:pPr>
              <w:jc w:val="left"/>
            </w:pPr>
            <w:r>
              <w:rPr/>
              <w:t>（三）为本项目配备执业护士的情况： 1、专职的执业护士，每配备1位得2分； 2、兼职的执业护士，每配备1位得1分。 可累计，本项最高得4分。 注：同时提供执业护士证书及劳动合同、身份证证明复印件加盖公章，资料不全不得分。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拟投入项目的专业团队人员情况（四） (4.0分)</w:t>
            </w:r>
          </w:p>
        </w:tc>
        <w:tc>
          <w:tcPr>
            <w:tcW w:type="dxa" w:w="5076"/>
          </w:tcPr>
          <w:p>
            <w:pPr>
              <w:jc w:val="left"/>
            </w:pPr>
            <w:r>
              <w:rPr/>
              <w:t>（四）为本项目配备专职社会工作师的情况： 1、中级或以上的社会工作师，每配备1位，得2分； 2、初级的社会工作师，每配备1位，得1分。 可累计，最高得4分。 注：同时提供社会工作证书及劳动合同、身份证证明复印件加盖公章，资料不全不得分。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拟投入项目的专业团队人员情况（五） (4.0分)</w:t>
            </w:r>
          </w:p>
        </w:tc>
        <w:tc>
          <w:tcPr>
            <w:tcW w:type="dxa" w:w="5076"/>
          </w:tcPr>
          <w:p>
            <w:pPr>
              <w:jc w:val="left"/>
            </w:pPr>
            <w:r>
              <w:rPr/>
              <w:t>（五）为本项目配备专职康复治疗师的情况： 1、专职的康复师，每配备1位得2分； 2、兼职的康复师，每配备1位得1分。 可累计，最高得4分。 注：同时提供康复治疗师证书及劳动合同、身份证证明复印件加盖公章，资料不全不得分。</w:t>
            </w:r>
          </w:p>
        </w:tc>
      </w:tr>
      <w:tr>
        <w:tc>
          <w:tcPr>
            <w:tcW w:type="dxa" w:w="922"/>
            <w:gridSpan w:val="2"/>
            <w:vMerge/>
          </w:tcPr>
          <w:p/>
        </w:tc>
        <w:tc>
          <w:tcPr>
            <w:tcW w:type="dxa" w:w="2307"/>
          </w:tcPr>
          <w:p>
            <w:pPr>
              <w:jc w:val="left"/>
            </w:pPr>
            <w:r>
              <w:rPr/>
              <w:t>拟投入项目的专业团队人员情况（六） (4.0分)</w:t>
            </w:r>
          </w:p>
        </w:tc>
        <w:tc>
          <w:tcPr>
            <w:tcW w:type="dxa" w:w="5076"/>
          </w:tcPr>
          <w:p>
            <w:pPr>
              <w:jc w:val="left"/>
            </w:pPr>
            <w:r>
              <w:rPr/>
              <w:t>（六）为本项目配备专职养老护理员的情况： 1、专职的养老护理员，每配备1位得1分； 2、兼职的养老护理员，每配备1位得0.5分。 可累计，最高得4分。 注：同时提供养老护理员证书（或养老护理员培训证书）、劳动合同、身份证证明复印件加盖公章，资料不全不得分。</w:t>
            </w:r>
          </w:p>
        </w:tc>
      </w:tr>
      <w:tr>
        <w:tc>
          <w:tcPr>
            <w:tcW w:type="dxa" w:w="922"/>
            <w:gridSpan w:val="2"/>
            <w:vMerge/>
          </w:tcPr>
          <w:p/>
        </w:tc>
        <w:tc>
          <w:tcPr>
            <w:tcW w:type="dxa" w:w="2307"/>
          </w:tcPr>
          <w:p>
            <w:pPr>
              <w:jc w:val="left"/>
            </w:pPr>
            <w:r>
              <w:rPr/>
              <w:t>拟投入项目的专业团队人员情况（七） (2.0分)</w:t>
            </w:r>
          </w:p>
        </w:tc>
        <w:tc>
          <w:tcPr>
            <w:tcW w:type="dxa" w:w="5076"/>
          </w:tcPr>
          <w:p>
            <w:pPr>
              <w:jc w:val="left"/>
            </w:pPr>
            <w:r>
              <w:rPr/>
              <w:t>（七）为本项目配备执业律师为法律顾问，得2分。 备注：同时提供法律顾问证书及合作协议、顾问身份证证明复印件加盖公章，资料不全不得分。</w:t>
            </w:r>
          </w:p>
        </w:tc>
      </w:tr>
      <w:tr>
        <w:tc>
          <w:tcPr>
            <w:tcW w:type="dxa" w:w="922"/>
            <w:gridSpan w:val="2"/>
            <w:vMerge/>
          </w:tcPr>
          <w:p/>
        </w:tc>
        <w:tc>
          <w:tcPr>
            <w:tcW w:type="dxa" w:w="2307"/>
          </w:tcPr>
          <w:p>
            <w:pPr>
              <w:jc w:val="left"/>
            </w:pPr>
            <w:r>
              <w:rPr/>
              <w:t>项目计划实施的制度保障（一） (1.5分)</w:t>
            </w:r>
          </w:p>
        </w:tc>
        <w:tc>
          <w:tcPr>
            <w:tcW w:type="dxa" w:w="5076"/>
          </w:tcPr>
          <w:p>
            <w:pPr>
              <w:jc w:val="left"/>
            </w:pPr>
            <w:r>
              <w:rPr/>
              <w:t>评标委员会根据响应供应商提供的项目计划实施的制度保障进行评审，方案应包括（投标文件中方案标题应以下列方案名称命名）： 1、培训方案； 2、养老服务实施方案； 3、应急措施。 提供全部内容得1.5分，每缺1项扣0.5分。</w:t>
            </w:r>
          </w:p>
        </w:tc>
      </w:tr>
      <w:tr>
        <w:tc>
          <w:tcPr>
            <w:tcW w:type="dxa" w:w="922"/>
            <w:gridSpan w:val="2"/>
            <w:vMerge/>
          </w:tcPr>
          <w:p/>
        </w:tc>
        <w:tc>
          <w:tcPr>
            <w:tcW w:type="dxa" w:w="2307"/>
          </w:tcPr>
          <w:p>
            <w:pPr>
              <w:jc w:val="left"/>
            </w:pPr>
            <w:r>
              <w:rPr/>
              <w:t>项目计划实施的制度保障（二） (5.0分)</w:t>
            </w:r>
            <w:r>
              <w:rPr/>
              <w:t>，（等次分值选择：</w:t>
            </w:r>
            <w:r>
              <w:rPr/>
              <w:t>0.0;</w:t>
            </w:r>
            <w:r>
              <w:rPr/>
              <w:t>1.0;</w:t>
            </w:r>
            <w:r>
              <w:rPr/>
              <w:t>3.0;</w:t>
            </w:r>
            <w:r>
              <w:rPr/>
              <w:t>5.0;</w:t>
            </w:r>
            <w:r>
              <w:rPr/>
              <w:t>）</w:t>
            </w:r>
          </w:p>
        </w:tc>
        <w:tc>
          <w:tcPr>
            <w:tcW w:type="dxa" w:w="5076"/>
          </w:tcPr>
          <w:p>
            <w:pPr>
              <w:jc w:val="left"/>
            </w:pPr>
            <w:r>
              <w:rPr/>
              <w:t>评标委员会根据响应供应商提供的项目计划实施的制度保障（一）详细内容进行综合评审： 1、有系统的服务保障制度，工作制度具体科学、安排合理，有效保障本项目实施，有利于实现服务效果，得5分； 2、有系统的服务保障制度，但相关工作制度具有一定科学性、不够具体、安排具有一定合理性、不够完善，基本保障本项目服务实施，基本满足服务效果，得3分； 3、有服务保障制度，但提出的措施没有针对性或难以施行的，制度不科学，欠考虑，无法保障本项目服务实施或难以服务效果，得1分； 4、无相关保障运行制度的，得0分。</w:t>
            </w:r>
          </w:p>
        </w:tc>
      </w:tr>
      <w:tr>
        <w:tc>
          <w:tcPr>
            <w:tcW w:type="dxa" w:w="922"/>
            <w:gridSpan w:val="2"/>
            <w:vMerge/>
          </w:tcPr>
          <w:p/>
        </w:tc>
        <w:tc>
          <w:tcPr>
            <w:tcW w:type="dxa" w:w="2307"/>
          </w:tcPr>
          <w:p>
            <w:pPr>
              <w:jc w:val="left"/>
            </w:pPr>
            <w:r>
              <w:rPr/>
              <w:t>项目经费预算保障要求（一） (1.5分)</w:t>
            </w:r>
          </w:p>
        </w:tc>
        <w:tc>
          <w:tcPr>
            <w:tcW w:type="dxa" w:w="5076"/>
          </w:tcPr>
          <w:p>
            <w:pPr>
              <w:jc w:val="left"/>
            </w:pPr>
            <w:r>
              <w:rPr/>
              <w:t>评标委员会根据响应供应商提供的项目经费预算保障要求进行评审，方案应包括（投标文件中方案标题应以下列方案名称命名）： 1、预算编制； 2、具有合理、详细的项目经费使用计划； 3、符合政府购买服务的相关规定。 提供全部内容得1.5分，每缺1项扣0.5分。</w:t>
            </w:r>
          </w:p>
        </w:tc>
      </w:tr>
      <w:tr>
        <w:tc>
          <w:tcPr>
            <w:tcW w:type="dxa" w:w="922"/>
            <w:gridSpan w:val="2"/>
            <w:vMerge/>
          </w:tcPr>
          <w:p/>
        </w:tc>
        <w:tc>
          <w:tcPr>
            <w:tcW w:type="dxa" w:w="2307"/>
          </w:tcPr>
          <w:p>
            <w:pPr>
              <w:jc w:val="left"/>
            </w:pPr>
            <w:r>
              <w:rPr/>
              <w:t>项目经费预算保障要求（二） (4.0分)</w:t>
            </w:r>
            <w:r>
              <w:rPr/>
              <w:t>，（等次分值选择：</w:t>
            </w:r>
            <w:r>
              <w:rPr/>
              <w:t>0.0;</w:t>
            </w:r>
            <w:r>
              <w:rPr/>
              <w:t>2.0;</w:t>
            </w:r>
            <w:r>
              <w:rPr/>
              <w:t>3.0;</w:t>
            </w:r>
            <w:r>
              <w:rPr/>
              <w:t>4.0;</w:t>
            </w:r>
            <w:r>
              <w:rPr/>
              <w:t>）</w:t>
            </w:r>
          </w:p>
        </w:tc>
        <w:tc>
          <w:tcPr>
            <w:tcW w:type="dxa" w:w="5076"/>
          </w:tcPr>
          <w:p>
            <w:pPr>
              <w:jc w:val="left"/>
            </w:pPr>
            <w:r>
              <w:rPr/>
              <w:t>评标委员会根据响应供应商提供的项目经费预算保障要求（一）详细内容进行综合评审： 1、项目经费预算科目清晰，全面考虑了工作中各项可能性支出，预算明细合理且符合政府购买服务的相关规定，得4分； 2、项目经费预算科目清晰，考虑了工作中大部分可能性支出，预算明细合理且符合政府购买服务的相关规定，得3分； 3、项目经费预算科目清晰，但对工作中部分主要性支出未能考虑，预算明细合理性未能符合政府购买服务的相关规定，得2分； 4、无项目经费预算或项目经费预算科目不清晰，均得0分。</w:t>
            </w:r>
          </w:p>
        </w:tc>
      </w:tr>
      <w:tr>
        <w:tc>
          <w:tcPr>
            <w:tcW w:type="dxa" w:w="922"/>
            <w:gridSpan w:val="2"/>
            <w:vMerge/>
          </w:tcPr>
          <w:p/>
        </w:tc>
        <w:tc>
          <w:tcPr>
            <w:tcW w:type="dxa" w:w="2307"/>
          </w:tcPr>
          <w:p>
            <w:pPr>
              <w:jc w:val="left"/>
            </w:pPr>
            <w:r>
              <w:rPr/>
              <w:t>医养服务经验方案（一） (1.0分)</w:t>
            </w:r>
          </w:p>
        </w:tc>
        <w:tc>
          <w:tcPr>
            <w:tcW w:type="dxa" w:w="5076"/>
          </w:tcPr>
          <w:p>
            <w:pPr>
              <w:jc w:val="left"/>
            </w:pPr>
            <w:r>
              <w:rPr/>
              <w:t>评标委员会根据响应供应商提供的医养服务经验方案要求进行评审，方案应包括（投标文件中方案标题应以下列方案名称命名）： 1、医养服务经验； 2、工作中医养服务合理分配。 提供全部内容得1分，每缺1项扣0.5分。</w:t>
            </w:r>
          </w:p>
        </w:tc>
      </w:tr>
      <w:tr>
        <w:tc>
          <w:tcPr>
            <w:tcW w:type="dxa" w:w="922"/>
            <w:gridSpan w:val="2"/>
            <w:vMerge/>
          </w:tcPr>
          <w:p/>
        </w:tc>
        <w:tc>
          <w:tcPr>
            <w:tcW w:type="dxa" w:w="2307"/>
          </w:tcPr>
          <w:p>
            <w:pPr>
              <w:jc w:val="left"/>
            </w:pPr>
            <w:r>
              <w:rPr/>
              <w:t>医养服务经验方案（二） (5.0分)</w:t>
            </w:r>
            <w:r>
              <w:rPr/>
              <w:t>，（等次分值选择：</w:t>
            </w:r>
            <w:r>
              <w:rPr/>
              <w:t>0.0;</w:t>
            </w:r>
            <w:r>
              <w:rPr/>
              <w:t>1.0;</w:t>
            </w:r>
            <w:r>
              <w:rPr/>
              <w:t>3.0;</w:t>
            </w:r>
            <w:r>
              <w:rPr/>
              <w:t>5.0;</w:t>
            </w:r>
            <w:r>
              <w:rPr/>
              <w:t>）</w:t>
            </w:r>
          </w:p>
        </w:tc>
        <w:tc>
          <w:tcPr>
            <w:tcW w:type="dxa" w:w="5076"/>
          </w:tcPr>
          <w:p>
            <w:pPr>
              <w:jc w:val="left"/>
            </w:pPr>
            <w:r>
              <w:rPr/>
              <w:t>评标委员会根据响应供应商提供的医养服务经验方案（一）详细内容进行综合评审： 1、具备完善的医疗与养身服务方案，且能对项目实施过程的各种可能性考虑周全，能有效保障本项目实施，有利于实现服务效果，得5分； 2、具备医疗与养身服务方案，有考虑部分项目实施过程中的可能性，方案存在瑕疵的，能基本保障本项目服务实施，基本满足服务效果的，得3 分； 3、 医疗与养身服务方案不完整，未有考虑部分项目实施过程中的可能性，方案不全面不能实现项目效果得1分； 4、无攻关服务经验方案或方案不清晰，均得0分。</w:t>
            </w:r>
          </w:p>
        </w:tc>
      </w:tr>
      <w:tr>
        <w:tc>
          <w:tcPr>
            <w:tcW w:type="dxa" w:w="922"/>
            <w:gridSpan w:val="2"/>
            <w:vMerge/>
          </w:tcPr>
          <w:p/>
        </w:tc>
        <w:tc>
          <w:tcPr>
            <w:tcW w:type="dxa" w:w="2307"/>
          </w:tcPr>
          <w:p>
            <w:pPr>
              <w:jc w:val="left"/>
            </w:pPr>
            <w:r>
              <w:rPr/>
              <w:t>响应供应商综合实力 (10.0分)</w:t>
            </w:r>
            <w:r>
              <w:rPr/>
              <w:t>，（等次分值选择：</w:t>
            </w:r>
            <w:r>
              <w:rPr/>
              <w:t>0.0;</w:t>
            </w:r>
            <w:r>
              <w:rPr/>
              <w:t>5.0;</w:t>
            </w:r>
            <w:r>
              <w:rPr/>
              <w:t>10.0;</w:t>
            </w:r>
            <w:r>
              <w:rPr/>
              <w:t>）</w:t>
            </w:r>
          </w:p>
        </w:tc>
        <w:tc>
          <w:tcPr>
            <w:tcW w:type="dxa" w:w="5076"/>
          </w:tcPr>
          <w:p>
            <w:pPr>
              <w:jc w:val="left"/>
            </w:pPr>
            <w:r>
              <w:rPr/>
              <w:t>服务供应商拥有固定的办公场所，配置办公区与服务接待区，配置与其服务内容、服务范围相适应的固定场所与设施设备： 1、具备固定办公场所，配置办公区与服务接待区，设施设备齐全，得10分； 2、有固定办公场所，设施设备一般且欠缺，得5分；  3、无办公场所或无配备适应的设施设备，得0分。 注：办公场所需提供场所产权证明或租赁合同并加盖响应供应商公章。</w:t>
            </w:r>
          </w:p>
        </w:tc>
      </w:tr>
      <w:tr>
        <w:tc>
          <w:tcPr>
            <w:tcW w:type="dxa" w:w="922"/>
            <w:gridSpan w:val="2"/>
            <w:vMerge w:val="restart"/>
          </w:tcPr>
          <w:p>
            <w:pPr>
              <w:jc w:val="center"/>
            </w:pPr>
            <w:r>
              <w:rPr/>
              <w:t>商务部分</w:t>
            </w:r>
          </w:p>
        </w:tc>
        <w:tc>
          <w:tcPr>
            <w:tcW w:type="dxa" w:w="2307"/>
          </w:tcPr>
          <w:p>
            <w:pPr>
              <w:jc w:val="left"/>
            </w:pPr>
            <w:r>
              <w:rPr/>
              <w:t>响应供应商财务执行能力（一） (1.0分)</w:t>
            </w:r>
          </w:p>
        </w:tc>
        <w:tc>
          <w:tcPr>
            <w:tcW w:type="dxa" w:w="5076"/>
          </w:tcPr>
          <w:p>
            <w:pPr>
              <w:jc w:val="left"/>
            </w:pPr>
            <w:r>
              <w:rPr/>
              <w:t>响应供应商是否有专业的财会人员： （一）财会专业人员情况： 1、有财会专业教育背景或持财会职业资格证书的财会人员，会计和出纳均为专职的，得1分； 2、有财会专业教育背景或持财会职业资格证书的财会人员，会计或出纳为兼职的，得0.5分。 注：提供相关人员学历证书或资格证书等证明材料以及提供相关人员在本单位任职的证明材料（如加盖所在地区政府有关部门印章的打印日期在本项目响应截止日之前六个月内任意一个月的《投保单》或《社会保险参保人员证明》，或单位代缴个人所得税税单等。）要求在对应人名处圈记并能清楚分辨所在单位。（如兼职人员的可提供有效雇佣关系证明材料）。不提供不得分。</w:t>
            </w:r>
          </w:p>
        </w:tc>
      </w:tr>
      <w:tr>
        <w:tc>
          <w:tcPr>
            <w:tcW w:type="dxa" w:w="922"/>
            <w:gridSpan w:val="2"/>
            <w:vMerge/>
          </w:tcPr>
          <w:p/>
        </w:tc>
        <w:tc>
          <w:tcPr>
            <w:tcW w:type="dxa" w:w="2307"/>
          </w:tcPr>
          <w:p>
            <w:pPr>
              <w:jc w:val="left"/>
            </w:pPr>
            <w:r>
              <w:rPr/>
              <w:t>响应供应商财务执行能力（二） (2.0分)</w:t>
            </w:r>
            <w:r>
              <w:rPr/>
              <w:t>，（等次分值选择：</w:t>
            </w:r>
            <w:r>
              <w:rPr/>
              <w:t>0.0;</w:t>
            </w:r>
            <w:r>
              <w:rPr/>
              <w:t>1.0;</w:t>
            </w:r>
            <w:r>
              <w:rPr/>
              <w:t>2.0;</w:t>
            </w:r>
            <w:r>
              <w:rPr/>
              <w:t>）</w:t>
            </w:r>
          </w:p>
        </w:tc>
        <w:tc>
          <w:tcPr>
            <w:tcW w:type="dxa" w:w="5076"/>
          </w:tcPr>
          <w:p>
            <w:pPr>
              <w:jc w:val="left"/>
            </w:pPr>
            <w:r>
              <w:rPr/>
              <w:t>响应供应商是否有健全的财务管理机制（二）财务管理制度情况： 1、财务管理、财务审核、财务监督机制健全，可行性强，有清晰的经费预算、费用报批、物资采购程序，合理性和可操作性强，财务记录详细，得2分； 2、财务管理、财务审核、财务监督制度健全，具有一定的可行性，有经费预算、费用报批、物资采购程序，具备一定的合理性和可操作性，有财务记录，但不够详细具体，得1分； 3、无或其他不得分。</w:t>
            </w:r>
          </w:p>
        </w:tc>
      </w:tr>
      <w:tr>
        <w:tc>
          <w:tcPr>
            <w:tcW w:type="dxa" w:w="922"/>
            <w:gridSpan w:val="2"/>
            <w:vMerge/>
          </w:tcPr>
          <w:p/>
        </w:tc>
        <w:tc>
          <w:tcPr>
            <w:tcW w:type="dxa" w:w="2307"/>
          </w:tcPr>
          <w:p>
            <w:pPr>
              <w:jc w:val="left"/>
            </w:pPr>
            <w:r>
              <w:rPr/>
              <w:t>响应供应商同类服务业绩 (6.0分)</w:t>
            </w:r>
          </w:p>
        </w:tc>
        <w:tc>
          <w:tcPr>
            <w:tcW w:type="dxa" w:w="5076"/>
          </w:tcPr>
          <w:p>
            <w:pPr>
              <w:jc w:val="left"/>
            </w:pPr>
            <w:r>
              <w:rPr/>
              <w:t>响应供应商自2020年1月1日至今承接综合养老服务或居家养老服务项目，每提供一项业绩得2分，最高6分。 注：供应商需提供合同关键页复印件（含签订合同双方的单位名称、合同项目名称、服务内容与含签订合同双方的落款盖章、签订日期的关键页）并加盖响应供应商公章，不提供或专家无法认定不得分。</w:t>
            </w:r>
          </w:p>
        </w:tc>
      </w:tr>
      <w:tr>
        <w:tc>
          <w:tcPr>
            <w:tcW w:type="dxa" w:w="922"/>
            <w:gridSpan w:val="2"/>
            <w:vMerge/>
          </w:tcPr>
          <w:p/>
        </w:tc>
        <w:tc>
          <w:tcPr>
            <w:tcW w:type="dxa" w:w="2307"/>
          </w:tcPr>
          <w:p>
            <w:pPr>
              <w:jc w:val="left"/>
            </w:pPr>
            <w:r>
              <w:rPr/>
              <w:t>服务能力 (6.0分)</w:t>
            </w:r>
          </w:p>
        </w:tc>
        <w:tc>
          <w:tcPr>
            <w:tcW w:type="dxa" w:w="5076"/>
          </w:tcPr>
          <w:p>
            <w:pPr>
              <w:jc w:val="left"/>
            </w:pPr>
            <w:r>
              <w:rPr/>
              <w:t>响应供应商近3年承接的居家养老类项目年终评估成绩为80分及以上（100分制），每一次得2分，最高得6分。 注：须提供证明材料，不提供或专家无法认定不得分。</w:t>
            </w:r>
          </w:p>
        </w:tc>
      </w:tr>
      <w:tr>
        <w:tc>
          <w:tcPr>
            <w:tcW w:type="dxa" w:w="922"/>
            <w:gridSpan w:val="2"/>
            <w:vMerge/>
          </w:tcPr>
          <w:p/>
        </w:tc>
        <w:tc>
          <w:tcPr>
            <w:tcW w:type="dxa" w:w="2307"/>
          </w:tcPr>
          <w:p>
            <w:pPr>
              <w:jc w:val="left"/>
            </w:pPr>
            <w:r>
              <w:rPr/>
              <w:t>资源链接及社会参与能力（一） (2.0分)</w:t>
            </w:r>
          </w:p>
        </w:tc>
        <w:tc>
          <w:tcPr>
            <w:tcW w:type="dxa" w:w="5076"/>
          </w:tcPr>
          <w:p>
            <w:pPr>
              <w:jc w:val="left"/>
            </w:pPr>
            <w:r>
              <w:rPr/>
              <w:t>近2年内，响应供应商获得公益慈善组织、基金会、企业等各类社会资金或物资支持。每项资助得0.5分，最高得2分。</w:t>
            </w:r>
          </w:p>
        </w:tc>
      </w:tr>
      <w:tr>
        <w:tc>
          <w:tcPr>
            <w:tcW w:type="dxa" w:w="922"/>
            <w:gridSpan w:val="2"/>
            <w:vMerge/>
          </w:tcPr>
          <w:p/>
        </w:tc>
        <w:tc>
          <w:tcPr>
            <w:tcW w:type="dxa" w:w="2307"/>
          </w:tcPr>
          <w:p>
            <w:pPr>
              <w:jc w:val="left"/>
            </w:pPr>
            <w:r>
              <w:rPr/>
              <w:t>资源链接及社会参与能力（二） (3.0分)</w:t>
            </w:r>
          </w:p>
        </w:tc>
        <w:tc>
          <w:tcPr>
            <w:tcW w:type="dxa" w:w="5076"/>
          </w:tcPr>
          <w:p>
            <w:pPr>
              <w:jc w:val="left"/>
            </w:pPr>
            <w:r>
              <w:rPr/>
              <w:t>近2年内，响应供应商协助政府部门举办开展养老服务相关活动。每一个得1分，最高得3分。 备注：以上二项须提供相关证明材料的复印件并加盖公章，不提供不得分。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统一采用量多优先法计算，即按采购文件要求且计划投入本项目的服务总工时数量最多的为评审基准工时，其服务总工时评审为满分。其他响应供应商服务总工时分统一按照下列公式计 算：响应服务总工时得分=（投入本项目的服务总工时量÷评审基准工时）×15。  评审过程中，不得去掉最高服务总工时和最低服务总工时。  因落实政府采购政策进行工时调整的，以调整后的评审基准工时和响应服务总工时为准。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标结果按评审后总得分由高到低顺序排列。总得分相同的按响应报价由低到高顺序排列。得分且响应报价相同的，按照服务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left"/>
      </w:pPr>
    </w:p>
    <w:p>
      <w:pPr>
        <w:jc w:val="both"/>
      </w:pPr>
    </w:p>
    <w:p>
      <w:pPr>
        <w:jc w:val="both"/>
      </w:pPr>
    </w:p>
    <w:p>
      <w:pPr>
        <w:jc w:val="center"/>
      </w:pPr>
      <w:r>
        <w:rPr>
          <w:b/>
          <w:sz w:val="72"/>
        </w:rPr>
        <w:t>采</w:t>
      </w:r>
      <w:r>
        <w:rPr>
          <w:b/>
          <w:sz w:val="72"/>
        </w:rPr>
        <w:t>购</w:t>
      </w:r>
      <w:r>
        <w:rPr>
          <w:b/>
          <w:sz w:val="72"/>
        </w:rPr>
        <w:t>合</w:t>
      </w:r>
      <w:r>
        <w:rPr>
          <w:b/>
          <w:sz w:val="72"/>
        </w:rPr>
        <w:t>同</w:t>
      </w:r>
    </w:p>
    <w:p>
      <w:pPr>
        <w:jc w:val="center"/>
      </w:pPr>
      <w:r>
        <w:rPr>
          <w:b/>
          <w:sz w:val="72"/>
        </w:rPr>
        <w:t>（模板）</w:t>
      </w:r>
    </w:p>
    <w:p>
      <w:pPr>
        <w:jc w:val="both"/>
      </w:pPr>
    </w:p>
    <w:p>
      <w:pPr>
        <w:jc w:val="both"/>
      </w:pPr>
    </w:p>
    <w:p/>
    <w:p/>
    <w:p/>
    <w:p/>
    <w:p/>
    <w:p>
      <w:pPr>
        <w:jc w:val="both"/>
      </w:pPr>
    </w:p>
    <w:p>
      <w:pPr>
        <w:jc w:val="both"/>
      </w:pPr>
    </w:p>
    <w:p>
      <w:pPr>
        <w:jc w:val="center"/>
      </w:pPr>
      <w:r>
        <w:rPr>
          <w:b/>
          <w:sz w:val="44"/>
        </w:rPr>
        <w:t>广州市白云区人民政府同和街道综合养老服务中心（颐康中心）项目</w:t>
      </w:r>
    </w:p>
    <w:p>
      <w:pPr>
        <w:jc w:val="center"/>
      </w:pPr>
      <w:r>
        <w:rPr>
          <w:b/>
          <w:sz w:val="44"/>
        </w:rPr>
        <w:t>运营合同</w:t>
      </w:r>
    </w:p>
    <w:p/>
    <w:p/>
    <w:p/>
    <w:p>
      <w:pPr>
        <w:jc w:val="center"/>
      </w:pPr>
      <w:r>
        <w:rPr>
          <w:b/>
          <w:sz w:val="44"/>
        </w:rPr>
        <w:t>年</w:t>
      </w:r>
      <w:r>
        <w:rPr>
          <w:b/>
          <w:sz w:val="44"/>
        </w:rPr>
        <w:t xml:space="preserve"> </w:t>
      </w:r>
      <w:r>
        <w:rPr>
          <w:b/>
          <w:sz w:val="44"/>
        </w:rPr>
        <w:t>月</w:t>
      </w:r>
    </w:p>
    <w:p/>
    <w:p>
      <w:r>
        <w:rPr/>
        <w:t xml:space="preserve"> </w:t>
      </w:r>
    </w:p>
    <w:p>
      <w:pPr>
        <w:jc w:val="center"/>
      </w:pPr>
      <w:r>
        <w:rPr>
          <w:b/>
          <w:sz w:val="24"/>
        </w:rPr>
        <w:t>说</w:t>
      </w:r>
      <w:r>
        <w:rPr>
          <w:b/>
          <w:sz w:val="24"/>
        </w:rPr>
        <w:t xml:space="preserve"> </w:t>
      </w:r>
      <w:r>
        <w:rPr>
          <w:b/>
          <w:sz w:val="24"/>
        </w:rPr>
        <w:t>明</w:t>
      </w:r>
    </w:p>
    <w:p>
      <w:pPr>
        <w:jc w:val="both"/>
      </w:pPr>
    </w:p>
    <w:p>
      <w:pPr>
        <w:numPr>
          <w:ilvl w:val="0"/>
          <w:numId w:val="1"/>
        </w:numPr>
        <w:jc w:val="both"/>
      </w:pPr>
      <w:r>
        <w:rPr>
          <w:sz w:val="21"/>
        </w:rPr>
        <w:t>本合同文本为示范文本，由广州市居家养老服务指导中心制定。使用单位或个人可以在有关法律法规、规定的范围内，结合实际情况调整合同相应内容。</w:t>
      </w:r>
    </w:p>
    <w:p>
      <w:pPr>
        <w:numPr>
          <w:ilvl w:val="0"/>
          <w:numId w:val="1"/>
        </w:numPr>
        <w:jc w:val="both"/>
      </w:pPr>
      <w:r>
        <w:rPr>
          <w:sz w:val="21"/>
        </w:rPr>
        <w:t>本合同适用于本市行政区域内街道（镇）采取政府购买服务方式举办服务项目的情况。</w:t>
      </w:r>
    </w:p>
    <w:p>
      <w:pPr>
        <w:numPr>
          <w:ilvl w:val="0"/>
          <w:numId w:val="1"/>
        </w:numPr>
        <w:jc w:val="both"/>
      </w:pPr>
      <w:r>
        <w:rPr>
          <w:sz w:val="21"/>
        </w:rPr>
        <w:t>当事人应当审慎签订合同，在签订本合同前，要仔细阅读合同条款，特别是审阅其中具有选择性、补充性、修改性的内容，注意防范潜在的风险。</w:t>
      </w:r>
    </w:p>
    <w:p>
      <w:pPr>
        <w:numPr>
          <w:ilvl w:val="0"/>
          <w:numId w:val="1"/>
        </w:numPr>
        <w:jc w:val="both"/>
      </w:pPr>
      <w:r>
        <w:rPr>
          <w:sz w:val="21"/>
        </w:rPr>
        <w:t>本合同文本</w:t>
      </w:r>
      <w:r>
        <w:rPr>
          <w:sz w:val="21"/>
        </w:rPr>
        <w:t>“□”中选择内容、空格部位填写内容及其他需要删除或添加的内容，当事人应当协商确定。“□”选择内容，以划“√”方式选定；对于实际情况未发生或当事人不作约定时，应当在空格部位打“×”，以示删除。</w:t>
      </w:r>
    </w:p>
    <w:p>
      <w:pPr>
        <w:numPr>
          <w:ilvl w:val="0"/>
          <w:numId w:val="1"/>
        </w:numPr>
        <w:jc w:val="both"/>
      </w:pPr>
      <w:r>
        <w:rPr>
          <w:sz w:val="21"/>
        </w:rPr>
        <w:t>当事人可针对本合同文本中没有约定或者约定不明确的内容，根据社区居家养老服务的具体情况在相关条款后的空白行中进行补充约定，也可以另行签订补充协议。</w:t>
      </w:r>
    </w:p>
    <w:p>
      <w:pPr>
        <w:numPr>
          <w:ilvl w:val="0"/>
          <w:numId w:val="1"/>
        </w:numPr>
        <w:jc w:val="both"/>
      </w:pPr>
      <w:r>
        <w:rPr>
          <w:sz w:val="21"/>
        </w:rPr>
        <w:t>当事人可根据实际情况决定本合同原件的份数，并在签订合同时认真核对，以确保各份合同内容一致；在任何情况下，当事人都应当至少持有一份合同原件。</w:t>
      </w:r>
    </w:p>
    <w:p>
      <w:pPr>
        <w:jc w:val="both"/>
      </w:pPr>
    </w:p>
    <w:p>
      <w:r>
        <w:rPr>
          <w:b/>
          <w:sz w:val="21"/>
        </w:rPr>
        <w:t>甲方（街道办事处或镇政府）</w:t>
      </w:r>
    </w:p>
    <w:p>
      <w:r>
        <w:rPr/>
        <w:t xml:space="preserve"> </w:t>
      </w:r>
    </w:p>
    <w:p>
      <w:pPr>
        <w:jc w:val="both"/>
      </w:pPr>
      <w:r>
        <w:rPr>
          <w:sz w:val="21"/>
        </w:rPr>
        <w:t>单位名称：</w:t>
      </w:r>
      <w:r>
        <w:rPr>
          <w:sz w:val="21"/>
          <w:u w:val="single"/>
        </w:rPr>
        <w:t xml:space="preserve">     </w:t>
      </w:r>
      <w:r>
        <w:rPr>
          <w:sz w:val="21"/>
          <w:u w:val="single"/>
        </w:rPr>
        <w:t>广州市白云区人民政府同和街道办事处</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单位地址：</w:t>
      </w:r>
      <w:r>
        <w:rPr>
          <w:sz w:val="21"/>
          <w:u w:val="single"/>
        </w:rPr>
        <w:t xml:space="preserve">                                            </w:t>
      </w:r>
    </w:p>
    <w:p>
      <w:pPr>
        <w:jc w:val="both"/>
      </w:pPr>
    </w:p>
    <w:p>
      <w:pPr>
        <w:jc w:val="both"/>
      </w:pPr>
      <w:r>
        <w:rPr>
          <w:b/>
          <w:sz w:val="21"/>
        </w:rPr>
        <w:t>乙方（服务机构）</w:t>
      </w:r>
    </w:p>
    <w:p>
      <w:pPr>
        <w:jc w:val="both"/>
      </w:pPr>
      <w:r>
        <w:rPr>
          <w:sz w:val="21"/>
        </w:rPr>
        <w:t>机构名称：</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机构电话：</w:t>
      </w:r>
      <w:r>
        <w:rPr>
          <w:sz w:val="21"/>
          <w:u w:val="single"/>
        </w:rPr>
        <w:t xml:space="preserve">            </w:t>
      </w:r>
    </w:p>
    <w:p>
      <w:pPr>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机构地址：</w:t>
      </w:r>
      <w:r>
        <w:rPr>
          <w:sz w:val="21"/>
          <w:u w:val="single"/>
        </w:rPr>
        <w:t xml:space="preserve">                                            </w:t>
      </w:r>
    </w:p>
    <w:p>
      <w:pPr>
        <w:ind w:firstLine="420"/>
        <w:jc w:val="both"/>
      </w:pPr>
    </w:p>
    <w:p>
      <w:pPr>
        <w:ind w:firstLine="420"/>
        <w:jc w:val="both"/>
      </w:pPr>
      <w:r>
        <w:rPr>
          <w:sz w:val="21"/>
        </w:rPr>
        <w:t>根据《中华人民共和国民法典》、</w:t>
      </w:r>
      <w:r>
        <w:rPr>
          <w:sz w:val="21"/>
        </w:rPr>
        <w:t>《广州市人民政府办公厅关于印发广州市居家社区养老服务管理办法的通知》（穗府办规〔</w:t>
      </w:r>
      <w:r>
        <w:rPr>
          <w:sz w:val="21"/>
        </w:rPr>
        <w:t>2022〕13号）</w:t>
      </w:r>
      <w:r>
        <w:rPr>
          <w:sz w:val="21"/>
        </w:rPr>
        <w:t>等有关规定，甲、乙双方在平等、自愿、协商一致的基础上，就甲方向乙方购买的社区居家养老服务签订本合同如下：</w:t>
      </w:r>
    </w:p>
    <w:p>
      <w:pPr>
        <w:jc w:val="both"/>
      </w:pPr>
    </w:p>
    <w:p>
      <w:pPr>
        <w:numPr>
          <w:ilvl w:val="0"/>
          <w:numId w:val="1"/>
        </w:numPr>
        <w:jc w:val="left"/>
      </w:pPr>
      <w:r>
        <w:rPr>
          <w:b/>
          <w:sz w:val="21"/>
        </w:rPr>
        <w:t>合同金额及支付方式</w:t>
      </w:r>
    </w:p>
    <w:p>
      <w:pPr>
        <w:ind w:firstLine="422"/>
        <w:jc w:val="both"/>
      </w:pPr>
      <w:r>
        <w:rPr>
          <w:b/>
          <w:sz w:val="21"/>
        </w:rPr>
        <w:t>1.1运营经费</w:t>
      </w:r>
    </w:p>
    <w:p>
      <w:pPr>
        <w:ind w:firstLine="420"/>
        <w:jc w:val="both"/>
      </w:pPr>
      <w:r>
        <w:rPr>
          <w:sz w:val="21"/>
        </w:rPr>
        <w:t>1.1.1合同金额为：（大写）</w:t>
      </w:r>
      <w:r>
        <w:rPr>
          <w:sz w:val="21"/>
          <w:u w:val="single"/>
        </w:rPr>
        <w:t xml:space="preserve"> </w:t>
      </w:r>
      <w:r>
        <w:rPr>
          <w:sz w:val="21"/>
          <w:u w:val="single"/>
        </w:rPr>
        <w:t xml:space="preserve">                  </w:t>
      </w:r>
    </w:p>
    <w:p>
      <w:pPr>
        <w:ind w:firstLine="420"/>
        <w:jc w:val="both"/>
      </w:pPr>
      <w:r>
        <w:rPr>
          <w:sz w:val="21"/>
        </w:rPr>
        <w:t>1.1.2支付方式为：</w:t>
      </w:r>
    </w:p>
    <w:p>
      <w:pPr>
        <w:ind w:firstLine="420"/>
        <w:jc w:val="both"/>
      </w:pPr>
      <w:r>
        <w:rPr>
          <w:sz w:val="21"/>
        </w:rPr>
        <w:t>A.分段划拨（    ）            B.按月划拨（    ）</w:t>
      </w:r>
    </w:p>
    <w:p>
      <w:pPr>
        <w:ind w:firstLine="420"/>
        <w:jc w:val="both"/>
      </w:pPr>
      <w:r>
        <w:rPr>
          <w:sz w:val="21"/>
        </w:rPr>
        <w:t>C.按季划拨（    ）            D.项目完成结算（    ）</w:t>
      </w:r>
    </w:p>
    <w:p>
      <w:pPr>
        <w:ind w:firstLine="420"/>
        <w:jc w:val="both"/>
      </w:pPr>
      <w:r>
        <w:rPr>
          <w:sz w:val="21"/>
        </w:rPr>
        <w:t>第一次划拨时间：</w:t>
      </w:r>
      <w:r>
        <w:rPr>
          <w:sz w:val="21"/>
          <w:u w:val="single"/>
        </w:rPr>
        <w:t xml:space="preserve"> </w:t>
      </w:r>
      <w:r>
        <w:rPr>
          <w:sz w:val="21"/>
          <w:u w:val="single"/>
        </w:rPr>
        <w:t xml:space="preserve">        </w:t>
      </w:r>
      <w:r>
        <w:rPr>
          <w:sz w:val="21"/>
        </w:rPr>
        <w:t>；划拨比例：</w:t>
      </w:r>
      <w:r>
        <w:rPr>
          <w:sz w:val="21"/>
          <w:u w:val="single"/>
        </w:rPr>
        <w:t xml:space="preserve"> </w:t>
      </w:r>
      <w:r>
        <w:rPr>
          <w:sz w:val="21"/>
          <w:u w:val="single"/>
        </w:rPr>
        <w:t xml:space="preserve">      </w:t>
      </w:r>
      <w:r>
        <w:rPr>
          <w:sz w:val="21"/>
        </w:rPr>
        <w:t>；金额</w:t>
      </w:r>
      <w:r>
        <w:rPr>
          <w:sz w:val="21"/>
          <w:u w:val="single"/>
        </w:rPr>
        <w:t xml:space="preserve"> </w:t>
      </w:r>
      <w:r>
        <w:rPr>
          <w:sz w:val="21"/>
          <w:u w:val="single"/>
        </w:rPr>
        <w:t xml:space="preserve">        </w:t>
      </w:r>
    </w:p>
    <w:p>
      <w:pPr>
        <w:ind w:firstLine="420"/>
        <w:jc w:val="both"/>
      </w:pPr>
      <w:r>
        <w:rPr>
          <w:sz w:val="21"/>
        </w:rPr>
        <w:t>第二次划拨时间：</w:t>
      </w:r>
      <w:r>
        <w:rPr>
          <w:sz w:val="21"/>
          <w:u w:val="single"/>
        </w:rPr>
        <w:t xml:space="preserve"> </w:t>
      </w:r>
      <w:r>
        <w:rPr>
          <w:sz w:val="21"/>
          <w:u w:val="single"/>
        </w:rPr>
        <w:t xml:space="preserve">        </w:t>
      </w:r>
      <w:r>
        <w:rPr>
          <w:sz w:val="21"/>
        </w:rPr>
        <w:t>；划拨比例：</w:t>
      </w:r>
      <w:r>
        <w:rPr>
          <w:sz w:val="21"/>
          <w:u w:val="single"/>
        </w:rPr>
        <w:t xml:space="preserve"> </w:t>
      </w:r>
      <w:r>
        <w:rPr>
          <w:sz w:val="21"/>
          <w:u w:val="single"/>
        </w:rPr>
        <w:t xml:space="preserve">      </w:t>
      </w:r>
      <w:r>
        <w:rPr>
          <w:sz w:val="21"/>
        </w:rPr>
        <w:t>；金额</w:t>
      </w:r>
      <w:r>
        <w:rPr>
          <w:sz w:val="21"/>
          <w:u w:val="single"/>
        </w:rPr>
        <w:t xml:space="preserve"> </w:t>
      </w:r>
      <w:r>
        <w:rPr>
          <w:sz w:val="21"/>
          <w:u w:val="single"/>
        </w:rPr>
        <w:t xml:space="preserve">        </w:t>
      </w:r>
    </w:p>
    <w:p>
      <w:pPr>
        <w:ind w:firstLine="420"/>
        <w:jc w:val="left"/>
      </w:pPr>
      <w:r>
        <w:rPr>
          <w:sz w:val="21"/>
        </w:rPr>
        <w:t>第三次划拨时间：</w:t>
      </w:r>
      <w:r>
        <w:rPr>
          <w:sz w:val="21"/>
          <w:u w:val="single"/>
        </w:rPr>
        <w:t xml:space="preserve">                  </w:t>
      </w:r>
      <w:r>
        <w:rPr>
          <w:sz w:val="21"/>
        </w:rPr>
        <w:t>；划拨比例；</w:t>
      </w:r>
      <w:r>
        <w:rPr>
          <w:sz w:val="21"/>
          <w:u w:val="single"/>
        </w:rPr>
        <w:t xml:space="preserve">       </w:t>
      </w:r>
      <w:r>
        <w:rPr>
          <w:sz w:val="21"/>
        </w:rPr>
        <w:t>；金</w:t>
      </w:r>
      <w:r>
        <w:rPr>
          <w:sz w:val="21"/>
        </w:rPr>
        <w:t>额</w:t>
      </w:r>
      <w:r>
        <w:rPr>
          <w:sz w:val="21"/>
          <w:u w:val="single"/>
        </w:rPr>
        <w:t xml:space="preserve">        </w:t>
      </w:r>
    </w:p>
    <w:p>
      <w:pPr>
        <w:ind w:firstLine="420"/>
        <w:jc w:val="left"/>
      </w:pPr>
      <w:r>
        <w:rPr>
          <w:sz w:val="21"/>
        </w:rPr>
        <w:t>第四次划拨时间：</w:t>
      </w:r>
      <w:r>
        <w:rPr>
          <w:sz w:val="21"/>
          <w:u w:val="single"/>
        </w:rPr>
        <w:t xml:space="preserve">                  </w:t>
      </w:r>
      <w:r>
        <w:rPr>
          <w:sz w:val="21"/>
        </w:rPr>
        <w:t>；划拨比例；</w:t>
      </w:r>
      <w:r>
        <w:rPr>
          <w:sz w:val="21"/>
          <w:u w:val="single"/>
        </w:rPr>
        <w:t xml:space="preserve">       </w:t>
      </w:r>
      <w:r>
        <w:rPr>
          <w:sz w:val="21"/>
        </w:rPr>
        <w:t>；金</w:t>
      </w:r>
      <w:r>
        <w:rPr>
          <w:sz w:val="21"/>
        </w:rPr>
        <w:t>额</w:t>
      </w:r>
      <w:r>
        <w:rPr>
          <w:sz w:val="21"/>
          <w:u w:val="single"/>
        </w:rPr>
        <w:t xml:space="preserve">        </w:t>
      </w:r>
    </w:p>
    <w:p>
      <w:pPr>
        <w:ind w:firstLine="422"/>
        <w:jc w:val="both"/>
      </w:pPr>
      <w:r>
        <w:rPr>
          <w:b/>
          <w:sz w:val="21"/>
        </w:rPr>
        <w:t>1.2服务资助经费</w:t>
      </w:r>
    </w:p>
    <w:p>
      <w:pPr>
        <w:jc w:val="center"/>
      </w:pPr>
      <w:r>
        <w:rPr>
          <w:b/>
          <w:sz w:val="21"/>
        </w:rPr>
        <w:t>表</w:t>
      </w:r>
      <w:r>
        <w:rPr>
          <w:b/>
          <w:sz w:val="21"/>
        </w:rPr>
        <w:t>1 服务资助经费一览表</w:t>
      </w:r>
    </w:p>
    <w:tbl>
      <w:tblPr>
        <w:tblW w:w="0" w:type="auto"/>
        <w:tblBorders>
          <w:top w:val="none" w:color="000000" w:sz="4"/>
          <w:left w:val="none" w:color="000000" w:sz="4"/>
          <w:bottom w:val="none" w:color="000000" w:sz="4"/>
          <w:right w:val="none" w:color="000000" w:sz="4"/>
          <w:insideH w:val="none"/>
          <w:insideV w:val="none"/>
        </w:tblBorders>
      </w:tblPr>
      <w:tblGrid>
        <w:gridCol w:w="2402"/>
        <w:gridCol w:w="3296"/>
        <w:gridCol w:w="2592"/>
      </w:tblGrid>
      <w:tr>
        <w:tc>
          <w:tcPr>
            <w:tcW w:type="dxa" w:w="2402"/>
            <w:tcBorders>
              <w:top w:val="single" w:color="000000" w:sz="4"/>
              <w:left w:val="single" w:color="000000" w:sz="4"/>
              <w:bottom w:val="single" w:color="000000" w:sz="4"/>
              <w:right w:val="single" w:color="000000" w:sz="4"/>
            </w:tcBorders>
            <w:vAlign w:val="top"/>
          </w:tcPr>
          <w:p>
            <w:pPr>
              <w:jc w:val="center"/>
            </w:pPr>
            <w:r>
              <w:rPr>
                <w:b/>
                <w:sz w:val="21"/>
              </w:rPr>
              <w:t>资助对象类型</w:t>
            </w:r>
          </w:p>
        </w:tc>
        <w:tc>
          <w:tcPr>
            <w:tcW w:type="dxa" w:w="3296"/>
            <w:tcBorders>
              <w:top w:val="single" w:color="000000" w:sz="4"/>
              <w:left w:val="single" w:color="000000" w:sz="4"/>
              <w:bottom w:val="single" w:color="000000" w:sz="4"/>
              <w:right w:val="single" w:color="000000" w:sz="4"/>
            </w:tcBorders>
            <w:vAlign w:val="top"/>
          </w:tcPr>
          <w:p>
            <w:pPr>
              <w:jc w:val="center"/>
            </w:pPr>
            <w:r>
              <w:rPr>
                <w:b/>
                <w:sz w:val="21"/>
              </w:rPr>
              <w:t>服务人数（约）</w:t>
            </w:r>
          </w:p>
        </w:tc>
        <w:tc>
          <w:tcPr>
            <w:tcW w:type="dxa" w:w="2592"/>
            <w:tcBorders>
              <w:top w:val="single" w:color="000000" w:sz="4"/>
              <w:left w:val="single" w:color="000000" w:sz="4"/>
              <w:bottom w:val="single" w:color="000000" w:sz="4"/>
              <w:right w:val="single" w:color="000000" w:sz="4"/>
            </w:tcBorders>
            <w:vAlign w:val="top"/>
          </w:tcPr>
          <w:p>
            <w:pPr>
              <w:jc w:val="center"/>
            </w:pPr>
            <w:r>
              <w:rPr>
                <w:b/>
                <w:sz w:val="21"/>
              </w:rPr>
              <w:t>资助金额（人</w:t>
            </w:r>
            <w:r>
              <w:rPr>
                <w:b/>
                <w:sz w:val="21"/>
              </w:rPr>
              <w:t>/元/月）</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第一类资助对象中重度失能的</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第一类资助对象中非重度失能的</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2402"/>
            <w:tcBorders>
              <w:top w:val="none" w:color="000000" w:sz="4"/>
              <w:left w:val="single" w:color="000000" w:sz="4"/>
              <w:bottom w:val="single" w:color="000000" w:sz="4"/>
              <w:right w:val="single" w:color="000000" w:sz="4"/>
            </w:tcBorders>
            <w:vAlign w:val="top"/>
          </w:tcPr>
          <w:p>
            <w:pPr>
              <w:jc w:val="center"/>
            </w:pPr>
            <w:r>
              <w:rPr>
                <w:sz w:val="21"/>
              </w:rPr>
              <w:t>第二类资助对象</w:t>
            </w:r>
          </w:p>
        </w:tc>
        <w:tc>
          <w:tcPr>
            <w:tcW w:type="dxa" w:w="3296"/>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592"/>
            <w:tcBorders>
              <w:top w:val="none" w:color="000000" w:sz="4"/>
              <w:left w:val="single" w:color="000000" w:sz="4"/>
              <w:bottom w:val="single" w:color="000000" w:sz="4"/>
              <w:right w:val="single" w:color="000000" w:sz="4"/>
            </w:tcBorders>
            <w:vAlign w:val="top"/>
          </w:tcPr>
          <w:p>
            <w:pPr>
              <w:jc w:val="center"/>
            </w:pPr>
            <w:r>
              <w:rPr>
                <w:sz w:val="21"/>
              </w:rPr>
              <w:t>200</w:t>
            </w:r>
          </w:p>
        </w:tc>
      </w:tr>
    </w:tbl>
    <w:p>
      <w:pPr>
        <w:ind w:firstLine="420"/>
        <w:jc w:val="both"/>
      </w:pPr>
      <w:r>
        <w:rPr>
          <w:sz w:val="21"/>
        </w:rPr>
        <w:t>注：</w:t>
      </w:r>
      <w:r>
        <w:rPr>
          <w:sz w:val="21"/>
        </w:rPr>
        <w:t>1.服务资助对象类型均对应《广州市人民政府办公厅关于印发广州市居家社区养老服务管理办法》（穗府办规〔2022〕13号）第二十四条的资助对象类型；2.服务资助经费根据实际服务情况，以广州市为老服务综合平台服务数据作为结算依据进行结算；3.以上服务对象人数属动态数据。</w:t>
      </w:r>
    </w:p>
    <w:p>
      <w:pPr>
        <w:ind w:firstLine="422"/>
        <w:jc w:val="both"/>
      </w:pPr>
      <w:r>
        <w:rPr>
          <w:b/>
          <w:sz w:val="21"/>
        </w:rPr>
        <w:t>1.3服务奖补经费</w:t>
      </w:r>
    </w:p>
    <w:p>
      <w:pPr>
        <w:ind w:firstLine="420"/>
        <w:jc w:val="both"/>
      </w:pPr>
      <w:r>
        <w:rPr>
          <w:sz w:val="21"/>
        </w:rPr>
        <w:t>服务奖补经费按照《广州市人民政府办公厅关于印发广州市居家社区养老服务管理办法的通知》（穗府办规【</w:t>
      </w:r>
      <w:r>
        <w:rPr>
          <w:sz w:val="21"/>
        </w:rPr>
        <w:t>2022】13号）规定，由区民政局组织第三方评估机构对服务进行年度评估，在评估后按评估服务等级，由甲方向区民政局申请服务项目补助经费，在资质经费下拨到甲方账户上再拨付给乙方。颐康中心评估结果为优秀、良好、合格等级的，每年分别给予30万元、20万元、10万元服务奖励，不足一年的，按照实际服务的天数，按比例计算支付。评估结果为不合格的，该项经费不予拨付。颐康服务站评估结果为优秀、良好、合格等级的，每年每个服务站分别给予3万元、2万元、1万元服务奖励，不足一年的，按照实际服务天数，按比例计算支付。评估结果为不合格的，该项经费不予拨付。</w:t>
      </w:r>
    </w:p>
    <w:p>
      <w:pPr>
        <w:ind w:firstLine="422"/>
        <w:jc w:val="both"/>
      </w:pPr>
      <w:r>
        <w:rPr>
          <w:b/>
          <w:sz w:val="21"/>
        </w:rPr>
        <w:t>1.4乙方指定账户</w:t>
      </w:r>
    </w:p>
    <w:p>
      <w:pPr>
        <w:ind w:firstLine="420"/>
        <w:jc w:val="both"/>
      </w:pPr>
      <w:r>
        <w:rPr>
          <w:sz w:val="21"/>
        </w:rPr>
        <w:t>户名：</w:t>
      </w:r>
    </w:p>
    <w:p>
      <w:pPr>
        <w:ind w:firstLine="420"/>
        <w:jc w:val="both"/>
      </w:pPr>
      <w:r>
        <w:rPr>
          <w:sz w:val="21"/>
        </w:rPr>
        <w:t>账号：</w:t>
      </w:r>
    </w:p>
    <w:p>
      <w:pPr>
        <w:ind w:firstLine="420"/>
        <w:jc w:val="both"/>
      </w:pPr>
      <w:r>
        <w:rPr>
          <w:sz w:val="21"/>
        </w:rPr>
        <w:t>开户行：</w:t>
      </w:r>
    </w:p>
    <w:p>
      <w:pPr>
        <w:ind w:firstLine="420"/>
        <w:jc w:val="both"/>
      </w:pPr>
      <w:r>
        <w:rPr>
          <w:sz w:val="21"/>
        </w:rPr>
        <w:t>甲方完成申请财政支付审批手续时即视为甲方已履行付款义务，在协议履行过程中，因乙方账户原因（包括但不限于账号被注销、被冻结等）导致乙方无法收取款项的，由乙方承担相应后果。</w:t>
      </w:r>
    </w:p>
    <w:p>
      <w:pPr>
        <w:jc w:val="both"/>
      </w:pPr>
    </w:p>
    <w:p>
      <w:pPr>
        <w:numPr>
          <w:ilvl w:val="0"/>
          <w:numId w:val="1"/>
        </w:numPr>
        <w:jc w:val="left"/>
      </w:pPr>
      <w:r>
        <w:rPr>
          <w:b/>
          <w:sz w:val="21"/>
        </w:rPr>
        <w:t>项目内容及要求</w:t>
      </w:r>
    </w:p>
    <w:p>
      <w:r>
        <w:rPr>
          <w:sz w:val="21"/>
        </w:rPr>
        <w:t>（一）服务项目</w:t>
      </w:r>
    </w:p>
    <w:p>
      <w:pPr>
        <w:ind w:firstLine="420"/>
        <w:jc w:val="both"/>
      </w:pPr>
      <w:r>
        <w:rPr>
          <w:sz w:val="21"/>
        </w:rPr>
        <w:t>以下服务项目类型为大类，具体服务内容、服务要求参照广州市《广州市人民政府办公厅文件广州市人民政府办公厅关于印发广州市居家社区养老服务管理办法的通知》（穗府办规【</w:t>
      </w:r>
      <w:r>
        <w:rPr>
          <w:sz w:val="21"/>
        </w:rPr>
        <w:t>2022】13号）和《广州市社区居家养老服务项目清单与指导参考价（试行）》执行。</w:t>
      </w:r>
    </w:p>
    <w:p>
      <w:pPr>
        <w:ind w:firstLine="420"/>
        <w:jc w:val="both"/>
      </w:pPr>
      <w:r>
        <w:rPr>
          <w:sz w:val="21"/>
        </w:rPr>
        <w:t>A.</w:t>
      </w:r>
      <w:r>
        <w:rPr>
          <w:sz w:val="21"/>
        </w:rPr>
        <w:t>生活照料</w:t>
      </w:r>
      <w:r>
        <w:rPr>
          <w:sz w:val="21"/>
        </w:rPr>
        <w:t xml:space="preserve"> </w:t>
      </w:r>
      <w:r>
        <w:rPr>
          <w:sz w:val="21"/>
        </w:rPr>
        <w:t>☑</w:t>
      </w:r>
      <w:r>
        <w:rPr>
          <w:sz w:val="21"/>
        </w:rPr>
        <w:t xml:space="preserve">    B.</w:t>
      </w:r>
      <w:r>
        <w:rPr>
          <w:sz w:val="21"/>
        </w:rPr>
        <w:t>助餐配餐</w:t>
      </w:r>
      <w:r>
        <w:rPr>
          <w:sz w:val="21"/>
        </w:rPr>
        <w:t xml:space="preserve"> </w:t>
      </w:r>
      <w:r>
        <w:rPr>
          <w:sz w:val="21"/>
        </w:rPr>
        <w:t>☑</w:t>
      </w:r>
      <w:r>
        <w:rPr>
          <w:sz w:val="21"/>
        </w:rPr>
        <w:t xml:space="preserve">    C.</w:t>
      </w:r>
      <w:r>
        <w:rPr>
          <w:sz w:val="21"/>
        </w:rPr>
        <w:t>康复护理</w:t>
      </w:r>
      <w:r>
        <w:rPr>
          <w:sz w:val="21"/>
        </w:rPr>
        <w:t xml:space="preserve"> </w:t>
      </w:r>
      <w:r>
        <w:rPr>
          <w:sz w:val="21"/>
        </w:rPr>
        <w:t>☑</w:t>
      </w:r>
      <w:r>
        <w:rPr>
          <w:sz w:val="21"/>
        </w:rPr>
        <w:t xml:space="preserve">    D.</w:t>
      </w:r>
      <w:r>
        <w:rPr>
          <w:sz w:val="21"/>
        </w:rPr>
        <w:t>医疗保健</w:t>
      </w:r>
      <w:r>
        <w:rPr>
          <w:sz w:val="21"/>
        </w:rPr>
        <w:t xml:space="preserve"> </w:t>
      </w:r>
      <w:r>
        <w:rPr>
          <w:sz w:val="21"/>
        </w:rPr>
        <w:t>☑</w:t>
      </w:r>
      <w:r>
        <w:rPr>
          <w:sz w:val="21"/>
        </w:rPr>
        <w:t xml:space="preserve">     E.</w:t>
      </w:r>
      <w:r>
        <w:rPr>
          <w:sz w:val="21"/>
        </w:rPr>
        <w:t>日间托管</w:t>
      </w:r>
      <w:r>
        <w:rPr>
          <w:sz w:val="21"/>
        </w:rPr>
        <w:t xml:space="preserve"> </w:t>
      </w:r>
      <w:r>
        <w:rPr>
          <w:sz w:val="21"/>
        </w:rPr>
        <w:t>☑</w:t>
      </w:r>
      <w:r>
        <w:rPr>
          <w:sz w:val="21"/>
        </w:rPr>
        <w:t xml:space="preserve">    F.</w:t>
      </w:r>
      <w:r>
        <w:rPr>
          <w:sz w:val="21"/>
        </w:rPr>
        <w:t>临时托养</w:t>
      </w:r>
      <w:r>
        <w:rPr>
          <w:sz w:val="21"/>
        </w:rPr>
        <w:t xml:space="preserve"> </w:t>
      </w:r>
      <w:r>
        <w:rPr>
          <w:sz w:val="21"/>
        </w:rPr>
        <w:t>☑</w:t>
      </w:r>
      <w:r>
        <w:rPr>
          <w:sz w:val="21"/>
        </w:rPr>
        <w:t xml:space="preserve">    G.</w:t>
      </w:r>
      <w:r>
        <w:rPr>
          <w:sz w:val="21"/>
        </w:rPr>
        <w:t>文化娱乐</w:t>
      </w:r>
      <w:r>
        <w:rPr>
          <w:sz w:val="21"/>
        </w:rPr>
        <w:t xml:space="preserve"> </w:t>
      </w:r>
      <w:r>
        <w:rPr>
          <w:sz w:val="21"/>
        </w:rPr>
        <w:t>☑</w:t>
      </w:r>
      <w:r>
        <w:rPr>
          <w:sz w:val="21"/>
        </w:rPr>
        <w:t xml:space="preserve">     H.</w:t>
      </w:r>
      <w:r>
        <w:rPr>
          <w:sz w:val="21"/>
        </w:rPr>
        <w:t>精神慰藉</w:t>
      </w:r>
      <w:r>
        <w:rPr>
          <w:sz w:val="21"/>
        </w:rPr>
        <w:t xml:space="preserve"> </w:t>
      </w:r>
      <w:r>
        <w:rPr>
          <w:sz w:val="21"/>
        </w:rPr>
        <w:t>☑</w:t>
      </w:r>
      <w:r>
        <w:rPr>
          <w:sz w:val="21"/>
        </w:rPr>
        <w:t xml:space="preserve">    I.</w:t>
      </w:r>
      <w:r>
        <w:rPr>
          <w:sz w:val="21"/>
        </w:rPr>
        <w:t>安全援助</w:t>
      </w:r>
      <w:r>
        <w:rPr>
          <w:sz w:val="21"/>
        </w:rPr>
        <w:t xml:space="preserve"> </w:t>
      </w:r>
      <w:r>
        <w:rPr>
          <w:sz w:val="21"/>
        </w:rPr>
        <w:t>☑</w:t>
      </w:r>
      <w:r>
        <w:rPr>
          <w:sz w:val="21"/>
        </w:rPr>
        <w:t xml:space="preserve">   J.</w:t>
      </w:r>
      <w:r>
        <w:rPr>
          <w:sz w:val="21"/>
        </w:rPr>
        <w:t>老年用品服务</w:t>
      </w:r>
      <w:r>
        <w:rPr>
          <w:sz w:val="21"/>
        </w:rPr>
        <w:t xml:space="preserve"> </w:t>
      </w:r>
      <w:r>
        <w:rPr>
          <w:sz w:val="21"/>
        </w:rPr>
        <w:t>☑</w:t>
      </w:r>
      <w:r>
        <w:rPr>
          <w:sz w:val="21"/>
        </w:rPr>
        <w:t xml:space="preserve">  L.</w:t>
      </w:r>
      <w:r>
        <w:rPr>
          <w:sz w:val="21"/>
        </w:rPr>
        <w:t>其他</w:t>
      </w:r>
      <w:r>
        <w:rPr>
          <w:sz w:val="21"/>
        </w:rPr>
        <w:t>☑</w:t>
      </w:r>
    </w:p>
    <w:p>
      <w:r>
        <w:rPr>
          <w:sz w:val="21"/>
        </w:rPr>
        <w:t>（二）服务设施</w:t>
      </w:r>
    </w:p>
    <w:p>
      <w:r>
        <w:rPr>
          <w:sz w:val="21"/>
        </w:rPr>
        <w:t>1.乙方承接甲方</w:t>
      </w:r>
      <w:r>
        <w:rPr/>
        <w:t xml:space="preserve"> </w:t>
      </w:r>
      <w:r>
        <w:rPr>
          <w:sz w:val="21"/>
        </w:rPr>
        <w:t>☑</w:t>
      </w:r>
      <w:r>
        <w:rPr/>
        <w:t xml:space="preserve"> </w:t>
      </w:r>
      <w:r>
        <w:rPr>
          <w:sz w:val="21"/>
        </w:rPr>
        <w:t>无偿</w:t>
      </w:r>
      <w:r>
        <w:rPr/>
        <w:t xml:space="preserve"> </w:t>
      </w:r>
      <w:r>
        <w:rPr>
          <w:sz w:val="21"/>
        </w:rPr>
        <w:t>□</w:t>
      </w:r>
      <w:r>
        <w:rPr/>
        <w:t xml:space="preserve"> </w:t>
      </w:r>
      <w:r>
        <w:rPr>
          <w:sz w:val="21"/>
        </w:rPr>
        <w:t>低偿</w:t>
      </w:r>
      <w:r>
        <w:rPr/>
        <w:t xml:space="preserve"> </w:t>
      </w:r>
      <w:r>
        <w:rPr>
          <w:sz w:val="21"/>
        </w:rPr>
        <w:t>提供的以下服务设施，用于开展服务：</w:t>
      </w:r>
    </w:p>
    <w:p>
      <w:r>
        <w:rPr>
          <w:sz w:val="21"/>
        </w:rPr>
        <w:t>2.同和街综合养老服务中心（颐康中心）、各社区颐康服务站的消防安全等定期检查，维护由乙方负责。各社区颐康服务站产生的水、电、网络、物业管理、垃圾处理、因服务所需设施设备的购置及维护等所有费用由乙方承担。</w:t>
      </w:r>
    </w:p>
    <w:p>
      <w:r>
        <w:rPr>
          <w:sz w:val="21"/>
        </w:rPr>
        <w:t>3.提供的服务设施的地址、设备等具体情况见</w:t>
      </w:r>
      <w:r>
        <w:rPr>
          <w:sz w:val="21"/>
        </w:rPr>
        <w:t>“</w:t>
      </w:r>
      <w:r>
        <w:rPr>
          <w:sz w:val="20"/>
        </w:rPr>
        <w:t>服务设施</w:t>
      </w:r>
      <w:r>
        <w:rPr>
          <w:sz w:val="21"/>
        </w:rPr>
        <w:t>情况一览表</w:t>
      </w:r>
      <w:r>
        <w:rPr>
          <w:sz w:val="21"/>
        </w:rPr>
        <w:t>”及附件。</w:t>
      </w:r>
    </w:p>
    <w:p>
      <w:pPr>
        <w:ind w:firstLine="422"/>
        <w:jc w:val="center"/>
      </w:pPr>
      <w:r>
        <w:rPr>
          <w:b/>
          <w:sz w:val="21"/>
        </w:rPr>
        <w:t>表</w:t>
      </w:r>
      <w:r>
        <w:rPr>
          <w:b/>
          <w:sz w:val="21"/>
        </w:rPr>
        <w:t>2 服务设施一览表</w:t>
      </w:r>
    </w:p>
    <w:tbl>
      <w:tblPr>
        <w:tblW w:w="0" w:type="auto"/>
        <w:tblBorders>
          <w:top w:val="none" w:color="000000" w:sz="4"/>
          <w:left w:val="none" w:color="000000" w:sz="4"/>
          <w:bottom w:val="none" w:color="000000" w:sz="4"/>
          <w:right w:val="none" w:color="000000" w:sz="4"/>
          <w:insideH w:val="none"/>
          <w:insideV w:val="none"/>
        </w:tblBorders>
      </w:tblPr>
      <w:tblGrid>
        <w:gridCol w:w="885"/>
        <w:gridCol w:w="2431"/>
        <w:gridCol w:w="3007"/>
        <w:gridCol w:w="1953"/>
      </w:tblGrid>
      <w:tr>
        <w:tc>
          <w:tcPr>
            <w:tcW w:type="dxa" w:w="88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431"/>
            <w:tcBorders>
              <w:top w:val="single" w:color="000000" w:sz="4"/>
              <w:left w:val="none" w:color="000000" w:sz="4"/>
              <w:bottom w:val="single" w:color="000000" w:sz="4"/>
              <w:right w:val="single" w:color="000000" w:sz="4"/>
            </w:tcBorders>
            <w:vAlign w:val="top"/>
          </w:tcPr>
          <w:p>
            <w:pPr>
              <w:jc w:val="center"/>
            </w:pPr>
            <w:r>
              <w:rPr>
                <w:b/>
                <w:sz w:val="21"/>
              </w:rPr>
              <w:t>设施名称</w:t>
            </w:r>
          </w:p>
        </w:tc>
        <w:tc>
          <w:tcPr>
            <w:tcW w:type="dxa" w:w="3007"/>
            <w:tcBorders>
              <w:top w:val="single" w:color="000000" w:sz="4"/>
              <w:left w:val="none" w:color="000000" w:sz="4"/>
              <w:bottom w:val="single" w:color="000000" w:sz="4"/>
              <w:right w:val="single" w:color="000000" w:sz="4"/>
            </w:tcBorders>
            <w:vAlign w:val="top"/>
          </w:tcPr>
          <w:p>
            <w:pPr>
              <w:jc w:val="center"/>
            </w:pPr>
            <w:r>
              <w:rPr>
                <w:b/>
                <w:sz w:val="21"/>
              </w:rPr>
              <w:t>设施地址（具体到楼层）</w:t>
            </w:r>
          </w:p>
        </w:tc>
        <w:tc>
          <w:tcPr>
            <w:tcW w:type="dxa" w:w="1953"/>
            <w:tcBorders>
              <w:top w:val="single" w:color="000000" w:sz="4"/>
              <w:left w:val="none" w:color="000000" w:sz="4"/>
              <w:bottom w:val="single" w:color="000000" w:sz="4"/>
              <w:right w:val="single" w:color="000000" w:sz="4"/>
            </w:tcBorders>
            <w:vAlign w:val="top"/>
          </w:tcPr>
          <w:p>
            <w:pPr>
              <w:jc w:val="center"/>
            </w:pPr>
            <w:r>
              <w:rPr>
                <w:b/>
                <w:sz w:val="21"/>
              </w:rPr>
              <w:t>可使用面积（㎡）</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同和</w:t>
            </w:r>
            <w:r>
              <w:rPr>
                <w:sz w:val="21"/>
              </w:rPr>
              <w:t>街综合养老服务中心（颐康中心）</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由成交供应商提供</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白云区同和街白云山制药厂社区</w:t>
            </w:r>
            <w:r>
              <w:rPr>
                <w:sz w:val="21"/>
              </w:rPr>
              <w:t>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同和街白云山制药厂社区云祥路</w:t>
            </w:r>
            <w:r>
              <w:rPr>
                <w:sz w:val="21"/>
              </w:rPr>
              <w:t>97 号 9 栋 1 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白云区同和街蟾蜍石社区颐康服务站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同和街蟾蜍石社区蟾蜍石中街</w:t>
            </w:r>
            <w:r>
              <w:rPr>
                <w:sz w:val="21"/>
              </w:rPr>
              <w:t>45号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白云区同和街大陂社区颐康服务站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同泰路</w:t>
            </w:r>
            <w:r>
              <w:rPr>
                <w:sz w:val="21"/>
              </w:rPr>
              <w:t>1337 号之十二 101 房物业管理旁边</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白云区同和街富和社区颐康服务站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同和街同沙路</w:t>
            </w:r>
            <w:r>
              <w:rPr>
                <w:sz w:val="21"/>
              </w:rPr>
              <w:t>47号首层</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白云区同和街何屋社区颐康服务站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同和同园中路</w:t>
            </w:r>
            <w:r>
              <w:rPr>
                <w:sz w:val="21"/>
              </w:rPr>
              <w:t>54 号怡园居 E 栋 1 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白云区同和街金湖社区颐康服务站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同和街沙太北路</w:t>
            </w:r>
            <w:r>
              <w:rPr>
                <w:sz w:val="21"/>
              </w:rPr>
              <w:t>389 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白云区同和街老庄社区颐康服务站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同和街老庄社区老庄英豪街立兴巷</w:t>
            </w:r>
            <w:r>
              <w:rPr>
                <w:sz w:val="21"/>
              </w:rPr>
              <w:t>4 号 1 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白云区同和街南湖半岛社区颐康服务站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同和街南湖半岛社区同和路</w:t>
            </w:r>
            <w:r>
              <w:rPr>
                <w:sz w:val="21"/>
              </w:rPr>
              <w:t>998号南湖半岛花园 25 栋首层</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230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白云区同和街榕树头社区颐康服务站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同和街榕树头社区榕树头路市场二楼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白云区同和街石桥头社区颐康服务站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同和街石桥头社区蟹石路</w:t>
            </w:r>
            <w:r>
              <w:rPr>
                <w:sz w:val="21"/>
              </w:rPr>
              <w:t>6号首层及二楼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白云区同和街斯文井社区颐康服务站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同和街同和路</w:t>
            </w:r>
            <w:r>
              <w:rPr>
                <w:sz w:val="21"/>
              </w:rPr>
              <w:t>828号山水庭院小区荔庭街1号G-3099</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白云区同和街握山社区颐康服务站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同和街握山社区握山中路</w:t>
            </w:r>
            <w:r>
              <w:rPr>
                <w:sz w:val="21"/>
              </w:rPr>
              <w:t>41号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白云区同和街蟹山社区颐康服务站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同和街蟹山社区蟹山中街</w:t>
            </w:r>
            <w:r>
              <w:rPr>
                <w:sz w:val="21"/>
              </w:rPr>
              <w:t>42 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白云区同和街新庄社区颐康服务站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同和街新庄社区新庄同新路</w:t>
            </w:r>
            <w:r>
              <w:rPr>
                <w:sz w:val="21"/>
              </w:rPr>
              <w:t>38 号和同心路22号之二</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白云区同和街云祥社区颐康服务站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同和街云祥社区工兵路</w:t>
            </w:r>
            <w:r>
              <w:rPr>
                <w:sz w:val="21"/>
              </w:rPr>
              <w:t>9号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白云区同和街白水塘社区颐康服务站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同和街白水塘西横二路</w:t>
            </w:r>
            <w:r>
              <w:rPr>
                <w:sz w:val="21"/>
              </w:rPr>
              <w:t>6 号之二办公大楼</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白云区同和白山社区颐康服务站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同和街白山西街</w:t>
            </w:r>
            <w:r>
              <w:rPr>
                <w:sz w:val="21"/>
              </w:rPr>
              <w:t>79号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r>
        <w:tc>
          <w:tcPr>
            <w:tcW w:type="dxa" w:w="88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431"/>
            <w:tcBorders>
              <w:top w:val="none" w:color="000000" w:sz="4"/>
              <w:left w:val="none" w:color="000000" w:sz="4"/>
              <w:bottom w:val="single" w:color="000000" w:sz="4"/>
              <w:right w:val="single" w:color="000000" w:sz="4"/>
            </w:tcBorders>
            <w:vAlign w:val="top"/>
          </w:tcPr>
          <w:p>
            <w:pPr>
              <w:jc w:val="center"/>
            </w:pPr>
            <w:r>
              <w:rPr>
                <w:sz w:val="21"/>
              </w:rPr>
              <w:t>白云区同和街倚绿山庄颐康服务站</w:t>
            </w:r>
          </w:p>
        </w:tc>
        <w:tc>
          <w:tcPr>
            <w:tcW w:type="dxa" w:w="3007"/>
            <w:tcBorders>
              <w:top w:val="none" w:color="000000" w:sz="4"/>
              <w:left w:val="none" w:color="000000" w:sz="4"/>
              <w:bottom w:val="single" w:color="000000" w:sz="4"/>
              <w:right w:val="single" w:color="000000" w:sz="4"/>
            </w:tcBorders>
            <w:vAlign w:val="top"/>
          </w:tcPr>
          <w:p>
            <w:pPr>
              <w:jc w:val="center"/>
            </w:pPr>
            <w:r>
              <w:rPr>
                <w:sz w:val="21"/>
              </w:rPr>
              <w:t>同和街倚绿东街</w:t>
            </w:r>
            <w:r>
              <w:rPr>
                <w:sz w:val="21"/>
              </w:rPr>
              <w:t>9号</w:t>
            </w:r>
          </w:p>
        </w:tc>
        <w:tc>
          <w:tcPr>
            <w:tcW w:type="dxa" w:w="1953"/>
            <w:tcBorders>
              <w:top w:val="none" w:color="000000" w:sz="4"/>
              <w:left w:val="none" w:color="000000" w:sz="4"/>
              <w:bottom w:val="single" w:color="000000" w:sz="4"/>
              <w:right w:val="single" w:color="000000" w:sz="4"/>
            </w:tcBorders>
            <w:vAlign w:val="top"/>
          </w:tcPr>
          <w:p>
            <w:pPr>
              <w:jc w:val="center"/>
            </w:pPr>
            <w:r>
              <w:rPr>
                <w:sz w:val="21"/>
              </w:rPr>
              <w:t>150</w:t>
            </w:r>
          </w:p>
        </w:tc>
      </w:tr>
    </w:tbl>
    <w:p>
      <w:pPr>
        <w:jc w:val="left"/>
      </w:pPr>
      <w:r>
        <w:rPr>
          <w:sz w:val="21"/>
        </w:rPr>
        <w:t>注：（</w:t>
      </w:r>
      <w:r>
        <w:rPr>
          <w:sz w:val="21"/>
        </w:rPr>
        <w:t>1）乙方根据实际情况开展建设和运营，将所在社区（村）级分散设置的颐康服务站分站整合到该社区（村）级颐康服务站，如地址变更，以实际情况为准</w:t>
      </w:r>
      <w:r>
        <w:rPr>
          <w:sz w:val="21"/>
        </w:rPr>
        <w:t>。</w:t>
      </w:r>
    </w:p>
    <w:p>
      <w:pPr>
        <w:ind w:firstLine="420"/>
        <w:jc w:val="left"/>
      </w:pPr>
      <w:r>
        <w:rPr>
          <w:sz w:val="21"/>
        </w:rPr>
        <w:t>（</w:t>
      </w:r>
      <w:r>
        <w:rPr>
          <w:sz w:val="21"/>
        </w:rPr>
        <w:t>2）如现有颐康中心、颐康服务站点场地建设不符合民政部门的有关要求，乙方须按要求进行升级改造建设，其中颐康服务站确无合适场地的，按照不同的服务功能区分散设置，分散设置的分站须有专人负责，产生的相应费用一律由乙方独自承担。</w:t>
      </w:r>
    </w:p>
    <w:p>
      <w:r>
        <w:rPr>
          <w:sz w:val="21"/>
        </w:rPr>
        <w:t>（三）服务区域范围：广州市白云区同和街道辖区内</w:t>
      </w:r>
    </w:p>
    <w:p>
      <w:pPr>
        <w:jc w:val="both"/>
      </w:pPr>
      <w:r>
        <w:rPr>
          <w:sz w:val="21"/>
        </w:rPr>
        <w:t>（四）服务对象：为白云区同和街综合养老服务中心（颐康中心）、社区（村）级颐康服务站、区域内有需求的</w:t>
      </w:r>
      <w:r>
        <w:rPr>
          <w:sz w:val="21"/>
        </w:rPr>
        <w:t>60周岁及以上居家老年人，以享受政府资助的社区居家养老服务老年群体作为重点对象，服务率须达到100%；同时发展区域内的老年群体成为服务对象，覆盖率须达到100%。</w:t>
      </w:r>
    </w:p>
    <w:p>
      <w:r>
        <w:rPr>
          <w:sz w:val="21"/>
        </w:rPr>
        <w:t>（五）服务形式：根据辖区老年人多元化、个性化的服务需求，分为上门服务和到服务站点服务，提供覆盖老年人全生命周期的各项养老服务项目。</w:t>
      </w:r>
    </w:p>
    <w:p>
      <w:r>
        <w:rPr>
          <w:sz w:val="21"/>
        </w:rPr>
        <w:t>（六）工作需求指标</w:t>
      </w:r>
    </w:p>
    <w:p>
      <w:pPr>
        <w:ind w:firstLine="420"/>
        <w:jc w:val="left"/>
      </w:pPr>
      <w:r>
        <w:rPr>
          <w:sz w:val="21"/>
        </w:rPr>
        <w:t>1.综合养老服务中心（颐康中心）服务</w:t>
      </w:r>
    </w:p>
    <w:p>
      <w:pPr>
        <w:ind w:firstLine="420"/>
        <w:jc w:val="left"/>
      </w:pPr>
      <w:r>
        <w:rPr>
          <w:sz w:val="21"/>
        </w:rPr>
        <w:t>乙方承办综合养老服务中心（颐康中心）项目，应当按照《广州市人民政府办公厅关于印发广州市居家社区养老服务管理办法的通知》（穗府办规【</w:t>
      </w:r>
      <w:r>
        <w:rPr>
          <w:sz w:val="21"/>
        </w:rPr>
        <w:t>2022】13号）规定向同和街辖区内有需要的老年人提供下列服务：</w:t>
      </w:r>
    </w:p>
    <w:p>
      <w:pPr>
        <w:ind w:firstLine="420"/>
        <w:jc w:val="left"/>
      </w:pPr>
      <w:r>
        <w:rPr>
          <w:sz w:val="21"/>
        </w:rPr>
        <w:t>1.1老服务向导：养老政策咨询、服务查询、办事指引、服务转介等。</w:t>
      </w:r>
    </w:p>
    <w:p>
      <w:pPr>
        <w:ind w:firstLine="420"/>
        <w:jc w:val="left"/>
      </w:pPr>
      <w:r>
        <w:rPr>
          <w:sz w:val="21"/>
        </w:rPr>
        <w:t>1.2助餐配餐服务：集中用餐服务、上门送餐服务、上门做餐服务。</w:t>
      </w:r>
    </w:p>
    <w:p>
      <w:pPr>
        <w:ind w:firstLine="420"/>
        <w:jc w:val="left"/>
      </w:pPr>
      <w:r>
        <w:rPr>
          <w:sz w:val="21"/>
        </w:rPr>
        <w:t>1.3生活照料：为有需要的老年人提供助洁、洗涤、陪伴就医、陪同外出、上门做餐、代办服务、日常提示、情感关怀、个人护理、转移护理、排泄护理、助浴护理、助行护理等服务。</w:t>
      </w:r>
    </w:p>
    <w:p>
      <w:pPr>
        <w:ind w:firstLine="420"/>
        <w:jc w:val="left"/>
      </w:pPr>
      <w:r>
        <w:rPr>
          <w:sz w:val="21"/>
        </w:rPr>
        <w:t>1.4定期巡访：为有需要的老年人提供上门探访、服务转介、资源链接、安全排查等服务。</w:t>
      </w:r>
    </w:p>
    <w:p>
      <w:pPr>
        <w:ind w:firstLine="420"/>
        <w:jc w:val="left"/>
      </w:pPr>
      <w:r>
        <w:rPr>
          <w:sz w:val="21"/>
        </w:rPr>
        <w:t>1.5辅具租赁：为有需要的老年人提供轮椅、拐杖、助行器、洗澡椅、爬楼梯机、腋下拐杖、坐便器等辅具的租赁，有特别需要的老年人可以提前电话联系，提供送辅具上门服务。</w:t>
      </w:r>
    </w:p>
    <w:p>
      <w:pPr>
        <w:ind w:firstLine="420"/>
        <w:jc w:val="left"/>
      </w:pPr>
      <w:r>
        <w:rPr>
          <w:sz w:val="21"/>
        </w:rPr>
        <w:t>1.6平安通：和辖区内提供平安通服务的机构合作，为有需要的老年人提供平安通咨询、申请、维护等服务。</w:t>
      </w:r>
    </w:p>
    <w:p>
      <w:pPr>
        <w:ind w:firstLine="420"/>
        <w:jc w:val="left"/>
      </w:pPr>
      <w:r>
        <w:rPr>
          <w:sz w:val="21"/>
        </w:rPr>
        <w:t>1.7家庭照护培训：为有需要的老年人家属和其他照护者提供照护技能培训、照护知识培训和心理健康教育等服务。</w:t>
      </w:r>
    </w:p>
    <w:p>
      <w:pPr>
        <w:ind w:firstLine="420"/>
        <w:jc w:val="left"/>
      </w:pPr>
      <w:r>
        <w:rPr>
          <w:sz w:val="21"/>
        </w:rPr>
        <w:t>1.8文体教育：为有需要的老年人提供文体康乐活动、老年教育类活动等服务，丰富老年人晚年生活。</w:t>
      </w:r>
    </w:p>
    <w:p>
      <w:pPr>
        <w:ind w:firstLine="420"/>
        <w:jc w:val="left"/>
      </w:pPr>
      <w:r>
        <w:rPr>
          <w:sz w:val="21"/>
        </w:rPr>
        <w:t>1.9居家适老化改造：为有需要的老年人提供地面改造、卧室改造、门改造、如厕洗浴设备改造、厨房设备改造、物理环境改造、老年用品配置等服务。</w:t>
      </w:r>
    </w:p>
    <w:p>
      <w:pPr>
        <w:ind w:firstLine="420"/>
        <w:jc w:val="left"/>
      </w:pPr>
      <w:r>
        <w:rPr>
          <w:sz w:val="21"/>
        </w:rPr>
        <w:t>1.10家庭养老床位：为有需要的老年人提供安装自动感应灯具、防走失装置、安全监控装置、生命体征检测设备、门磁感应、语音或视频通话设备、其它智能化设备、相关适老化设备等。</w:t>
      </w:r>
    </w:p>
    <w:p>
      <w:pPr>
        <w:ind w:firstLine="420"/>
        <w:jc w:val="left"/>
      </w:pPr>
      <w:r>
        <w:rPr>
          <w:sz w:val="21"/>
        </w:rPr>
        <w:t>1.11日间托管：为有需要的老年人提供助餐配餐、午间休息、康复训练、文体活动、日间特殊护理等服务。</w:t>
      </w:r>
    </w:p>
    <w:p>
      <w:pPr>
        <w:ind w:firstLine="420"/>
        <w:jc w:val="left"/>
      </w:pPr>
      <w:r>
        <w:rPr>
          <w:sz w:val="21"/>
        </w:rPr>
        <w:t>1.12临时托养：为有需要的老年人提供助餐配餐、个人护理、康复训练、文体活动、夜间住宿、医疗保健等服务。</w:t>
      </w:r>
    </w:p>
    <w:p>
      <w:pPr>
        <w:ind w:firstLine="420"/>
        <w:jc w:val="left"/>
      </w:pPr>
      <w:r>
        <w:rPr>
          <w:sz w:val="21"/>
        </w:rPr>
        <w:t>1.13医养康养：为有需要的老年人提供健康管理、医疗护理等服务。</w:t>
      </w:r>
    </w:p>
    <w:p>
      <w:pPr>
        <w:ind w:firstLine="420"/>
        <w:jc w:val="left"/>
      </w:pPr>
      <w:r>
        <w:rPr>
          <w:sz w:val="21"/>
        </w:rPr>
        <w:t>1.14康复护理：为有需要的老年人提供贴天灸、上门康复理疗、到站康复理疗、针灸、拔火罐、康复训练、康复咨询等服务。</w:t>
      </w:r>
    </w:p>
    <w:p>
      <w:pPr>
        <w:ind w:firstLine="420"/>
        <w:jc w:val="left"/>
      </w:pPr>
      <w:r>
        <w:rPr>
          <w:sz w:val="21"/>
        </w:rPr>
        <w:t>1.15基本养老服务：为有需要的老年人安装自动感应灯具、防走失装置、安全监控装置、生命体征检测装置、门磁感应器、语音或视频通话设备、其它智能化设备和相关适老化改造。</w:t>
      </w:r>
    </w:p>
    <w:p>
      <w:pPr>
        <w:ind w:firstLine="420"/>
        <w:jc w:val="left"/>
      </w:pPr>
      <w:r>
        <w:rPr>
          <w:sz w:val="21"/>
        </w:rPr>
        <w:t>1.16政府或者上级部门对于项目服务形式、内容、指标要求等有调整的，成交供应商须按要求落实执行。</w:t>
      </w:r>
    </w:p>
    <w:p>
      <w:r>
        <w:rPr>
          <w:sz w:val="21"/>
        </w:rPr>
        <w:t>2.街道级综合养老服务中心（颐康中心）配备专职项目负责人，配备医生、康复师、护士、社工、养老护理员和其他人员，其中专职人员比例不低于60%。各社区（村）级颐康服务站需配备至少1名养老向导员，保障开放时间。</w:t>
      </w:r>
    </w:p>
    <w:p>
      <w:r>
        <w:rPr>
          <w:sz w:val="21"/>
        </w:rPr>
        <w:t>3.社区（村）级颐康服务站开展养老服务应符合国家、省、市居家社区养老服务相关政策规定及服务标准。开放时间为工作日，每天不少于6个小时。每月制定并发布活动安排，结合送餐上门、平安通、居家护理等服务对特殊困难老年人开展定期探访。每年组织老年人集体活动不少于6次,每次活动不少于20人参加。大力开展为老志愿服务，成立一支互助养老志愿服务队，每年组织志愿者上门服务或在站点活动10次以上，服务时数不少于200小时，建立“公益时间”志愿服务站点。每个颐康服务站须设立长者饭堂功能，并按照相关规定及验收标准，配置应有设施。其他未尽事宜，参照《广州市民政局关于进一步明确村居颐康服务站建设管理有关事项的通知》。</w:t>
      </w:r>
    </w:p>
    <w:p>
      <w:pPr>
        <w:ind w:firstLine="420"/>
        <w:jc w:val="left"/>
      </w:pPr>
      <w:r>
        <w:rPr>
          <w:sz w:val="21"/>
        </w:rPr>
        <w:t>4.街道</w:t>
      </w:r>
      <w:r>
        <w:rPr>
          <w:sz w:val="21"/>
        </w:rPr>
        <w:t>综合养老服务中心（颐康中心）、各社区（村）级颐康服务站、长者饭堂的消防安全等定期检查、维护由成交供应商负责。（服务设施包括综合养老服务中心（颐康中心）平台、各社区（村）颐康服务站、长者饭堂产生的水、电、网络、物业管理、垃圾处理、因服务所需设施设备的购置及维护等所有费用由成交供应商承担。）</w:t>
      </w:r>
    </w:p>
    <w:p>
      <w:pPr>
        <w:ind w:firstLine="420"/>
      </w:pPr>
      <w:r>
        <w:rPr>
          <w:sz w:val="21"/>
        </w:rPr>
        <w:t>5.社区养老服务设施100%配备康复辅助器具，并提供专业</w:t>
      </w:r>
      <w:r>
        <w:rPr>
          <w:sz w:val="21"/>
        </w:rPr>
        <w:t>使用</w:t>
      </w:r>
      <w:r>
        <w:rPr>
          <w:sz w:val="21"/>
        </w:rPr>
        <w:t>指导服务。</w:t>
      </w:r>
    </w:p>
    <w:p>
      <w:pPr>
        <w:ind w:firstLine="420"/>
      </w:pPr>
      <w:r>
        <w:rPr>
          <w:sz w:val="21"/>
        </w:rPr>
        <w:t>6.自建厨房模式的长者饭堂</w:t>
      </w:r>
      <w:r>
        <w:rPr>
          <w:sz w:val="21"/>
        </w:rPr>
        <w:t>，为同和街辖区</w:t>
      </w:r>
      <w:r>
        <w:rPr>
          <w:sz w:val="21"/>
        </w:rPr>
        <w:t>60周岁及以上老年人</w:t>
      </w:r>
      <w:r>
        <w:rPr>
          <w:sz w:val="21"/>
        </w:rPr>
        <w:t>提供助餐配餐服务，其中每年</w:t>
      </w:r>
      <w:r>
        <w:rPr>
          <w:sz w:val="21"/>
        </w:rPr>
        <w:t>享受配餐服务覆盖率不低于户籍老年人口的</w:t>
      </w:r>
      <w:r>
        <w:rPr>
          <w:sz w:val="21"/>
        </w:rPr>
        <w:t>3.5%。</w:t>
      </w:r>
    </w:p>
    <w:p>
      <w:pPr>
        <w:ind w:firstLine="422"/>
        <w:jc w:val="center"/>
      </w:pPr>
      <w:r>
        <w:rPr>
          <w:b/>
          <w:sz w:val="21"/>
        </w:rPr>
        <w:t>表</w:t>
      </w:r>
      <w:r>
        <w:rPr>
          <w:b/>
          <w:sz w:val="21"/>
        </w:rPr>
        <w:t>3 工作需求指标表</w:t>
      </w:r>
    </w:p>
    <w:p>
      <w:r>
        <w:rPr>
          <w:sz w:val="21"/>
        </w:rPr>
        <w:t>同和街综合养老服务中心运营项目工作需求指标</w:t>
      </w:r>
    </w:p>
    <w:p/>
    <w:tbl>
      <w:tblPr>
        <w:tblW w:w="0" w:type="auto"/>
        <w:tblBorders>
          <w:top w:val="none" w:color="000000" w:sz="4"/>
          <w:left w:val="none" w:color="000000" w:sz="4"/>
          <w:bottom w:val="none" w:color="000000" w:sz="4"/>
          <w:right w:val="none" w:color="000000" w:sz="4"/>
          <w:insideH w:val="none"/>
          <w:insideV w:val="none"/>
        </w:tblBorders>
      </w:tblPr>
      <w:tblGrid>
        <w:gridCol w:w="510"/>
        <w:gridCol w:w="1410"/>
        <w:gridCol w:w="735"/>
        <w:gridCol w:w="2760"/>
        <w:gridCol w:w="630"/>
        <w:gridCol w:w="870"/>
        <w:gridCol w:w="915"/>
      </w:tblGrid>
      <w:tr>
        <w:tc>
          <w:tcPr>
            <w:tcW w:type="dxa" w:w="51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10"/>
            <w:tcBorders>
              <w:top w:val="single" w:color="000000" w:sz="4"/>
              <w:left w:val="none" w:color="000000" w:sz="4"/>
              <w:bottom w:val="single" w:color="000000" w:sz="4"/>
              <w:right w:val="single" w:color="000000" w:sz="4"/>
            </w:tcBorders>
            <w:vAlign w:val="top"/>
          </w:tcPr>
          <w:p>
            <w:pPr>
              <w:jc w:val="center"/>
            </w:pPr>
            <w:r>
              <w:rPr>
                <w:sz w:val="21"/>
              </w:rPr>
              <w:t>服务类别</w:t>
            </w:r>
          </w:p>
        </w:tc>
        <w:tc>
          <w:tcPr>
            <w:tcW w:type="dxa" w:w="735"/>
            <w:tcBorders>
              <w:top w:val="single" w:color="000000" w:sz="4"/>
              <w:left w:val="none" w:color="000000" w:sz="4"/>
              <w:bottom w:val="single" w:color="000000" w:sz="4"/>
              <w:right w:val="single" w:color="000000" w:sz="4"/>
            </w:tcBorders>
            <w:vAlign w:val="top"/>
          </w:tcPr>
          <w:p>
            <w:pPr>
              <w:jc w:val="center"/>
            </w:pPr>
            <w:r>
              <w:rPr>
                <w:sz w:val="21"/>
              </w:rPr>
              <w:t>服务项目</w:t>
            </w:r>
          </w:p>
        </w:tc>
        <w:tc>
          <w:tcPr>
            <w:tcW w:type="dxa" w:w="2760"/>
            <w:tcBorders>
              <w:top w:val="single" w:color="000000" w:sz="4"/>
              <w:left w:val="none" w:color="000000" w:sz="4"/>
              <w:bottom w:val="single" w:color="000000" w:sz="4"/>
              <w:right w:val="single" w:color="000000" w:sz="4"/>
            </w:tcBorders>
            <w:vAlign w:val="top"/>
          </w:tcPr>
          <w:p>
            <w:pPr>
              <w:jc w:val="center"/>
            </w:pPr>
            <w:r>
              <w:rPr>
                <w:sz w:val="21"/>
              </w:rPr>
              <w:t>服务内容</w:t>
            </w:r>
          </w:p>
        </w:tc>
        <w:tc>
          <w:tcPr>
            <w:tcW w:type="dxa" w:w="630"/>
            <w:tcBorders>
              <w:top w:val="single" w:color="000000" w:sz="4"/>
              <w:left w:val="none" w:color="000000" w:sz="4"/>
              <w:bottom w:val="single" w:color="000000" w:sz="4"/>
              <w:right w:val="single" w:color="000000" w:sz="4"/>
            </w:tcBorders>
            <w:vAlign w:val="top"/>
          </w:tcPr>
          <w:p>
            <w:pPr>
              <w:jc w:val="center"/>
            </w:pPr>
            <w:r>
              <w:rPr>
                <w:sz w:val="21"/>
              </w:rPr>
              <w:t>指标单位</w:t>
            </w:r>
          </w:p>
        </w:tc>
        <w:tc>
          <w:tcPr>
            <w:tcW w:type="dxa" w:w="870"/>
            <w:tcBorders>
              <w:top w:val="single" w:color="000000" w:sz="4"/>
              <w:left w:val="none" w:color="000000" w:sz="4"/>
              <w:bottom w:val="single" w:color="000000" w:sz="4"/>
              <w:right w:val="single" w:color="000000" w:sz="4"/>
            </w:tcBorders>
            <w:vAlign w:val="top"/>
          </w:tcPr>
          <w:p>
            <w:pPr>
              <w:jc w:val="center"/>
            </w:pPr>
            <w:r>
              <w:rPr>
                <w:sz w:val="21"/>
              </w:rPr>
              <w:t>最低量化指标</w:t>
            </w:r>
          </w:p>
        </w:tc>
        <w:tc>
          <w:tcPr>
            <w:tcW w:type="dxa" w:w="91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生活照料</w:t>
            </w:r>
          </w:p>
          <w:p>
            <w:pPr>
              <w:jc w:val="center"/>
            </w:pPr>
            <w:r>
              <w:rPr>
                <w:sz w:val="21"/>
              </w:rPr>
              <w:t>（通用服务）</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助洁服务</w:t>
            </w:r>
          </w:p>
        </w:tc>
        <w:tc>
          <w:tcPr>
            <w:tcW w:type="dxa" w:w="2760"/>
            <w:tcBorders>
              <w:top w:val="none" w:color="000000" w:sz="4"/>
              <w:left w:val="none" w:color="000000" w:sz="4"/>
              <w:bottom w:val="single" w:color="000000" w:sz="4"/>
              <w:right w:val="single" w:color="000000" w:sz="4"/>
            </w:tcBorders>
            <w:vAlign w:val="top"/>
          </w:tcPr>
          <w:p>
            <w:pPr>
              <w:numPr>
                <w:ilvl w:val="0"/>
                <w:numId w:val="1"/>
              </w:numPr>
              <w:jc w:val="center"/>
            </w:pPr>
            <w:r>
              <w:rPr>
                <w:sz w:val="21"/>
              </w:rPr>
              <w:t>居家清洁：对客厅、卧室、厨房、洗浴间、卫生间等居家环境进行清扫、清洁；</w:t>
            </w:r>
          </w:p>
          <w:p>
            <w:pPr>
              <w:jc w:val="both"/>
            </w:pPr>
            <w:r>
              <w:rPr>
                <w:sz w:val="21"/>
              </w:rPr>
              <w:t>2.物品整理：整理床铺（铺床、叠被子）及其他物品。</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400</w:t>
            </w:r>
          </w:p>
        </w:tc>
        <w:tc>
          <w:tcPr>
            <w:tcW w:type="dxa" w:w="915"/>
            <w:vMerge w:val="restart"/>
            <w:tcBorders>
              <w:top w:val="none" w:color="000000" w:sz="4"/>
              <w:left w:val="none" w:color="000000" w:sz="4"/>
              <w:bottom w:val="single" w:color="000000" w:sz="4"/>
              <w:right w:val="single" w:color="000000" w:sz="4"/>
            </w:tcBorders>
            <w:vAlign w:val="top"/>
          </w:tcPr>
          <w:p>
            <w:pPr>
              <w:jc w:val="center"/>
            </w:pPr>
            <w:r>
              <w:rPr>
                <w:sz w:val="21"/>
              </w:rPr>
              <w:t>可由养老护理员或家政服务员提供服务。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洗涤服务</w:t>
            </w:r>
          </w:p>
        </w:tc>
        <w:tc>
          <w:tcPr>
            <w:tcW w:type="dxa" w:w="2760"/>
            <w:tcBorders>
              <w:top w:val="none" w:color="000000" w:sz="4"/>
              <w:left w:val="none" w:color="000000" w:sz="4"/>
              <w:bottom w:val="single" w:color="000000" w:sz="4"/>
              <w:right w:val="single" w:color="000000" w:sz="4"/>
            </w:tcBorders>
            <w:vAlign w:val="top"/>
          </w:tcPr>
          <w:p>
            <w:pPr>
              <w:jc w:val="left"/>
            </w:pPr>
            <w:r>
              <w:rPr>
                <w:sz w:val="21"/>
              </w:rPr>
              <w:t>清洗与晾晒衣物、床上用品（床单、被套、枕套）、窗帘、毛巾等。洗涤方式分为上门洗涤和集中送洗，大件、贵重衣物可采用集中送洗方式。</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陪伴就医</w:t>
            </w:r>
          </w:p>
        </w:tc>
        <w:tc>
          <w:tcPr>
            <w:tcW w:type="dxa" w:w="2760"/>
            <w:tcBorders>
              <w:top w:val="none" w:color="000000" w:sz="4"/>
              <w:left w:val="none" w:color="000000" w:sz="4"/>
              <w:bottom w:val="single" w:color="000000" w:sz="4"/>
              <w:right w:val="single" w:color="000000" w:sz="4"/>
            </w:tcBorders>
            <w:vAlign w:val="top"/>
          </w:tcPr>
          <w:p>
            <w:pPr>
              <w:jc w:val="left"/>
            </w:pPr>
            <w:r>
              <w:rPr>
                <w:sz w:val="21"/>
              </w:rPr>
              <w:t>代预约挂号、陪诊、协助与医生沟通、取药、缴费、陪同往返、协助出行等。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陪同外出</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户外活动陪伴，陪护行动不便的服务对象到户外活动、包括（但不限于）参加社区活动、散步、购物等。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上门做餐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代买食材、清洗烹饪、协助进食、餐后卫生等。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代办服务</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代预约挂号、银行打薄、排队；代缴纳水电、煤气、话费等；代收寄快递；代领物品；代送物品；代买生活必需品；协助报修设备及物品；协助申请相关事务等。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日常提示</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根据医嘱或家属要求按时提醒老年人吃药、取药，提醒就医或办理相关事务。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情感关怀</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陪同聊天、定期探访（上门</w:t>
            </w:r>
            <w:r>
              <w:rPr>
                <w:sz w:val="21"/>
              </w:rPr>
              <w:t>/电访）。</w:t>
            </w:r>
          </w:p>
        </w:tc>
      </w:tr>
      <w:tr>
        <w:tc>
          <w:tcPr>
            <w:tcW w:type="dxa" w:w="510"/>
            <w:vMerge/>
            <w:tcBorders>
              <w:top w:val="none" w:color="000000" w:sz="4"/>
              <w:left w:val="single" w:color="000000" w:sz="4"/>
              <w:bottom w:val="single" w:color="000000" w:sz="4"/>
              <w:right w:val="single" w:color="000000" w:sz="4"/>
            </w:tcBorders>
          </w:tcP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生活照料</w:t>
            </w:r>
          </w:p>
          <w:p>
            <w:pPr>
              <w:jc w:val="center"/>
            </w:pPr>
            <w:r>
              <w:rPr>
                <w:sz w:val="21"/>
              </w:rPr>
              <w:t>（专业服务）</w:t>
            </w:r>
          </w:p>
        </w:tc>
        <w:tc>
          <w:tcPr>
            <w:tcW w:type="dxa" w:w="735"/>
            <w:tcBorders>
              <w:top w:val="none" w:color="000000" w:sz="4"/>
              <w:left w:val="none" w:color="000000" w:sz="4"/>
              <w:bottom w:val="single" w:color="000000" w:sz="4"/>
              <w:right w:val="single" w:color="000000" w:sz="4"/>
            </w:tcBorders>
            <w:vAlign w:val="top"/>
          </w:tcPr>
          <w:p>
            <w:pPr>
              <w:jc w:val="center"/>
            </w:pPr>
            <w:r>
              <w:rPr>
                <w:sz w:val="21"/>
              </w:rPr>
              <w:t>个人护理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1.皮肤外用药物涂擦；留置尿管护理；人工肛门便袋护理；口腔清洁；协助翻身；褥疮预防；叩背排痰等；2.协助穿（脱）衣；洗脸；梳头；剪发；剃须；刷牙；漱口、洗手；洗足；会阴清洁；修剪指（趾）甲。</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vMerge w:val="restart"/>
            <w:tcBorders>
              <w:top w:val="none" w:color="000000" w:sz="4"/>
              <w:left w:val="none" w:color="000000" w:sz="4"/>
              <w:bottom w:val="single" w:color="000000" w:sz="4"/>
              <w:right w:val="single" w:color="000000" w:sz="4"/>
            </w:tcBorders>
            <w:vAlign w:val="top"/>
          </w:tcPr>
          <w:p>
            <w:pPr>
              <w:jc w:val="center"/>
            </w:pPr>
            <w:r>
              <w:rPr>
                <w:sz w:val="21"/>
              </w:rPr>
              <w:t>由养老护理员、康复治疗师、医生、社工、护士等专业人员提供服务。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转移护理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协助床上移动；床上体位转换；轮椅转移；移动辅助器应用指导等。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排泄护理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协助排便；更换一次性尿裤；会阴护理；留置尿管护理；人工肛门便袋护理等。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协助进餐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喂食或帮助服务对象使用辅助器材进食，包括喂水、喂饭、鼻饲、喂药等。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助浴服务</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洗头；洗澡（温水擦浴、沐浴）；床上浴、更换衣物。</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助行服务</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协助服务对象行走、外出、散步，协助其使用助行器</w:t>
            </w:r>
            <w:r>
              <w:rPr>
                <w:sz w:val="21"/>
              </w:rPr>
              <w:t>/步行器移动。</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其他护理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睡眠照顾（协助脱去衣裤就寝，盖被，定时翻身）；热水袋保暖；更换床上用品。</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日常提示</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根据医嘱或家属要求按时提醒老年人吃药、取药，提醒就医或办理相关事宜。</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情感关怀</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陪同聊天、定期探访（上门</w:t>
            </w:r>
            <w:r>
              <w:rPr>
                <w:sz w:val="21"/>
              </w:rPr>
              <w:t>/电访）。</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735"/>
            <w:tcBorders>
              <w:top w:val="none" w:color="000000" w:sz="4"/>
              <w:left w:val="none" w:color="000000" w:sz="4"/>
              <w:bottom w:val="single" w:color="000000" w:sz="4"/>
              <w:right w:val="single" w:color="000000" w:sz="4"/>
            </w:tcBorders>
            <w:vAlign w:val="top"/>
          </w:tcPr>
          <w:p>
            <w:pPr>
              <w:jc w:val="center"/>
            </w:pPr>
            <w:r>
              <w:rPr>
                <w:sz w:val="21"/>
              </w:rPr>
              <w:t>集中用餐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在社区长者饭堂集中用餐、打包外带。</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12210</w:t>
            </w:r>
          </w:p>
        </w:tc>
        <w:tc>
          <w:tcPr>
            <w:tcW w:type="dxa" w:w="915"/>
            <w:vMerge w:val="restart"/>
            <w:tcBorders>
              <w:top w:val="none" w:color="000000" w:sz="4"/>
              <w:left w:val="none" w:color="000000" w:sz="4"/>
              <w:bottom w:val="single" w:color="000000" w:sz="4"/>
              <w:right w:val="single" w:color="000000" w:sz="4"/>
            </w:tcBorders>
            <w:vAlign w:val="top"/>
          </w:tcPr>
          <w:p>
            <w:pPr>
              <w:jc w:val="center"/>
            </w:pPr>
            <w:r>
              <w:rPr>
                <w:sz w:val="21"/>
              </w:rPr>
              <w:t>1小时/人次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上门做餐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为同和街辖区内符合条件的失能、半失能且有需要的长者提供上门做餐服务。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上门送餐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为同和街辖区内符合条件的失能、半失能且有需要的长者提供送餐上门服务。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自建厨房</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建设一个符合食谱安全要求的自建厨房，为辖区长者提供做餐服务。</w:t>
            </w:r>
          </w:p>
        </w:tc>
        <w:tc>
          <w:tcPr>
            <w:tcW w:type="dxa" w:w="630"/>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870"/>
            <w:tcBorders>
              <w:top w:val="none" w:color="000000" w:sz="4"/>
              <w:left w:val="none" w:color="000000" w:sz="4"/>
              <w:bottom w:val="single" w:color="000000" w:sz="4"/>
              <w:right w:val="single" w:color="000000" w:sz="4"/>
            </w:tcBorders>
            <w:vAlign w:val="top"/>
          </w:tcPr>
          <w:p>
            <w:pPr>
              <w:jc w:val="center"/>
            </w:pP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康复护理</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康复咨询</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健康咨询、康复咨询、康复指引。</w:t>
            </w:r>
          </w:p>
        </w:tc>
        <w:tc>
          <w:tcPr>
            <w:tcW w:type="dxa" w:w="630"/>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none" w:color="000000" w:sz="4"/>
              <w:right w:val="single" w:color="000000" w:sz="4"/>
            </w:tcBorders>
            <w:vAlign w:val="top"/>
          </w:tcPr>
          <w:p>
            <w:pPr>
              <w:jc w:val="center"/>
            </w:pPr>
            <w:r>
              <w:rPr>
                <w:sz w:val="21"/>
              </w:rPr>
              <w:t>200</w:t>
            </w:r>
          </w:p>
        </w:tc>
        <w:tc>
          <w:tcPr>
            <w:tcW w:type="dxa" w:w="915"/>
            <w:vMerge w:val="restart"/>
            <w:tcBorders>
              <w:top w:val="none" w:color="000000" w:sz="4"/>
              <w:left w:val="none" w:color="000000" w:sz="4"/>
              <w:bottom w:val="none" w:color="000000" w:sz="4"/>
              <w:right w:val="single" w:color="000000" w:sz="4"/>
            </w:tcBorders>
            <w:vAlign w:val="top"/>
          </w:tcPr>
          <w:p>
            <w:pPr>
              <w:jc w:val="center"/>
            </w:pPr>
            <w:r>
              <w:rPr>
                <w:sz w:val="21"/>
              </w:rPr>
              <w:t>由康复治疗师提供</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器材锻炼</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安全性高、操作简便、老人可自行开展的一般器材锻炼（如按摩椅、手指训练器、拼图、握力器等）。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肢体类康复训练（如腰椎康复训练、关节放松训练等）、认知感官类训练（如记忆力训练、认知测试等）。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康复理疗</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针灸理疗、穴位针灸、足部理疗、器械按摩、中风物理治疗、颈肩推拿、按摩推拿、拔罐刮痧。</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医养康养</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健康档案</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建立健康档案，进行病历记录、个人药物记录、体检记录等，定时跟踪健康情况。</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200</w:t>
            </w:r>
          </w:p>
        </w:tc>
        <w:tc>
          <w:tcPr>
            <w:tcW w:type="dxa" w:w="915"/>
            <w:vMerge w:val="restart"/>
            <w:tcBorders>
              <w:top w:val="none" w:color="000000" w:sz="4"/>
              <w:left w:val="none" w:color="000000" w:sz="4"/>
              <w:bottom w:val="single" w:color="000000" w:sz="4"/>
              <w:right w:val="single" w:color="000000" w:sz="4"/>
            </w:tcBorders>
            <w:vAlign w:val="top"/>
          </w:tcPr>
          <w:p>
            <w:pPr>
              <w:jc w:val="center"/>
            </w:pPr>
            <w:r>
              <w:rPr>
                <w:sz w:val="21"/>
              </w:rPr>
              <w:t>由专业医疗机构、医护人员提供。</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预防保健</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1.提供健康咨询、饮食咨询、营养指导、锻炼指导、活动指导服务；2.用药指导与用药观察，日常提示吃药、取药；3.健康宣教、保健知识讲座、保健学习及相关的小组活动；4.社区义诊。</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基础监测</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常规生理指数监测，如体温、血压、心率、呼吸、血糖、体重等。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健康体检</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常规体格检查、血常规、尿常规、大便常规、肝功能、肾功能、空腹血糖、血脂和心电图检测等项目。</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医疗护理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鼻饲、物理降温、导尿、压疮护理、创口换药、吸氧、造口护理、其他专业护理项目。</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家庭病床</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家庭医生、上门巡诊等。</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文体教育</w:t>
            </w:r>
          </w:p>
        </w:tc>
        <w:tc>
          <w:tcPr>
            <w:tcW w:type="dxa" w:w="735"/>
            <w:tcBorders>
              <w:top w:val="none" w:color="000000" w:sz="4"/>
              <w:left w:val="none" w:color="000000" w:sz="4"/>
              <w:bottom w:val="single" w:color="000000" w:sz="4"/>
              <w:right w:val="single" w:color="000000" w:sz="4"/>
            </w:tcBorders>
            <w:vAlign w:val="top"/>
          </w:tcPr>
          <w:p>
            <w:pPr>
              <w:jc w:val="center"/>
            </w:pPr>
            <w:r>
              <w:rPr>
                <w:sz w:val="21"/>
              </w:rPr>
              <w:t>问题康乐活动</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如棋牌、歌舞、打球、书画、阅读、太极、健康操、八段锦、茶话会、生日会、游园会、节假日活动等。</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tcBorders>
              <w:top w:val="none" w:color="000000" w:sz="4"/>
              <w:left w:val="none" w:color="000000" w:sz="4"/>
              <w:bottom w:val="single" w:color="000000" w:sz="4"/>
              <w:right w:val="single" w:color="000000" w:sz="4"/>
            </w:tcBorders>
            <w:vAlign w:val="top"/>
          </w:tcPr>
          <w:p>
            <w:pPr>
              <w:jc w:val="center"/>
            </w:pPr>
            <w:r>
              <w:rPr>
                <w:sz w:val="21"/>
              </w:rPr>
              <w:t>800</w:t>
            </w: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老年教育</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老年课堂，如钢琴、摄影、书法绘画、英语、计算机、编织、手工等。</w:t>
            </w:r>
          </w:p>
        </w:tc>
        <w:tc>
          <w:tcPr>
            <w:tcW w:type="dxa" w:w="630"/>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定期巡访</w:t>
            </w:r>
          </w:p>
        </w:tc>
        <w:tc>
          <w:tcPr>
            <w:tcW w:type="dxa" w:w="735"/>
            <w:tcBorders>
              <w:top w:val="none" w:color="000000" w:sz="4"/>
              <w:left w:val="none" w:color="000000" w:sz="4"/>
              <w:bottom w:val="single" w:color="000000" w:sz="4"/>
              <w:right w:val="single" w:color="000000" w:sz="4"/>
            </w:tcBorders>
            <w:vAlign w:val="top"/>
          </w:tcPr>
          <w:p>
            <w:pPr>
              <w:jc w:val="center"/>
            </w:pPr>
            <w:r>
              <w:rPr>
                <w:sz w:val="21"/>
              </w:rPr>
              <w:t>电话问候</w:t>
            </w:r>
          </w:p>
        </w:tc>
        <w:tc>
          <w:tcPr>
            <w:tcW w:type="dxa" w:w="2760"/>
            <w:tcBorders>
              <w:top w:val="none" w:color="000000" w:sz="4"/>
              <w:left w:val="none" w:color="000000" w:sz="4"/>
              <w:bottom w:val="single" w:color="000000" w:sz="4"/>
              <w:right w:val="single" w:color="000000" w:sz="4"/>
            </w:tcBorders>
            <w:vAlign w:val="top"/>
          </w:tcPr>
          <w:p>
            <w:pPr>
              <w:jc w:val="left"/>
            </w:pPr>
            <w:r>
              <w:rPr>
                <w:sz w:val="21"/>
              </w:rPr>
              <w:t>定期电话问候、聊天、提示。</w:t>
            </w:r>
          </w:p>
        </w:tc>
        <w:tc>
          <w:tcPr>
            <w:tcW w:type="dxa" w:w="630"/>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none" w:color="000000" w:sz="4"/>
              <w:right w:val="single" w:color="000000" w:sz="4"/>
            </w:tcBorders>
            <w:vAlign w:val="top"/>
          </w:tcPr>
          <w:p>
            <w:pPr>
              <w:jc w:val="center"/>
            </w:pPr>
            <w:r>
              <w:rPr>
                <w:sz w:val="21"/>
              </w:rPr>
              <w:t>500</w:t>
            </w: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关怀访视</w:t>
            </w:r>
          </w:p>
        </w:tc>
        <w:tc>
          <w:tcPr>
            <w:tcW w:type="dxa" w:w="2760"/>
            <w:tcBorders>
              <w:top w:val="none" w:color="000000" w:sz="4"/>
              <w:left w:val="none" w:color="000000" w:sz="4"/>
              <w:bottom w:val="single" w:color="000000" w:sz="4"/>
              <w:right w:val="single" w:color="000000" w:sz="4"/>
            </w:tcBorders>
            <w:vAlign w:val="top"/>
          </w:tcPr>
          <w:p>
            <w:pPr>
              <w:jc w:val="left"/>
            </w:pPr>
            <w:r>
              <w:rPr>
                <w:sz w:val="21"/>
              </w:rPr>
              <w:t>定期上门探访、关怀问候。</w:t>
            </w:r>
          </w:p>
        </w:tc>
        <w:tc>
          <w:tcPr>
            <w:tcW w:type="dxa" w:w="630"/>
            <w:vMerge/>
            <w:tcBorders>
              <w:top w:val="none" w:color="000000" w:sz="4"/>
              <w:left w:val="none" w:color="000000" w:sz="4"/>
              <w:bottom w:val="none" w:color="000000" w:sz="4"/>
              <w:right w:val="single" w:color="000000" w:sz="4"/>
            </w:tcBorders>
          </w:tcPr>
          <w:p/>
        </w:tc>
        <w:tc>
          <w:tcPr>
            <w:tcW w:type="dxa" w:w="870"/>
            <w:vMerge/>
            <w:tcBorders>
              <w:top w:val="none" w:color="000000" w:sz="4"/>
              <w:left w:val="none" w:color="000000" w:sz="4"/>
              <w:bottom w:val="none" w:color="000000" w:sz="4"/>
              <w:right w:val="single" w:color="000000" w:sz="4"/>
            </w:tcBorders>
          </w:tcP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资源链接</w:t>
            </w:r>
          </w:p>
        </w:tc>
        <w:tc>
          <w:tcPr>
            <w:tcW w:type="dxa" w:w="2760"/>
            <w:tcBorders>
              <w:top w:val="none" w:color="000000" w:sz="4"/>
              <w:left w:val="none" w:color="000000" w:sz="4"/>
              <w:bottom w:val="single" w:color="000000" w:sz="4"/>
              <w:right w:val="single" w:color="000000" w:sz="4"/>
            </w:tcBorders>
            <w:vAlign w:val="top"/>
          </w:tcPr>
          <w:p>
            <w:pPr>
              <w:jc w:val="left"/>
            </w:pPr>
            <w:r>
              <w:rPr>
                <w:sz w:val="21"/>
              </w:rPr>
              <w:t>了解到老年人相关需求，和相关部门反馈沟通，链接长者需要的服务。</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安全排查</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专业人员上门排查老年人用水、用电、用气安全，排查安全隐患。</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10"/>
            <w:tcBorders>
              <w:top w:val="none" w:color="000000" w:sz="4"/>
              <w:left w:val="none" w:color="000000" w:sz="4"/>
              <w:bottom w:val="single" w:color="000000" w:sz="4"/>
              <w:right w:val="single" w:color="000000" w:sz="4"/>
            </w:tcBorders>
            <w:vAlign w:val="top"/>
          </w:tcPr>
          <w:p>
            <w:pPr>
              <w:jc w:val="center"/>
            </w:pPr>
            <w:r>
              <w:rPr>
                <w:sz w:val="21"/>
              </w:rPr>
              <w:t>居家适老化改造</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居家适老化改造</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1.上门查看老年人家居安全情况，进行安全评估、居家安全教育。</w:t>
            </w:r>
          </w:p>
          <w:p>
            <w:pPr>
              <w:jc w:val="center"/>
            </w:pPr>
            <w:r>
              <w:rPr>
                <w:sz w:val="21"/>
              </w:rPr>
              <w:t>2.根据《广州市老年人居家适老化改造工作实施方案》等文件要求，完成辖内特殊困难老年人家庭居家适老化改造工作，并为辖内其他有需求的老年人家庭提供居家适老化改造服务。</w:t>
            </w:r>
          </w:p>
        </w:tc>
        <w:tc>
          <w:tcPr>
            <w:tcW w:type="dxa" w:w="630"/>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tcBorders>
              <w:top w:val="none" w:color="000000" w:sz="4"/>
              <w:left w:val="none" w:color="000000" w:sz="4"/>
              <w:bottom w:val="single" w:color="000000" w:sz="4"/>
              <w:right w:val="single" w:color="000000" w:sz="4"/>
            </w:tcBorders>
            <w:vAlign w:val="top"/>
          </w:tcPr>
          <w:p>
            <w:pPr>
              <w:jc w:val="center"/>
            </w:pPr>
            <w:r>
              <w:rPr>
                <w:sz w:val="21"/>
              </w:rPr>
              <w:t>由平安通服务机构提供服务，服务机构需与平安通服务公司进行对接。</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辅具租赁</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展示与咨询</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拐杖、轮椅、坐便器、助行器、生活辅助器具等老年用品展示与介绍。</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租赁与回收</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拐杖（四脚拐杖、三脚拐杖）、腋下拐杖、轮椅、洗澡椅、坐便椅、爬楼梯机等辅具租赁。</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捐赠与受赠</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老年用品、物资捐赠与受赠。</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养老服务向导</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养老政策咨询</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为老年人提供相关养老服务政策的咨询服务</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800</w:t>
            </w: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服务查询</w:t>
            </w:r>
          </w:p>
        </w:tc>
        <w:tc>
          <w:tcPr>
            <w:tcW w:type="dxa" w:w="2760"/>
            <w:tcBorders>
              <w:top w:val="none" w:color="000000" w:sz="4"/>
              <w:left w:val="none" w:color="000000" w:sz="4"/>
              <w:bottom w:val="single" w:color="000000" w:sz="4"/>
              <w:right w:val="single" w:color="000000" w:sz="4"/>
            </w:tcBorders>
            <w:vAlign w:val="top"/>
          </w:tcPr>
          <w:p>
            <w:pPr>
              <w:jc w:val="left"/>
            </w:pPr>
            <w:r>
              <w:rPr>
                <w:sz w:val="21"/>
              </w:rPr>
              <w:t>协助查询相关养老服务的查询工作</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办事指引</w:t>
            </w:r>
          </w:p>
        </w:tc>
        <w:tc>
          <w:tcPr>
            <w:tcW w:type="dxa" w:w="2760"/>
            <w:tcBorders>
              <w:top w:val="none" w:color="000000" w:sz="4"/>
              <w:left w:val="none" w:color="000000" w:sz="4"/>
              <w:bottom w:val="single" w:color="000000" w:sz="4"/>
              <w:right w:val="single" w:color="000000" w:sz="4"/>
            </w:tcBorders>
            <w:vAlign w:val="top"/>
          </w:tcPr>
          <w:p>
            <w:pPr>
              <w:jc w:val="left"/>
            </w:pPr>
            <w:r>
              <w:rPr>
                <w:sz w:val="21"/>
              </w:rPr>
              <w:t>协助老年人办理养老服务相关事项</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服务指引</w:t>
            </w:r>
          </w:p>
        </w:tc>
        <w:tc>
          <w:tcPr>
            <w:tcW w:type="dxa" w:w="2760"/>
            <w:tcBorders>
              <w:top w:val="none" w:color="000000" w:sz="4"/>
              <w:left w:val="none" w:color="000000" w:sz="4"/>
              <w:bottom w:val="single" w:color="000000" w:sz="4"/>
              <w:right w:val="single" w:color="000000" w:sz="4"/>
            </w:tcBorders>
            <w:vAlign w:val="top"/>
          </w:tcPr>
          <w:p>
            <w:pPr>
              <w:jc w:val="left"/>
            </w:pPr>
            <w:r>
              <w:rPr>
                <w:sz w:val="21"/>
              </w:rPr>
              <w:t>指引老年人提供服务指引工作。</w:t>
            </w:r>
          </w:p>
        </w:tc>
      </w:tr>
      <w:tr>
        <w:tc>
          <w:tcPr>
            <w:tcW w:type="dxa" w:w="51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10"/>
            <w:tcBorders>
              <w:top w:val="none" w:color="000000" w:sz="4"/>
              <w:left w:val="none" w:color="000000" w:sz="4"/>
              <w:bottom w:val="single" w:color="000000" w:sz="4"/>
              <w:right w:val="single" w:color="000000" w:sz="4"/>
            </w:tcBorders>
            <w:vAlign w:val="top"/>
          </w:tcPr>
          <w:p>
            <w:pPr>
              <w:jc w:val="center"/>
            </w:pPr>
            <w:r>
              <w:rPr>
                <w:sz w:val="21"/>
              </w:rPr>
              <w:t>转介服务</w:t>
            </w:r>
          </w:p>
        </w:tc>
        <w:tc>
          <w:tcPr>
            <w:tcW w:type="dxa" w:w="735"/>
            <w:tcBorders>
              <w:top w:val="none" w:color="000000" w:sz="4"/>
              <w:left w:val="none" w:color="000000" w:sz="4"/>
              <w:bottom w:val="single" w:color="000000" w:sz="4"/>
              <w:right w:val="single" w:color="000000" w:sz="4"/>
            </w:tcBorders>
            <w:vAlign w:val="top"/>
          </w:tcPr>
          <w:p>
            <w:pPr>
              <w:jc w:val="center"/>
            </w:pPr>
            <w:r>
              <w:rPr>
                <w:sz w:val="21"/>
              </w:rPr>
              <w:t>转介服务</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包括转介医疗、护理、康复、法律援助、社工服务、义工服务、入住养老机构等服务。</w:t>
            </w:r>
          </w:p>
        </w:tc>
        <w:tc>
          <w:tcPr>
            <w:tcW w:type="dxa" w:w="630"/>
            <w:tcBorders>
              <w:top w:val="none" w:color="000000" w:sz="4"/>
              <w:left w:val="none" w:color="000000" w:sz="4"/>
              <w:bottom w:val="single" w:color="000000" w:sz="4"/>
              <w:right w:val="single" w:color="000000" w:sz="4"/>
            </w:tcBorders>
            <w:vAlign w:val="top"/>
          </w:tcPr>
          <w:p>
            <w:pPr>
              <w:jc w:val="center"/>
            </w:pPr>
            <w:r>
              <w:rPr>
                <w:sz w:val="21"/>
              </w:rPr>
              <w:t>提供</w:t>
            </w:r>
          </w:p>
        </w:tc>
        <w:tc>
          <w:tcPr>
            <w:tcW w:type="dxa" w:w="87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val="restart"/>
            <w:tcBorders>
              <w:top w:val="none" w:color="000000" w:sz="4"/>
              <w:left w:val="single" w:color="000000" w:sz="4"/>
              <w:bottom w:val="none" w:color="000000" w:sz="4"/>
              <w:right w:val="single" w:color="000000" w:sz="4"/>
            </w:tcBorders>
            <w:vAlign w:val="top"/>
          </w:tcPr>
          <w:p>
            <w:pPr>
              <w:jc w:val="center"/>
            </w:pPr>
            <w:r>
              <w:rPr>
                <w:sz w:val="21"/>
              </w:rPr>
              <w:t>11</w:t>
            </w:r>
          </w:p>
        </w:tc>
        <w:tc>
          <w:tcPr>
            <w:tcW w:type="dxa" w:w="1410"/>
            <w:vMerge w:val="restart"/>
            <w:tcBorders>
              <w:top w:val="none" w:color="000000" w:sz="4"/>
              <w:left w:val="none" w:color="000000" w:sz="4"/>
              <w:bottom w:val="none" w:color="000000" w:sz="4"/>
              <w:right w:val="single" w:color="000000" w:sz="4"/>
            </w:tcBorders>
            <w:vAlign w:val="top"/>
          </w:tcPr>
          <w:p>
            <w:pPr>
              <w:jc w:val="center"/>
            </w:pPr>
            <w:r>
              <w:rPr>
                <w:sz w:val="21"/>
              </w:rPr>
              <w:t>日间托管</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午餐</w:t>
            </w:r>
          </w:p>
        </w:tc>
        <w:tc>
          <w:tcPr>
            <w:tcW w:type="dxa" w:w="630"/>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500</w:t>
            </w: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使用中心器械：步行器、固定单车、手臂滑轮、平衡杠、肋木、扶梯、手指训练器等器械开展的康复或保健训练。</w:t>
            </w: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健康管理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体温、血压、血糖监测，健康操运动等。</w:t>
            </w: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文体活动</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棋牌、歌舞、打球、绘画、看书、兴趣学习等。</w:t>
            </w: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午间休息</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提供床位。</w:t>
            </w:r>
          </w:p>
        </w:tc>
        <w:tc>
          <w:tcPr>
            <w:tcW w:type="dxa" w:w="630"/>
            <w:vMerge/>
            <w:tcBorders>
              <w:top w:val="none" w:color="000000" w:sz="4"/>
              <w:left w:val="none" w:color="000000" w:sz="4"/>
              <w:bottom w:val="none" w:color="000000" w:sz="4"/>
              <w:right w:val="single" w:color="000000" w:sz="4"/>
            </w:tcBorders>
          </w:tcPr>
          <w:p/>
        </w:tc>
        <w:tc>
          <w:tcPr>
            <w:tcW w:type="dxa" w:w="870"/>
            <w:tcBorders>
              <w:top w:val="none" w:color="000000" w:sz="4"/>
              <w:left w:val="none" w:color="000000" w:sz="4"/>
              <w:bottom w:val="single" w:color="000000" w:sz="4"/>
              <w:right w:val="single" w:color="000000" w:sz="4"/>
            </w:tcBorders>
            <w:vAlign w:val="top"/>
          </w:tcPr>
          <w:p>
            <w:pPr>
              <w:jc w:val="center"/>
            </w:pPr>
            <w:r>
              <w:rPr>
                <w:sz w:val="21"/>
              </w:rPr>
              <w:t>6个床位</w:t>
            </w: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特殊护理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日间特殊护理</w:t>
            </w:r>
          </w:p>
        </w:tc>
        <w:tc>
          <w:tcPr>
            <w:tcW w:type="dxa" w:w="630"/>
            <w:vMerge/>
            <w:tcBorders>
              <w:top w:val="none" w:color="000000" w:sz="4"/>
              <w:left w:val="none" w:color="000000" w:sz="4"/>
              <w:bottom w:val="none" w:color="000000" w:sz="4"/>
              <w:right w:val="single" w:color="000000" w:sz="4"/>
            </w:tcBorders>
          </w:tcPr>
          <w:p/>
        </w:tc>
        <w:tc>
          <w:tcPr>
            <w:tcW w:type="dxa" w:w="870"/>
            <w:tcBorders>
              <w:top w:val="none" w:color="000000" w:sz="4"/>
              <w:left w:val="none" w:color="000000" w:sz="4"/>
              <w:bottom w:val="single" w:color="000000" w:sz="4"/>
              <w:right w:val="single" w:color="000000" w:sz="4"/>
            </w:tcBorders>
            <w:vAlign w:val="top"/>
          </w:tcPr>
          <w:p>
            <w:pPr>
              <w:jc w:val="center"/>
            </w:pP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临时托养</w:t>
            </w:r>
          </w:p>
        </w:tc>
        <w:tc>
          <w:tcPr>
            <w:tcW w:type="dxa" w:w="735"/>
            <w:tcBorders>
              <w:top w:val="none" w:color="000000" w:sz="4"/>
              <w:left w:val="none" w:color="000000" w:sz="4"/>
              <w:bottom w:val="single" w:color="000000" w:sz="4"/>
              <w:right w:val="single" w:color="000000" w:sz="4"/>
            </w:tcBorders>
            <w:vAlign w:val="top"/>
          </w:tcPr>
          <w:p>
            <w:pPr>
              <w:jc w:val="center"/>
            </w:pPr>
            <w:r>
              <w:rPr>
                <w:sz w:val="21"/>
              </w:rPr>
              <w:t>助餐配餐</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早餐、午餐、晚餐。</w:t>
            </w:r>
          </w:p>
        </w:tc>
        <w:tc>
          <w:tcPr>
            <w:tcW w:type="dxa" w:w="630"/>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none" w:color="000000" w:sz="4"/>
              <w:right w:val="single" w:color="000000" w:sz="4"/>
            </w:tcBorders>
            <w:vAlign w:val="top"/>
          </w:tcPr>
          <w:p>
            <w:pPr>
              <w:jc w:val="center"/>
            </w:pPr>
            <w:r>
              <w:rPr>
                <w:sz w:val="21"/>
              </w:rPr>
              <w:t>200</w:t>
            </w:r>
          </w:p>
        </w:tc>
        <w:tc>
          <w:tcPr>
            <w:tcW w:type="dxa" w:w="915"/>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个人护理</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c>
          <w:tcPr>
            <w:tcW w:type="dxa" w:w="630"/>
            <w:vMerge/>
            <w:tcBorders>
              <w:top w:val="none" w:color="000000" w:sz="4"/>
              <w:left w:val="none" w:color="000000" w:sz="4"/>
              <w:bottom w:val="none" w:color="000000" w:sz="4"/>
              <w:right w:val="single" w:color="000000" w:sz="4"/>
            </w:tcBorders>
          </w:tcPr>
          <w:p/>
        </w:tc>
        <w:tc>
          <w:tcPr>
            <w:tcW w:type="dxa" w:w="870"/>
            <w:vMerge/>
            <w:tcBorders>
              <w:top w:val="none" w:color="000000" w:sz="4"/>
              <w:left w:val="none" w:color="000000" w:sz="4"/>
              <w:bottom w:val="none" w:color="000000" w:sz="4"/>
              <w:right w:val="single" w:color="000000" w:sz="4"/>
            </w:tcBorders>
          </w:tcP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康复训练</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使用中心器械：步行器、固定单车、手臂滑轮、平衡杠、肋木、扶梯、手指训练器等器械开展的康复或训练。</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文体活动</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棋牌、歌舞、打球、绘画、看书、兴趣学习等。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医疗保健</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体温、心率、血压、血糖监测，健康操运动、用药等。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夜间住宿</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提供床位。</w:t>
            </w:r>
          </w:p>
        </w:tc>
        <w:tc>
          <w:tcPr>
            <w:tcW w:type="dxa" w:w="630"/>
            <w:tcBorders>
              <w:top w:val="none" w:color="000000" w:sz="4"/>
              <w:left w:val="none" w:color="000000" w:sz="4"/>
              <w:bottom w:val="single" w:color="000000" w:sz="4"/>
              <w:right w:val="single" w:color="000000" w:sz="4"/>
            </w:tcBorders>
            <w:vAlign w:val="top"/>
          </w:tcPr>
          <w:p>
            <w:pPr>
              <w:jc w:val="center"/>
            </w:pPr>
            <w:r>
              <w:rPr>
                <w:sz w:val="21"/>
              </w:rPr>
              <w:t>床位数</w:t>
            </w:r>
          </w:p>
        </w:tc>
        <w:tc>
          <w:tcPr>
            <w:tcW w:type="dxa" w:w="870"/>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510"/>
            <w:vMerge w:val="restart"/>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410"/>
            <w:vMerge w:val="restart"/>
            <w:tcBorders>
              <w:top w:val="none" w:color="000000" w:sz="4"/>
              <w:left w:val="none" w:color="000000" w:sz="4"/>
              <w:bottom w:val="single" w:color="000000" w:sz="4"/>
              <w:right w:val="single" w:color="000000" w:sz="4"/>
            </w:tcBorders>
            <w:vAlign w:val="top"/>
          </w:tcPr>
          <w:p>
            <w:pPr>
              <w:jc w:val="center"/>
            </w:pPr>
            <w:r>
              <w:rPr>
                <w:sz w:val="21"/>
              </w:rPr>
              <w:t>家庭养老床位</w:t>
            </w:r>
          </w:p>
        </w:tc>
        <w:tc>
          <w:tcPr>
            <w:tcW w:type="dxa" w:w="735"/>
            <w:tcBorders>
              <w:top w:val="none" w:color="000000" w:sz="4"/>
              <w:left w:val="none" w:color="000000" w:sz="4"/>
              <w:bottom w:val="single" w:color="000000" w:sz="4"/>
              <w:right w:val="single" w:color="000000" w:sz="4"/>
            </w:tcBorders>
            <w:vAlign w:val="top"/>
          </w:tcPr>
          <w:p>
            <w:pPr>
              <w:jc w:val="center"/>
            </w:pPr>
            <w:r>
              <w:rPr>
                <w:sz w:val="21"/>
              </w:rPr>
              <w:t>智能化设备配置</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为有需要的老年人提供安装自动感应灯具、防走失装置、安全监控装置、生命体征检测设备、门磁感应、语音或视频通话设备、其它智能化设备、相关适老化设备等</w:t>
            </w:r>
          </w:p>
        </w:tc>
        <w:tc>
          <w:tcPr>
            <w:tcW w:type="dxa" w:w="630"/>
            <w:vMerge w:val="restart"/>
            <w:tcBorders>
              <w:top w:val="none" w:color="000000" w:sz="4"/>
              <w:left w:val="none" w:color="000000" w:sz="4"/>
              <w:bottom w:val="singl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single" w:color="000000" w:sz="4"/>
              <w:right w:val="single" w:color="000000" w:sz="4"/>
            </w:tcBorders>
            <w:vAlign w:val="top"/>
          </w:tcPr>
          <w:p>
            <w:pPr>
              <w:jc w:val="center"/>
            </w:pPr>
            <w:r>
              <w:rPr>
                <w:sz w:val="21"/>
              </w:rPr>
              <w:t>100</w:t>
            </w:r>
          </w:p>
        </w:tc>
        <w:tc>
          <w:tcPr>
            <w:tcW w:type="dxa" w:w="915"/>
            <w:vMerge w:val="restart"/>
            <w:tcBorders>
              <w:top w:val="none" w:color="000000" w:sz="4"/>
              <w:left w:val="none" w:color="000000" w:sz="4"/>
              <w:bottom w:val="single" w:color="000000" w:sz="4"/>
              <w:right w:val="single" w:color="000000" w:sz="4"/>
            </w:tcBorders>
            <w:vAlign w:val="top"/>
          </w:tcPr>
          <w:p>
            <w:pPr>
              <w:jc w:val="center"/>
            </w:pP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适老化设改造</w:t>
            </w:r>
          </w:p>
        </w:tc>
        <w:tc>
          <w:tcPr>
            <w:tcW w:type="dxa" w:w="2760"/>
            <w:tcBorders>
              <w:top w:val="none" w:color="000000" w:sz="4"/>
              <w:left w:val="none" w:color="000000" w:sz="4"/>
              <w:bottom w:val="single" w:color="000000" w:sz="4"/>
              <w:right w:val="single" w:color="000000" w:sz="4"/>
            </w:tcBorders>
            <w:vAlign w:val="top"/>
          </w:tcPr>
          <w:p>
            <w:pPr>
              <w:jc w:val="left"/>
            </w:pPr>
            <w:r>
              <w:rPr>
                <w:sz w:val="21"/>
              </w:rPr>
              <w:t>地面、门、卧室、如厕、厨房、物理环境等改造，配置相关适老化设备等。</w:t>
            </w:r>
          </w:p>
        </w:tc>
      </w:tr>
      <w:tr>
        <w:tc>
          <w:tcPr>
            <w:tcW w:type="dxa" w:w="510"/>
            <w:vMerge/>
            <w:tcBorders>
              <w:top w:val="none" w:color="000000" w:sz="4"/>
              <w:left w:val="single" w:color="000000" w:sz="4"/>
              <w:bottom w:val="single" w:color="000000" w:sz="4"/>
              <w:right w:val="single" w:color="000000" w:sz="4"/>
            </w:tcBorders>
          </w:tcPr>
          <w:p/>
        </w:tc>
        <w:tc>
          <w:tcPr>
            <w:tcW w:type="dxa" w:w="1410"/>
            <w:vMerge/>
            <w:tcBorders>
              <w:top w:val="none" w:color="000000" w:sz="4"/>
              <w:left w:val="none" w:color="000000" w:sz="4"/>
              <w:bottom w:val="singl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上门服务</w:t>
            </w:r>
          </w:p>
        </w:tc>
        <w:tc>
          <w:tcPr>
            <w:tcW w:type="dxa" w:w="2760"/>
            <w:tcBorders>
              <w:top w:val="none" w:color="000000" w:sz="4"/>
              <w:left w:val="none" w:color="000000" w:sz="4"/>
              <w:bottom w:val="single" w:color="000000" w:sz="4"/>
              <w:right w:val="single" w:color="000000" w:sz="4"/>
            </w:tcBorders>
            <w:vAlign w:val="top"/>
          </w:tcPr>
          <w:p>
            <w:pPr>
              <w:jc w:val="center"/>
            </w:pPr>
            <w:r>
              <w:rPr>
                <w:sz w:val="21"/>
              </w:rPr>
              <w:t>根据其意</w:t>
            </w:r>
          </w:p>
          <w:p>
            <w:pPr>
              <w:jc w:val="left"/>
            </w:pPr>
            <w:r>
              <w:rPr>
                <w:sz w:val="21"/>
              </w:rPr>
              <w:t>愿需求提供上门服务。</w:t>
            </w:r>
          </w:p>
        </w:tc>
      </w:tr>
      <w:tr>
        <w:tc>
          <w:tcPr>
            <w:tcW w:type="dxa" w:w="510"/>
            <w:vMerge w:val="restart"/>
            <w:tcBorders>
              <w:top w:val="none" w:color="000000" w:sz="4"/>
              <w:left w:val="single" w:color="000000" w:sz="4"/>
              <w:bottom w:val="none" w:color="000000" w:sz="4"/>
              <w:right w:val="single" w:color="000000" w:sz="4"/>
            </w:tcBorders>
            <w:vAlign w:val="top"/>
          </w:tcPr>
          <w:p>
            <w:pPr>
              <w:jc w:val="center"/>
            </w:pPr>
            <w:r>
              <w:rPr>
                <w:sz w:val="21"/>
              </w:rPr>
              <w:t>14</w:t>
            </w:r>
          </w:p>
        </w:tc>
        <w:tc>
          <w:tcPr>
            <w:tcW w:type="dxa" w:w="1410"/>
            <w:vMerge w:val="restart"/>
            <w:tcBorders>
              <w:top w:val="none" w:color="000000" w:sz="4"/>
              <w:left w:val="none" w:color="000000" w:sz="4"/>
              <w:bottom w:val="none" w:color="000000" w:sz="4"/>
              <w:right w:val="single" w:color="000000" w:sz="4"/>
            </w:tcBorders>
            <w:vAlign w:val="top"/>
          </w:tcPr>
          <w:p>
            <w:pPr>
              <w:jc w:val="center"/>
            </w:pPr>
            <w:r>
              <w:rPr>
                <w:sz w:val="21"/>
              </w:rPr>
              <w:t>家庭照护者培训</w:t>
            </w:r>
          </w:p>
        </w:tc>
        <w:tc>
          <w:tcPr>
            <w:tcW w:type="dxa" w:w="735"/>
            <w:tcBorders>
              <w:top w:val="none" w:color="000000" w:sz="4"/>
              <w:left w:val="none" w:color="000000" w:sz="4"/>
              <w:bottom w:val="single" w:color="000000" w:sz="4"/>
              <w:right w:val="single" w:color="000000" w:sz="4"/>
            </w:tcBorders>
            <w:vAlign w:val="top"/>
          </w:tcPr>
          <w:p>
            <w:pPr>
              <w:jc w:val="center"/>
            </w:pPr>
            <w:r>
              <w:rPr>
                <w:sz w:val="21"/>
              </w:rPr>
              <w:t>照护知识培训</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为老年人照护者提供照护知识培训</w:t>
            </w:r>
          </w:p>
        </w:tc>
        <w:tc>
          <w:tcPr>
            <w:tcW w:type="dxa" w:w="630"/>
            <w:vMerge w:val="restart"/>
            <w:tcBorders>
              <w:top w:val="none" w:color="000000" w:sz="4"/>
              <w:left w:val="none" w:color="000000" w:sz="4"/>
              <w:bottom w:val="none" w:color="000000" w:sz="4"/>
              <w:right w:val="single" w:color="000000" w:sz="4"/>
            </w:tcBorders>
            <w:vAlign w:val="top"/>
          </w:tcPr>
          <w:p>
            <w:pPr>
              <w:jc w:val="center"/>
            </w:pPr>
            <w:r>
              <w:rPr>
                <w:sz w:val="21"/>
              </w:rPr>
              <w:t>工时</w:t>
            </w:r>
          </w:p>
        </w:tc>
        <w:tc>
          <w:tcPr>
            <w:tcW w:type="dxa" w:w="870"/>
            <w:vMerge w:val="restart"/>
            <w:tcBorders>
              <w:top w:val="none" w:color="000000" w:sz="4"/>
              <w:left w:val="none" w:color="000000" w:sz="4"/>
              <w:bottom w:val="none" w:color="000000" w:sz="4"/>
              <w:right w:val="single" w:color="000000" w:sz="4"/>
            </w:tcBorders>
            <w:vAlign w:val="top"/>
          </w:tcPr>
          <w:p>
            <w:pPr>
              <w:jc w:val="center"/>
            </w:pPr>
            <w:r>
              <w:rPr>
                <w:sz w:val="21"/>
              </w:rPr>
              <w:t>100</w:t>
            </w:r>
          </w:p>
        </w:tc>
        <w:tc>
          <w:tcPr>
            <w:tcW w:type="dxa" w:w="915"/>
            <w:vMerge w:val="restart"/>
            <w:tcBorders>
              <w:top w:val="none" w:color="000000" w:sz="4"/>
              <w:left w:val="none" w:color="000000" w:sz="4"/>
              <w:bottom w:val="none" w:color="000000" w:sz="4"/>
              <w:right w:val="single" w:color="000000" w:sz="4"/>
            </w:tcBorders>
            <w:vAlign w:val="top"/>
          </w:tcPr>
          <w:p>
            <w:pPr>
              <w:jc w:val="center"/>
            </w:pP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照护技能培训</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为老年人照护者提供照护技能培训</w:t>
            </w:r>
          </w:p>
        </w:tc>
      </w:tr>
      <w:tr>
        <w:tc>
          <w:tcPr>
            <w:tcW w:type="dxa" w:w="510"/>
            <w:vMerge/>
            <w:tcBorders>
              <w:top w:val="none" w:color="000000" w:sz="4"/>
              <w:left w:val="single" w:color="000000" w:sz="4"/>
              <w:bottom w:val="none" w:color="000000" w:sz="4"/>
              <w:right w:val="single" w:color="000000" w:sz="4"/>
            </w:tcBorders>
          </w:tcPr>
          <w:p/>
        </w:tc>
        <w:tc>
          <w:tcPr>
            <w:tcW w:type="dxa" w:w="1410"/>
            <w:vMerge/>
            <w:tcBorders>
              <w:top w:val="none" w:color="000000" w:sz="4"/>
              <w:left w:val="none" w:color="000000" w:sz="4"/>
              <w:bottom w:val="none" w:color="000000" w:sz="4"/>
              <w:right w:val="single" w:color="000000" w:sz="4"/>
            </w:tcBorders>
          </w:tcPr>
          <w:p/>
        </w:tc>
        <w:tc>
          <w:tcPr>
            <w:tcW w:type="dxa" w:w="735"/>
            <w:tcBorders>
              <w:top w:val="none" w:color="000000" w:sz="4"/>
              <w:left w:val="none" w:color="000000" w:sz="4"/>
              <w:bottom w:val="single" w:color="000000" w:sz="4"/>
              <w:right w:val="single" w:color="000000" w:sz="4"/>
            </w:tcBorders>
            <w:vAlign w:val="top"/>
          </w:tcPr>
          <w:p>
            <w:pPr>
              <w:jc w:val="center"/>
            </w:pPr>
            <w:r>
              <w:rPr>
                <w:sz w:val="21"/>
              </w:rPr>
              <w:t>心理健康管理</w:t>
            </w:r>
          </w:p>
        </w:tc>
        <w:tc>
          <w:tcPr>
            <w:tcW w:type="dxa" w:w="2760"/>
            <w:tcBorders>
              <w:top w:val="none" w:color="000000" w:sz="4"/>
              <w:left w:val="none" w:color="000000" w:sz="4"/>
              <w:bottom w:val="single" w:color="000000" w:sz="4"/>
              <w:right w:val="single" w:color="000000" w:sz="4"/>
            </w:tcBorders>
            <w:vAlign w:val="top"/>
          </w:tcPr>
          <w:p>
            <w:pPr>
              <w:jc w:val="left"/>
            </w:pPr>
            <w:r>
              <w:rPr>
                <w:sz w:val="21"/>
              </w:rPr>
              <w:t>为老年人照护者提供心理健康管理培训，给其支持</w:t>
            </w:r>
          </w:p>
        </w:tc>
      </w:tr>
    </w:tbl>
    <w:p/>
    <w:p>
      <w:pPr>
        <w:jc w:val="both"/>
      </w:pPr>
      <w:r>
        <w:rPr>
          <w:sz w:val="21"/>
        </w:rPr>
        <w:t>注：</w:t>
      </w:r>
      <w:r>
        <w:rPr>
          <w:sz w:val="21"/>
        </w:rPr>
        <w:t>1.工时计算：（1）个人年度总工时=8小时/天*245天=1960小时；（2）项目专业服务年度总工时=1960小时*8人=19600小时；（3）个人年度间接服务工时=年度会议时数+年度培训时数=2小时/周*49周+15小时=113小时；（4）项目年度直接服务工时=项目专业服务年度总工时﹣项目年度间接服务工时﹣1名预留员工年度服务工时=19600﹣113*10﹣1960=16510小时；（5）项目年度最低服务工时=项目年度直接服务工时=16510小时；项目年度最高服务工时=项目专业服务年度总工时×110%=19600×110%=21560小时。</w:t>
      </w:r>
    </w:p>
    <w:p>
      <w:pPr>
        <w:jc w:val="both"/>
      </w:pPr>
      <w:r>
        <w:rPr>
          <w:sz w:val="21"/>
        </w:rPr>
        <w:t>2.服务工时可采用综合定额方式计算，其中生活照料、助餐配餐、康复护理、医养康养、日间托管等5项服务的工时合计不少于年度最低服务总工时的75%。</w:t>
      </w:r>
    </w:p>
    <w:p>
      <w:pPr>
        <w:jc w:val="both"/>
      </w:pPr>
      <w:r>
        <w:rPr>
          <w:sz w:val="21"/>
        </w:rPr>
        <w:t>3.如因政策变动或服务指标要求有调整，乙方应按政策最新的指标要求完成。</w:t>
      </w:r>
    </w:p>
    <w:p>
      <w:pPr>
        <w:jc w:val="both"/>
      </w:pPr>
      <w:r>
        <w:rPr>
          <w:b/>
          <w:sz w:val="21"/>
        </w:rPr>
        <w:t>（七）乙方和人员要求</w:t>
      </w:r>
    </w:p>
    <w:p>
      <w:r>
        <w:rPr>
          <w:sz w:val="21"/>
        </w:rPr>
        <w:t>1.乙方要求</w:t>
      </w:r>
    </w:p>
    <w:p>
      <w:r>
        <w:rPr>
          <w:sz w:val="21"/>
        </w:rPr>
        <w:t>1.1 乙方具备相关综合养老服务设施运营经验，且取得良好及以上成效。</w:t>
      </w:r>
    </w:p>
    <w:p>
      <w:r>
        <w:rPr>
          <w:sz w:val="21"/>
        </w:rPr>
        <w:t>1.</w:t>
      </w:r>
      <w:r>
        <w:rPr>
          <w:sz w:val="21"/>
        </w:rPr>
        <w:t>2</w:t>
      </w:r>
      <w:r>
        <w:rPr/>
        <w:t xml:space="preserve"> </w:t>
      </w:r>
      <w:r>
        <w:rPr>
          <w:sz w:val="21"/>
        </w:rPr>
        <w:t>按照养老服务等相关法律法规和行业标准，配备与服务和运营相适应且具备相应从业资格的养老护理员、医生、护士、康复治疗师、社会工作师、家政服务员、财务人员、工勤人员等，配备经验丰富的专职中心主任。</w:t>
      </w:r>
    </w:p>
    <w:p>
      <w:r>
        <w:rPr>
          <w:sz w:val="21"/>
        </w:rPr>
        <w:t>1.</w:t>
      </w:r>
      <w:r>
        <w:rPr>
          <w:sz w:val="21"/>
        </w:rPr>
        <w:t>3</w:t>
      </w:r>
      <w:r>
        <w:rPr/>
        <w:t xml:space="preserve"> </w:t>
      </w:r>
      <w:r>
        <w:rPr>
          <w:sz w:val="21"/>
        </w:rPr>
        <w:t>具备从事养老、餐饮服务、医疗服务等相关资质。</w:t>
      </w:r>
    </w:p>
    <w:p>
      <w:r>
        <w:rPr>
          <w:sz w:val="21"/>
        </w:rPr>
        <w:t>1.</w:t>
      </w:r>
      <w:r>
        <w:rPr>
          <w:sz w:val="21"/>
        </w:rPr>
        <w:t>4.乙方统一纳入广州市为老服务综合平台供应商库，接受政府部门的监督管理，按照政府部门的要求开展服务；</w:t>
      </w:r>
    </w:p>
    <w:p>
      <w:pPr>
        <w:ind w:firstLine="420"/>
        <w:jc w:val="left"/>
      </w:pPr>
      <w:r>
        <w:rPr>
          <w:sz w:val="21"/>
        </w:rPr>
        <w:t>1.</w:t>
      </w:r>
      <w:r>
        <w:rPr>
          <w:sz w:val="21"/>
        </w:rPr>
        <w:t>5.按照合同等约定履行提供服务的义务，认真组织实施项目，按时完成项目任务，保证服务数量、质量和效果，主动接受有关部门、服务对象及社会监督，严禁乙方将服务项目交由其他服务供应机构实际承担的转包行为；</w:t>
      </w:r>
    </w:p>
    <w:p>
      <w:r>
        <w:rPr>
          <w:sz w:val="21"/>
        </w:rPr>
        <w:t>1.</w:t>
      </w:r>
      <w:r>
        <w:rPr>
          <w:sz w:val="21"/>
        </w:rPr>
        <w:t>6.严格按照合同等约定使用服务设施，严禁擅自改变服务设施功能和用途，主动接受政府部门管理和指导；认真落实消防、环保、卫生、安全管理等相关法律法规要求，购买场所责任保险；</w:t>
      </w:r>
    </w:p>
    <w:p>
      <w:r>
        <w:rPr>
          <w:sz w:val="21"/>
        </w:rPr>
        <w:t>1.</w:t>
      </w:r>
      <w:r>
        <w:rPr>
          <w:sz w:val="21"/>
        </w:rPr>
        <w:t>7.提供医疗服务的应获得医疗机构执业许可证，提供餐饮服务的应获得食品经营许可证；</w:t>
      </w:r>
    </w:p>
    <w:p>
      <w:r>
        <w:rPr>
          <w:sz w:val="21"/>
        </w:rPr>
        <w:t>1.</w:t>
      </w:r>
      <w:r>
        <w:rPr>
          <w:sz w:val="21"/>
        </w:rPr>
        <w:t>8.能有效管理社区居家养老服务相关文件和档案，真实完整记录并及时更新服务对象信息，保护个人信息安全，与服务对象的服务协议签约率及建档率达100%；</w:t>
      </w:r>
    </w:p>
    <w:p>
      <w:r>
        <w:rPr>
          <w:sz w:val="21"/>
        </w:rPr>
        <w:t>1.</w:t>
      </w:r>
      <w:r>
        <w:rPr>
          <w:sz w:val="21"/>
        </w:rPr>
        <w:t>9.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r>
        <w:rPr>
          <w:sz w:val="21"/>
        </w:rPr>
        <w:t>1.</w:t>
      </w:r>
      <w:r>
        <w:rPr>
          <w:sz w:val="21"/>
        </w:rPr>
        <w:t>10.建立服务风险防范制度，为工作人员购买人身意外保险；</w:t>
      </w:r>
    </w:p>
    <w:p>
      <w:r>
        <w:rPr>
          <w:sz w:val="21"/>
        </w:rPr>
        <w:t>1.</w:t>
      </w:r>
      <w:r>
        <w:rPr>
          <w:sz w:val="21"/>
        </w:rPr>
        <w:t>11.建立完善的规章制度和工作流程，包括财务、人事、运营、公共安全、卫生、资产、服务等方面的管理制度和应急措施。</w:t>
      </w:r>
    </w:p>
    <w:p>
      <w:r>
        <w:rPr>
          <w:sz w:val="21"/>
        </w:rPr>
        <w:t>2.人员要求</w:t>
      </w:r>
    </w:p>
    <w:p>
      <w:pPr>
        <w:jc w:val="left"/>
      </w:pPr>
      <w:r>
        <w:rPr>
          <w:sz w:val="21"/>
        </w:rPr>
        <w:t>2.</w:t>
      </w:r>
      <w:r>
        <w:rPr>
          <w:sz w:val="21"/>
        </w:rPr>
        <w:t>1.乙方应为本项目配备专职项目负责人1名，执业医师</w:t>
      </w:r>
      <w:r>
        <w:rPr>
          <w:u w:val="single"/>
        </w:rPr>
        <w:t xml:space="preserve">  </w:t>
      </w:r>
      <w:r>
        <w:rPr>
          <w:sz w:val="21"/>
        </w:rPr>
        <w:t>名，执业护士</w:t>
      </w:r>
      <w:r>
        <w:rPr>
          <w:u w:val="single"/>
        </w:rPr>
        <w:t xml:space="preserve">  </w:t>
      </w:r>
      <w:r>
        <w:rPr>
          <w:sz w:val="21"/>
        </w:rPr>
        <w:t>名，康复治疗师</w:t>
      </w:r>
      <w:r>
        <w:rPr>
          <w:u w:val="single"/>
        </w:rPr>
        <w:t xml:space="preserve">  </w:t>
      </w:r>
      <w:r>
        <w:rPr>
          <w:sz w:val="21"/>
        </w:rPr>
        <w:t>名，社会工作师</w:t>
      </w:r>
      <w:r>
        <w:rPr>
          <w:u w:val="single"/>
        </w:rPr>
        <w:t xml:space="preserve">  </w:t>
      </w:r>
      <w:r>
        <w:rPr>
          <w:sz w:val="21"/>
        </w:rPr>
        <w:t>名，养老护理员</w:t>
      </w:r>
      <w:r>
        <w:rPr>
          <w:u w:val="single"/>
        </w:rPr>
        <w:t xml:space="preserve">  </w:t>
      </w:r>
      <w:r>
        <w:rPr>
          <w:sz w:val="21"/>
        </w:rPr>
        <w:t>名，其他工作人员</w:t>
      </w:r>
      <w:r>
        <w:rPr>
          <w:u w:val="single"/>
        </w:rPr>
        <w:t xml:space="preserve">  </w:t>
      </w:r>
      <w:r>
        <w:rPr>
          <w:sz w:val="21"/>
        </w:rPr>
        <w:t>名（专职人员须占人员总数</w:t>
      </w:r>
      <w:r>
        <w:rPr>
          <w:sz w:val="21"/>
        </w:rPr>
        <w:t>60%以上）。乙方承诺在服务期内必须保证投入的工作人员数量不能减少，服务期中如有人事变动问题，必须保证能达到响应时承诺投入的人员；</w:t>
      </w:r>
    </w:p>
    <w:p>
      <w:r>
        <w:rPr>
          <w:sz w:val="21"/>
        </w:rPr>
        <w:t>2.</w:t>
      </w:r>
      <w:r>
        <w:rPr>
          <w:sz w:val="21"/>
        </w:rPr>
        <w:t>2.提供上门生活照料服务的，保障上门服务人员与服务对象的比例不低于1：10；</w:t>
      </w:r>
    </w:p>
    <w:p>
      <w:r>
        <w:rPr>
          <w:sz w:val="21"/>
        </w:rPr>
        <w:t>2.</w:t>
      </w:r>
      <w:r>
        <w:rPr>
          <w:sz w:val="21"/>
        </w:rPr>
        <w:t>3.提供康复护理服务的，护理人员与服务对象的配备比例不低于1：10，护理人员应具有护理、康复治疗专业技术教育背景或从业资格；</w:t>
      </w:r>
    </w:p>
    <w:p>
      <w:r>
        <w:rPr>
          <w:sz w:val="21"/>
        </w:rPr>
        <w:t>2.</w:t>
      </w:r>
      <w:r>
        <w:rPr>
          <w:sz w:val="21"/>
        </w:rPr>
        <w:t>4.提供医养康养服务的，应配备执业医生、执业护士、康复治疗师、技师等专业人员；</w:t>
      </w:r>
    </w:p>
    <w:p>
      <w:r>
        <w:rPr>
          <w:sz w:val="21"/>
        </w:rPr>
        <w:t>2.</w:t>
      </w:r>
      <w:r>
        <w:rPr>
          <w:sz w:val="21"/>
        </w:rPr>
        <w:t>5.应配备具有财会专业教育背景或持有财会职业资格证书的人员管理财务；</w:t>
      </w:r>
    </w:p>
    <w:p>
      <w:r>
        <w:rPr>
          <w:sz w:val="21"/>
        </w:rPr>
        <w:t>2.</w:t>
      </w:r>
      <w:r>
        <w:rPr>
          <w:sz w:val="21"/>
        </w:rPr>
        <w:t>6.成交供应商应保障服务人员上岗前接受不少于10学时的岗前培训</w:t>
      </w:r>
      <w:r>
        <w:rPr>
          <w:sz w:val="20"/>
        </w:rPr>
        <w:t>，</w:t>
      </w:r>
      <w:r>
        <w:rPr>
          <w:sz w:val="21"/>
        </w:rPr>
        <w:t>每年在岗培训时间不少于</w:t>
      </w:r>
      <w:r>
        <w:rPr>
          <w:sz w:val="21"/>
        </w:rPr>
        <w:t>15学时。</w:t>
      </w:r>
    </w:p>
    <w:p>
      <w:r>
        <w:rPr>
          <w:sz w:val="21"/>
        </w:rPr>
        <w:t>（八）服务要求</w:t>
      </w:r>
    </w:p>
    <w:p>
      <w:r>
        <w:rPr>
          <w:sz w:val="21"/>
        </w:rPr>
        <w:t>1.对辖区内老年人的服务覆盖率达到100%。优先为社区居家养老服务资助对象、独居、高龄失能、计划生育特殊家庭等特殊困难老年人群提供服务；</w:t>
      </w:r>
    </w:p>
    <w:p>
      <w:r>
        <w:rPr>
          <w:sz w:val="21"/>
        </w:rPr>
        <w:t>2.提供的服务项目应参照广州市地方标准《广州市人民政府办公厅关于印发广州市居家社区养老服务管理办法的通知》的要求开展；</w:t>
      </w:r>
    </w:p>
    <w:p>
      <w:r>
        <w:rPr>
          <w:sz w:val="21"/>
        </w:rPr>
        <w:t>3.为服务对象制订详细具体的服务方案，并做好服务记录；</w:t>
      </w:r>
    </w:p>
    <w:p>
      <w:r>
        <w:rPr>
          <w:sz w:val="21"/>
        </w:rPr>
        <w:t>4.服务项目完成率达到100%，服务对象满意率达到80%及以上；</w:t>
      </w:r>
    </w:p>
    <w:p>
      <w:r>
        <w:rPr>
          <w:sz w:val="21"/>
        </w:rPr>
        <w:t>5.服务人员应遵循职业操守，按规定开展服务；</w:t>
      </w:r>
    </w:p>
    <w:p>
      <w:r>
        <w:rPr>
          <w:sz w:val="21"/>
        </w:rPr>
        <w:t>6.能有效管理社区居家养老服务相关文件和档案，真实完整记录并及时更新服务对象信息，保护个人信息安全，与服务对象的服务协议签约率及建档率达100%，能够根据服务对象的实际需求制订详细具体的服务方案，并做好服务记录。</w:t>
      </w:r>
    </w:p>
    <w:p>
      <w:r>
        <w:rPr>
          <w:sz w:val="21"/>
        </w:rPr>
        <w:t>（九）其他要求</w:t>
      </w:r>
    </w:p>
    <w:p>
      <w:pPr>
        <w:ind w:firstLine="420"/>
        <w:jc w:val="both"/>
      </w:pPr>
      <w:r>
        <w:rPr>
          <w:sz w:val="21"/>
        </w:rPr>
        <w:t>1.服务期间如市、区相关政策调整，重点服务对象人数、标准发生变化，乙方必须无条件接受，并严格按此要求执行。</w:t>
      </w:r>
    </w:p>
    <w:p>
      <w:pPr>
        <w:ind w:firstLine="420"/>
        <w:jc w:val="both"/>
      </w:pPr>
      <w:r>
        <w:rPr>
          <w:sz w:val="21"/>
        </w:rPr>
        <w:t>2.服务期间如遇到国家规定的广州市职工最低工资标准发生调整，甲方将不作任何调整，具体以广州市有关部门颁发的文件为准。</w:t>
      </w:r>
    </w:p>
    <w:p>
      <w:pPr>
        <w:ind w:firstLine="420"/>
        <w:jc w:val="both"/>
      </w:pPr>
      <w:r>
        <w:rPr>
          <w:sz w:val="21"/>
        </w:rPr>
        <w:t>3.服务期间，如财政拨款出现调整，双方另行商定。</w:t>
      </w:r>
    </w:p>
    <w:p>
      <w:pPr>
        <w:ind w:firstLine="420"/>
        <w:jc w:val="both"/>
      </w:pPr>
      <w:r>
        <w:rPr>
          <w:sz w:val="21"/>
        </w:rPr>
        <w:t>4.乙方如需要对服务设施进行改造，改造方案需先报甲方审核，经甲方同意后方可实施。</w:t>
      </w:r>
    </w:p>
    <w:p>
      <w:pPr>
        <w:ind w:firstLine="420"/>
        <w:jc w:val="both"/>
      </w:pPr>
      <w:r>
        <w:rPr>
          <w:sz w:val="21"/>
        </w:rPr>
        <w:t>5.服务期间如乙方在年度内的服务质量评估不合格的，甲方有权解除合同并不向乙方做任何赔偿或补偿。在解除合同至甲方确定接替的社区居家养老服务机构正式履行合同前，乙方仍要为原服务对象提供合同约定的服务，费用按实际人数及服务时间进行结算。合同履行完毕或解除合同后，乙方应与接替的居家养老服务机构做好服务内容、相关档案等的交接工作。</w:t>
      </w:r>
    </w:p>
    <w:p>
      <w:pPr>
        <w:ind w:firstLine="420"/>
        <w:jc w:val="both"/>
      </w:pPr>
      <w:r>
        <w:rPr>
          <w:sz w:val="21"/>
        </w:rPr>
        <w:t>6.甲方与乙方签订合同后15天内，乙方需按甲方要求完善同和街综合养老服务中心、社区颐康服务站、长者饭堂等标牌标识，相关费用由乙方承担。</w:t>
      </w:r>
    </w:p>
    <w:p>
      <w:pPr>
        <w:ind w:firstLine="420"/>
        <w:jc w:val="both"/>
      </w:pPr>
      <w:r>
        <w:rPr>
          <w:sz w:val="21"/>
        </w:rPr>
        <w:t>7.乙方应当按照建筑、消防、食品安全、医疗卫生等法律、法规和国家、省、市有关标准开展服务活动；应与服务对象签订服务协议，购买机构责任保险和场地险；须申请纳入长期护理保险协议定点服务机构，其内设医疗机构按规定纳入医保定点机构，便于为老年人提供综合性、全方位的养老服务。</w:t>
      </w:r>
    </w:p>
    <w:p>
      <w:pPr>
        <w:ind w:firstLine="420"/>
        <w:jc w:val="both"/>
      </w:pPr>
      <w:r>
        <w:rPr>
          <w:sz w:val="21"/>
        </w:rPr>
        <w:t>8.运营期间，乙方应守法经营，遵守国家的各项法律规定，遵守上级部门的管理公约，必须按有关部门要求认真落实安全生产工作，如因乙方原因（包括但不限于安全生产等工作落实不到位等）造成发生事故，或被有关行政主管部门处罚或者责令整改的，因此造成的一切损害损失及法律责任均由乙方承担。</w:t>
      </w:r>
    </w:p>
    <w:p>
      <w:pPr>
        <w:ind w:firstLine="420"/>
        <w:jc w:val="both"/>
      </w:pPr>
      <w:r>
        <w:rPr>
          <w:sz w:val="21"/>
        </w:rPr>
        <w:t>9.乙方不得以本项目的经营权向第三方进行分包、转包、担保、保证、抵押、融资、贷款或其他有损害甲方权益的行为。</w:t>
      </w:r>
    </w:p>
    <w:p>
      <w:pPr>
        <w:ind w:firstLine="420"/>
        <w:jc w:val="both"/>
      </w:pPr>
      <w:r>
        <w:rPr>
          <w:sz w:val="21"/>
        </w:rPr>
        <w:t>10.乙方应自行负责相关行政审批。运营期间未经甲方同意，乙方不得转租或改变经营项目。</w:t>
      </w:r>
    </w:p>
    <w:p>
      <w:pPr>
        <w:ind w:firstLine="420"/>
        <w:jc w:val="both"/>
      </w:pPr>
      <w:r>
        <w:rPr>
          <w:sz w:val="21"/>
        </w:rPr>
        <w:t>11.运营期间，不得发生欺老、虐老等违法行为，不得从事与养老服务无关的经营活动，不得利用本项目场地从事违法犯罪行为（包括但不限于生产、销售、经营国家规定的违禁品等），不得从事任何其他违法活动。乙方不得发行与本项目相关的商业预付卡，不得利用本项目的任何场地以产品展示的方式向服务对象推销所谓的保健食品或者保健器材等，如经发现上述任一情况的，甲方可视严重程度自行选择单方立即解除合同并按相关法律追究法律责任。运营期间，因乙方经营活动发生的一切纠纷，由乙方自行承担全部法律责任。</w:t>
      </w:r>
    </w:p>
    <w:p>
      <w:pPr>
        <w:ind w:firstLine="420"/>
        <w:jc w:val="both"/>
      </w:pPr>
      <w:r>
        <w:rPr>
          <w:sz w:val="21"/>
        </w:rPr>
        <w:t>12.如甲方或政府职能部门收到关于</w:t>
      </w:r>
      <w:r>
        <w:rPr>
          <w:sz w:val="21"/>
        </w:rPr>
        <w:t>乙方</w:t>
      </w:r>
      <w:r>
        <w:rPr>
          <w:sz w:val="21"/>
        </w:rPr>
        <w:t>违反建设、对老人存在暴力或不文明的行为的投诉或反映，甲方有权责令乙方在限期内改正，并依照相关的规定追究乙方的违约责任。</w:t>
      </w:r>
    </w:p>
    <w:p>
      <w:pPr>
        <w:ind w:firstLine="420"/>
        <w:jc w:val="both"/>
      </w:pPr>
      <w:r>
        <w:rPr>
          <w:sz w:val="21"/>
        </w:rPr>
        <w:t>13.</w:t>
      </w:r>
      <w:r>
        <w:rPr>
          <w:sz w:val="21"/>
        </w:rPr>
        <w:t>乙方</w:t>
      </w:r>
      <w:r>
        <w:rPr>
          <w:sz w:val="21"/>
        </w:rPr>
        <w:t>须于签订合同之日起开始运营综合养老服务中心（颐康中心）</w:t>
      </w:r>
      <w:r>
        <w:rPr>
          <w:sz w:val="21"/>
        </w:rPr>
        <w:t>。</w:t>
      </w:r>
    </w:p>
    <w:p>
      <w:pPr>
        <w:ind w:firstLine="420"/>
        <w:jc w:val="both"/>
      </w:pPr>
      <w:r>
        <w:rPr>
          <w:sz w:val="21"/>
        </w:rPr>
        <w:t>14.与乙方的特殊约定：</w:t>
      </w:r>
    </w:p>
    <w:p>
      <w:pPr>
        <w:ind w:firstLine="420"/>
        <w:jc w:val="both"/>
      </w:pPr>
      <w:r>
        <w:rPr>
          <w:sz w:val="21"/>
        </w:rPr>
        <w:t>（</w:t>
      </w:r>
      <w:r>
        <w:rPr>
          <w:sz w:val="21"/>
        </w:rPr>
        <w:t>1）颐康中心命名为“广州市白云区同和街综合养老服务中心（颐康中心）”并对外挂牌，由白云区民政局编号管理，乙方不得冠名。</w:t>
      </w:r>
    </w:p>
    <w:p>
      <w:pPr>
        <w:ind w:firstLine="420"/>
        <w:jc w:val="both"/>
      </w:pPr>
      <w:r>
        <w:rPr>
          <w:sz w:val="21"/>
        </w:rPr>
        <w:t>（</w:t>
      </w:r>
      <w:r>
        <w:rPr>
          <w:sz w:val="21"/>
        </w:rPr>
        <w:t>2）服务期间，如广州市、白云区关于养老服务的相关政策调整（包括但不限于居家社区养老政策、综合养老服务项目建设及运营政策等）、服务要求、场地建设和验收标准、重点服务对象人数、补贴标准发生变化等，乙方必须无条件接受，并严格按有关要求执行，乙方与甲方应根据最新政策签订补充协议，补充协议和原运营合同具有同等法律效力。（提供承诺函，格式自拟）</w:t>
      </w:r>
    </w:p>
    <w:p>
      <w:pPr>
        <w:ind w:firstLine="420"/>
        <w:jc w:val="left"/>
      </w:pPr>
      <w:r>
        <w:rPr>
          <w:sz w:val="21"/>
        </w:rPr>
        <w:t>（</w:t>
      </w:r>
      <w:r>
        <w:rPr>
          <w:sz w:val="21"/>
        </w:rPr>
        <w:t>3）服务期间，政府补助经费（包括但不限于颐康中心助餐配餐补贴、政府资助对象上门补助等经费）根据养老相关政策法规规定拨付，根据实际服务量进行结算。</w:t>
      </w:r>
    </w:p>
    <w:p>
      <w:r>
        <w:rPr>
          <w:sz w:val="21"/>
        </w:rPr>
        <w:t>（九）服务收费</w:t>
      </w:r>
    </w:p>
    <w:p>
      <w:r>
        <w:rPr>
          <w:sz w:val="21"/>
        </w:rPr>
        <w:t>1.成交供应商开展的服务项目费用按照《广州市社区居家养老服务项目清单与指导参考价（试行）》（穗居家养老服务指导中心办〔2018〕6号）的要求执行。</w:t>
      </w:r>
    </w:p>
    <w:p>
      <w:r>
        <w:rPr>
          <w:sz w:val="21"/>
        </w:rPr>
        <w:t>2.成交供应商收费标准必须向社会公开，公开载体包括各级人民政府或民政部门官方网站、成交供应商的网站、宣传栏等。</w:t>
      </w:r>
    </w:p>
    <w:p>
      <w:pPr>
        <w:jc w:val="both"/>
      </w:pPr>
      <w:r>
        <w:rPr>
          <w:b/>
          <w:sz w:val="21"/>
        </w:rPr>
        <w:t>三、绩效评估</w:t>
      </w:r>
    </w:p>
    <w:p>
      <w:pPr>
        <w:ind w:firstLine="420"/>
        <w:jc w:val="left"/>
      </w:pPr>
      <w:r>
        <w:rPr>
          <w:sz w:val="21"/>
        </w:rPr>
        <w:t>3.1甲方可根据合同约定的内容不定期对乙方进行抽查与评估。</w:t>
      </w:r>
    </w:p>
    <w:p>
      <w:pPr>
        <w:ind w:firstLine="420"/>
        <w:jc w:val="left"/>
      </w:pPr>
      <w:r>
        <w:rPr>
          <w:sz w:val="21"/>
        </w:rPr>
        <w:t xml:space="preserve">3.2乙方每运营满1年年末前须提交服务自评报告至甲方处，并由甲方递交给区居家养老服务指导中心，由区居家养老服务指导中心委托的第三方评估机依据《广州市社区居家养老服务评估指引（试行）》对乙方进行评估。           </w:t>
      </w:r>
    </w:p>
    <w:p>
      <w:pPr>
        <w:jc w:val="both"/>
      </w:pPr>
      <w:r>
        <w:rPr>
          <w:b/>
          <w:sz w:val="21"/>
        </w:rPr>
        <w:t>四、</w:t>
      </w:r>
      <w:r>
        <w:rPr>
          <w:b/>
          <w:sz w:val="21"/>
        </w:rPr>
        <w:t>各方权利与义务</w:t>
      </w:r>
    </w:p>
    <w:p>
      <w:pPr>
        <w:ind w:firstLine="422"/>
        <w:jc w:val="left"/>
      </w:pPr>
      <w:r>
        <w:rPr>
          <w:b/>
          <w:sz w:val="21"/>
        </w:rPr>
        <w:t>4.1甲方权利与义务</w:t>
      </w:r>
    </w:p>
    <w:p>
      <w:pPr>
        <w:ind w:firstLine="420"/>
        <w:jc w:val="left"/>
      </w:pPr>
      <w:r>
        <w:rPr>
          <w:sz w:val="21"/>
        </w:rPr>
        <w:t>4.1.1甲方有权对乙方的项目资金使用情况进行监督与检查。</w:t>
      </w:r>
    </w:p>
    <w:p>
      <w:pPr>
        <w:ind w:firstLine="420"/>
        <w:jc w:val="left"/>
      </w:pPr>
      <w:r>
        <w:rPr>
          <w:sz w:val="21"/>
        </w:rPr>
        <w:t>4.1.2甲方负责指导本项目工作，对乙方在项目运作过程中的工作进度、工作质量、制度落实等情况进行监督，必要时提出改进意见与建议。</w:t>
      </w:r>
    </w:p>
    <w:p>
      <w:pPr>
        <w:ind w:firstLine="420"/>
        <w:jc w:val="left"/>
      </w:pPr>
      <w:r>
        <w:rPr>
          <w:sz w:val="21"/>
        </w:rPr>
        <w:t>4.1.3甲方根据乙方的项目承接情况无偿或低偿为乙方提供开展服务所必需的设施设备。</w:t>
      </w:r>
    </w:p>
    <w:p>
      <w:pPr>
        <w:ind w:firstLine="420"/>
        <w:jc w:val="left"/>
      </w:pPr>
      <w:r>
        <w:rPr>
          <w:sz w:val="21"/>
        </w:rPr>
        <w:t>4.1.4甲方为乙方开展服务提供必要的协助和便利，及时传达社区居家养老服务相关政策。</w:t>
      </w:r>
    </w:p>
    <w:p>
      <w:pPr>
        <w:ind w:firstLine="420"/>
        <w:jc w:val="left"/>
      </w:pPr>
      <w:r>
        <w:rPr>
          <w:sz w:val="21"/>
        </w:rPr>
        <w:t>4.1.5甲方按照本合同要求向乙方支付合同款项。</w:t>
      </w:r>
    </w:p>
    <w:p>
      <w:pPr>
        <w:ind w:firstLine="430"/>
        <w:jc w:val="both"/>
      </w:pPr>
      <w:r>
        <w:rPr>
          <w:sz w:val="21"/>
        </w:rPr>
        <w:t>4.1.6 甲方有权制定、修订对本项目的考核制度和评分标准，对乙方的运营行为进行考核、评分，并根据考评结果作出相应的处理。</w:t>
      </w:r>
    </w:p>
    <w:p>
      <w:pPr>
        <w:ind w:firstLine="430"/>
        <w:jc w:val="both"/>
      </w:pPr>
      <w:r>
        <w:rPr>
          <w:sz w:val="21"/>
        </w:rPr>
        <w:t>4.1.7 运营期间发生安全卫生责任事故（包括但不限于消防事故、食品药品事故、人身安全事故等），或出现欺老虐老行为、伙食费未按照非营利性原则收取、未购买机构意外责任保险或入住对象满意率调查低于80%的，甲方有权停止发放资助，并责令限期整改，情节严重或者整改不达标，甲方有权按合同约定追究违约责任等。出现其他管理服务、安全稳定问题的，依据《广东省养老服务条例》、《养老机构管理办法》等相关规定予以处理。</w:t>
      </w:r>
    </w:p>
    <w:p>
      <w:pPr>
        <w:ind w:firstLine="422"/>
        <w:jc w:val="left"/>
      </w:pPr>
      <w:r>
        <w:rPr>
          <w:b/>
          <w:sz w:val="21"/>
        </w:rPr>
        <w:t>4.2乙方权利与义务</w:t>
      </w:r>
    </w:p>
    <w:p>
      <w:pPr>
        <w:ind w:firstLine="420"/>
        <w:jc w:val="left"/>
      </w:pPr>
      <w:r>
        <w:rPr>
          <w:sz w:val="21"/>
        </w:rPr>
        <w:t>4.2.1乙方可要求甲方按本合同的规定支付合同款项。</w:t>
      </w:r>
    </w:p>
    <w:p>
      <w:pPr>
        <w:ind w:firstLine="420"/>
        <w:jc w:val="left"/>
      </w:pPr>
      <w:r>
        <w:rPr>
          <w:sz w:val="21"/>
        </w:rPr>
        <w:t>4.2.2乙方可从甲方处获得必要的工作支持。</w:t>
      </w:r>
    </w:p>
    <w:p>
      <w:pPr>
        <w:ind w:firstLine="420"/>
        <w:jc w:val="left"/>
      </w:pPr>
      <w:r>
        <w:rPr>
          <w:sz w:val="21"/>
        </w:rPr>
        <w:t>4.2.3乙方须保证提供的信息真实有效。</w:t>
      </w:r>
    </w:p>
    <w:p>
      <w:pPr>
        <w:ind w:firstLine="420"/>
        <w:jc w:val="left"/>
      </w:pPr>
      <w:r>
        <w:rPr>
          <w:sz w:val="21"/>
        </w:rPr>
        <w:t>4.2.4乙方须配备足够的、具有专业资质的工作人员开展服务。乙方的工作人员应严格遵守服务机构的规章制度，尊重服务对象，运用专业知识和技巧开展服务。</w:t>
      </w:r>
    </w:p>
    <w:p>
      <w:pPr>
        <w:ind w:firstLine="420"/>
        <w:jc w:val="left"/>
      </w:pPr>
      <w:r>
        <w:rPr>
          <w:sz w:val="21"/>
        </w:rPr>
        <w:t>4.2.5乙方应定期向甲方反映服务开展情况，在项目评估前提供详细的自评报告，配合甲方及其他政府部门的监督与检查。严禁出现弄虚作假、伪造服务记录的行为。</w:t>
      </w:r>
    </w:p>
    <w:p>
      <w:pPr>
        <w:ind w:firstLine="420"/>
        <w:jc w:val="left"/>
      </w:pPr>
      <w:r>
        <w:rPr>
          <w:sz w:val="21"/>
        </w:rPr>
        <w:t>4.2.6乙方须严格按照相关财务管理规定使用项目资金，专款专用，并接受甲方及其他政府部门的监管。如乙方未能在合同期内完成全部项目的服务内容，合同结束后，应将相应款项返还甲方。</w:t>
      </w:r>
    </w:p>
    <w:p>
      <w:pPr>
        <w:ind w:firstLine="420"/>
        <w:jc w:val="left"/>
      </w:pPr>
      <w:r>
        <w:rPr>
          <w:sz w:val="21"/>
        </w:rPr>
        <w:t>4.2.7乙方在履行合同过程中，严禁将服务项目交由其他服务供应机构实际承担的转包行为。否则甲方有权单方解除合同，甲方无需向乙方支付合同款项，已支付的款项，乙方应向甲方全部返还。</w:t>
      </w:r>
    </w:p>
    <w:p>
      <w:pPr>
        <w:ind w:firstLine="420"/>
        <w:jc w:val="left"/>
      </w:pPr>
      <w:r>
        <w:rPr>
          <w:sz w:val="21"/>
        </w:rPr>
        <w:t>4.2.8乙方应妥善使用并管理甲方提供的设施设备，应建立使用登记制度。乙方自行支付水费、电费、活动开展经费、公共场地意外责任保险及设施设备维护等费用。委托期满后，乙方应按移交清单向甲方返还等额数量、能正常使用的设施设备。如有损坏，乙方应照价赔偿。</w:t>
      </w:r>
    </w:p>
    <w:p>
      <w:pPr>
        <w:ind w:firstLine="420"/>
        <w:jc w:val="both"/>
      </w:pPr>
      <w:r>
        <w:rPr>
          <w:sz w:val="21"/>
        </w:rPr>
        <w:t>4.2.9乙方须对本项目涉及服务对象的个人相关信息进行保密，未经服务对象或其法定监护人书面许可，不得对外披露，不得以任何形式提供给第三方，不得在参与本项目工作之外使用这些保密信息。</w:t>
      </w:r>
    </w:p>
    <w:p>
      <w:pPr>
        <w:ind w:firstLine="420"/>
        <w:jc w:val="both"/>
      </w:pPr>
      <w:r>
        <w:rPr>
          <w:sz w:val="21"/>
        </w:rPr>
        <w:t>4.2.10乙方在本项目终止后不得保留以任何形式存储的服务对象的任何信息数据，不得利用该项目之保密信息数据为其他的单位（包括自办单位）或项目服务。</w:t>
      </w:r>
    </w:p>
    <w:p>
      <w:pPr>
        <w:ind w:firstLine="420"/>
        <w:jc w:val="left"/>
      </w:pPr>
      <w:r>
        <w:rPr>
          <w:sz w:val="21"/>
        </w:rPr>
        <w:t>4.2.11本合同期内或本合同结束，乙方暂停或终止服务的，应当配合甲方进行服务交接工作。</w:t>
      </w:r>
    </w:p>
    <w:p>
      <w:r>
        <w:rPr>
          <w:b/>
          <w:sz w:val="21"/>
        </w:rPr>
        <w:t>五、合同变更与解除</w:t>
      </w:r>
    </w:p>
    <w:p>
      <w:r>
        <w:rPr>
          <w:sz w:val="21"/>
        </w:rPr>
        <w:t>5.1合同的变更</w:t>
      </w:r>
    </w:p>
    <w:p>
      <w:r>
        <w:rPr>
          <w:sz w:val="21"/>
        </w:rPr>
        <w:t>因本合同相关政策发生变化的，甲方可以提出合同的变更，并以书面形式通知乙方，</w:t>
      </w:r>
      <w:r>
        <w:rPr>
          <w:sz w:val="21"/>
        </w:rPr>
        <w:t>双方</w:t>
      </w:r>
      <w:r>
        <w:rPr>
          <w:sz w:val="21"/>
        </w:rPr>
        <w:t>签署补充协议。</w:t>
      </w:r>
    </w:p>
    <w:p>
      <w:r>
        <w:rPr>
          <w:sz w:val="21"/>
        </w:rPr>
        <w:t>5.2合同的解除</w:t>
      </w:r>
    </w:p>
    <w:p>
      <w:r>
        <w:rPr>
          <w:sz w:val="21"/>
        </w:rPr>
        <w:t>5.2.1在合同履行过程中，具有以下情形的，甲方有权单方面解除合同，并无需承担违约责任：</w:t>
      </w:r>
    </w:p>
    <w:p>
      <w:r>
        <w:rPr>
          <w:sz w:val="21"/>
        </w:rPr>
        <w:t>（</w:t>
      </w:r>
      <w:r>
        <w:rPr>
          <w:sz w:val="21"/>
        </w:rPr>
        <w:t>1）甲方能提供有效证据证明乙方有违法</w:t>
      </w:r>
      <w:r>
        <w:rPr>
          <w:sz w:val="21"/>
        </w:rPr>
        <w:t>、</w:t>
      </w:r>
      <w:r>
        <w:rPr>
          <w:sz w:val="21"/>
        </w:rPr>
        <w:t>违约</w:t>
      </w:r>
      <w:r>
        <w:rPr>
          <w:sz w:val="21"/>
        </w:rPr>
        <w:t>或损害公共利益</w:t>
      </w:r>
      <w:r>
        <w:rPr>
          <w:sz w:val="21"/>
        </w:rPr>
        <w:t>行为的；</w:t>
      </w:r>
    </w:p>
    <w:p>
      <w:r>
        <w:rPr>
          <w:sz w:val="21"/>
        </w:rPr>
        <w:t>（</w:t>
      </w:r>
      <w:r>
        <w:rPr>
          <w:sz w:val="21"/>
        </w:rPr>
        <w:t>2）经区居家养老服务指导中心的考核评估，乙方未达到相应标准，</w:t>
      </w:r>
      <w:r>
        <w:rPr>
          <w:sz w:val="21"/>
        </w:rPr>
        <w:t>乙方未按时整改或</w:t>
      </w:r>
      <w:r>
        <w:rPr>
          <w:sz w:val="21"/>
        </w:rPr>
        <w:t>甲方督促整改后仍不合格的；</w:t>
      </w:r>
    </w:p>
    <w:p>
      <w:r>
        <w:rPr>
          <w:sz w:val="21"/>
        </w:rPr>
        <w:t>（</w:t>
      </w:r>
      <w:r>
        <w:rPr>
          <w:sz w:val="21"/>
        </w:rPr>
        <w:t>3）乙方未经甲方书面同意，将本合同服务项目转包给第三方或与第三方合伙经营的；</w:t>
      </w:r>
    </w:p>
    <w:p>
      <w:r>
        <w:rPr>
          <w:sz w:val="21"/>
        </w:rPr>
        <w:t>（</w:t>
      </w:r>
      <w:r>
        <w:rPr>
          <w:sz w:val="21"/>
        </w:rPr>
        <w:t>4）乙方将本项目经营权向第三方作为担保、保证、抵押或的；</w:t>
      </w:r>
    </w:p>
    <w:p>
      <w:r>
        <w:rPr>
          <w:sz w:val="21"/>
        </w:rPr>
        <w:t>（</w:t>
      </w:r>
      <w:r>
        <w:rPr>
          <w:sz w:val="21"/>
        </w:rPr>
        <w:t>5）乙方以本项目场地的资产进行抵押、融资、贷款的；</w:t>
      </w:r>
    </w:p>
    <w:p>
      <w:r>
        <w:rPr>
          <w:sz w:val="21"/>
        </w:rPr>
        <w:t>（</w:t>
      </w:r>
      <w:r>
        <w:rPr>
          <w:sz w:val="21"/>
        </w:rPr>
        <w:t>6）乙方违反合同约定的收费标准进行收费或违反捐赠管理制度，造成严重后果的；</w:t>
      </w:r>
    </w:p>
    <w:p>
      <w:r>
        <w:rPr>
          <w:sz w:val="21"/>
        </w:rPr>
        <w:t>（</w:t>
      </w:r>
      <w:r>
        <w:rPr>
          <w:sz w:val="21"/>
        </w:rPr>
        <w:t>7</w:t>
      </w:r>
      <w:r>
        <w:rPr>
          <w:sz w:val="21"/>
        </w:rPr>
        <w:t>）经甲方查证，乙方有伪造服务记录或挤占、挪用、滥用该合同款项行为的</w:t>
      </w:r>
      <w:r>
        <w:rPr>
          <w:sz w:val="21"/>
        </w:rPr>
        <w:t>；</w:t>
      </w:r>
    </w:p>
    <w:p>
      <w:r>
        <w:rPr>
          <w:sz w:val="21"/>
        </w:rPr>
        <w:t>（</w:t>
      </w:r>
      <w:r>
        <w:rPr>
          <w:sz w:val="21"/>
        </w:rPr>
        <w:t>8）未经甲方同意，擅自变更法定代表人或运营方的；</w:t>
      </w:r>
    </w:p>
    <w:p>
      <w:r>
        <w:rPr>
          <w:sz w:val="21"/>
        </w:rPr>
        <w:t>（</w:t>
      </w:r>
      <w:r>
        <w:rPr>
          <w:sz w:val="21"/>
        </w:rPr>
        <w:t>9）乙方擅自改变自身的经营范围的；</w:t>
      </w:r>
    </w:p>
    <w:p>
      <w:r>
        <w:rPr>
          <w:sz w:val="21"/>
        </w:rPr>
        <w:t>（</w:t>
      </w:r>
      <w:r>
        <w:rPr>
          <w:sz w:val="21"/>
        </w:rPr>
        <w:t>10）乙方故意损毁设施或改变设施用途的，无法保障养老机构设施、设备正常运转的；</w:t>
      </w:r>
    </w:p>
    <w:p>
      <w:r>
        <w:rPr>
          <w:sz w:val="21"/>
        </w:rPr>
        <w:t>（</w:t>
      </w:r>
      <w:r>
        <w:rPr>
          <w:sz w:val="21"/>
        </w:rPr>
        <w:t>11）造成重大安全事故的；</w:t>
      </w:r>
    </w:p>
    <w:p>
      <w:r>
        <w:rPr>
          <w:sz w:val="21"/>
        </w:rPr>
        <w:t>（</w:t>
      </w:r>
      <w:r>
        <w:rPr>
          <w:sz w:val="21"/>
        </w:rPr>
        <w:t>12）乙方经营资质降级或丧失的；</w:t>
      </w:r>
    </w:p>
    <w:p>
      <w:r>
        <w:rPr>
          <w:sz w:val="21"/>
        </w:rPr>
        <w:t>（</w:t>
      </w:r>
      <w:r>
        <w:rPr>
          <w:sz w:val="21"/>
        </w:rPr>
        <w:t>13）违反国家法律法规、违反合同的其他情形。</w:t>
      </w:r>
    </w:p>
    <w:p>
      <w:r>
        <w:rPr>
          <w:sz w:val="21"/>
        </w:rPr>
        <w:t>5.2.2协商解除</w:t>
      </w:r>
    </w:p>
    <w:p>
      <w:r>
        <w:rPr>
          <w:sz w:val="21"/>
        </w:rPr>
        <w:t>（</w:t>
      </w:r>
      <w:r>
        <w:rPr>
          <w:sz w:val="21"/>
        </w:rPr>
        <w:t>1）因本合同相关政策原因导致双方无法继续履行合同的，双方可协商解除该合同，甲方按乙方实际提供的服务量结算费用；</w:t>
      </w:r>
    </w:p>
    <w:p>
      <w:r>
        <w:rPr>
          <w:sz w:val="21"/>
        </w:rPr>
        <w:t>（</w:t>
      </w:r>
      <w:r>
        <w:rPr>
          <w:sz w:val="21"/>
        </w:rPr>
        <w:t>2）在合同履行过程中，非因违约行为，双方经过友好协商解除该合同的，乙方退还甲方提供的剩余资源；</w:t>
      </w:r>
    </w:p>
    <w:p>
      <w:r>
        <w:rPr>
          <w:sz w:val="21"/>
        </w:rPr>
        <w:t>（</w:t>
      </w:r>
      <w:r>
        <w:rPr>
          <w:sz w:val="21"/>
        </w:rPr>
        <w:t>3）本合同期满，合同自然结束。</w:t>
      </w:r>
    </w:p>
    <w:p>
      <w:r>
        <w:rPr>
          <w:sz w:val="21"/>
        </w:rPr>
        <w:t xml:space="preserve">5.3合同解除或终止的交接工作  </w:t>
      </w:r>
    </w:p>
    <w:p>
      <w:r>
        <w:rPr>
          <w:sz w:val="21"/>
        </w:rPr>
        <w:t>合同终止或提前解除的，乙方应及时做好机构交接工作，保障机构正常运营或入住老人妥善安置，双方应在合同终止或解除</w:t>
      </w:r>
      <w:r>
        <w:rPr>
          <w:sz w:val="21"/>
        </w:rPr>
        <w:t>60日前向白云区民政部门提交终止、解除合同情况报告及入住对象安置方案，经批准后实施。</w:t>
      </w:r>
    </w:p>
    <w:p>
      <w:pPr>
        <w:jc w:val="left"/>
      </w:pPr>
      <w:r>
        <w:rPr>
          <w:b/>
          <w:sz w:val="21"/>
        </w:rPr>
        <w:t>六、保密条款</w:t>
      </w:r>
    </w:p>
    <w:p>
      <w:pPr>
        <w:ind w:firstLine="420"/>
        <w:jc w:val="both"/>
      </w:pPr>
      <w:r>
        <w:rPr>
          <w:sz w:val="21"/>
        </w:rPr>
        <w:t>6.</w:t>
      </w:r>
      <w:r>
        <w:rPr>
          <w:sz w:val="21"/>
        </w:rPr>
        <w:t>1.乙方及其相关工作人员须对本项目涉及服务对象的个人相关信息、合作过程中形成或者接触到相关资料和信息、本合同的信息进行保密，，不得对外披露，不得以任何形式提供给第三方，不得在参与本项目工作之外使用这些保密信息。</w:t>
      </w:r>
    </w:p>
    <w:p>
      <w:pPr>
        <w:ind w:firstLine="420"/>
        <w:jc w:val="both"/>
      </w:pPr>
      <w:r>
        <w:rPr>
          <w:sz w:val="21"/>
        </w:rPr>
        <w:t>6.</w:t>
      </w:r>
      <w:r>
        <w:rPr>
          <w:sz w:val="21"/>
        </w:rPr>
        <w:t>2.保密义务在本合同期满、解除或终止后仍然有效，乙方不得向第三方披露，同时乙方不得保留以任何形式存储的服务对象的任何信息数据，不得利用该项目之保密信息数据为其他的单位（包括自办单位）或项目服务。若乙方违反保密义务，应赔偿由此造成甲方的全部经济损失。</w:t>
      </w:r>
    </w:p>
    <w:p/>
    <w:p>
      <w:r>
        <w:rPr>
          <w:b/>
          <w:sz w:val="21"/>
        </w:rPr>
        <w:t>七、违约责任</w:t>
      </w:r>
    </w:p>
    <w:p>
      <w:pPr>
        <w:ind w:firstLine="420"/>
      </w:pPr>
      <w:r>
        <w:rPr>
          <w:sz w:val="21"/>
        </w:rPr>
        <w:t>7</w:t>
      </w:r>
      <w:r>
        <w:rPr>
          <w:sz w:val="21"/>
        </w:rPr>
        <w:t>.1</w:t>
      </w:r>
      <w:r>
        <w:rPr>
          <w:sz w:val="21"/>
        </w:rPr>
        <w:t xml:space="preserve"> </w:t>
      </w:r>
      <w:r>
        <w:rPr>
          <w:sz w:val="21"/>
        </w:rPr>
        <w:t>乙方出现违反本合同之约定时，甲方有权停止支付相应的资金或款项，追回已拨付的资金</w:t>
      </w:r>
      <w:r>
        <w:rPr>
          <w:sz w:val="21"/>
        </w:rPr>
        <w:t>/款项，要求乙方支付违约金，还应承担甲方因此支出的律师费、担保费、保全费、诉讼费、公证费、公告费、调查费、差旅费等费用。。</w:t>
      </w:r>
    </w:p>
    <w:p>
      <w:r>
        <w:rPr>
          <w:sz w:val="21"/>
        </w:rPr>
        <w:t>7</w:t>
      </w:r>
      <w:r>
        <w:rPr>
          <w:sz w:val="21"/>
        </w:rPr>
        <w:t>.2 乙方违反本合同之第五条第5.2款的规定，导致合同解除的，甲方有权按照上述6.1之条款追究违约责任，并由乙方按照合同总金额的   %支付违约金。</w:t>
      </w:r>
    </w:p>
    <w:p>
      <w:r>
        <w:rPr>
          <w:sz w:val="21"/>
        </w:rPr>
        <w:t>7</w:t>
      </w:r>
      <w:r>
        <w:rPr>
          <w:sz w:val="21"/>
        </w:rPr>
        <w:t>.</w:t>
      </w:r>
      <w:r>
        <w:rPr>
          <w:sz w:val="21"/>
        </w:rPr>
        <w:t>3</w:t>
      </w:r>
      <w:r>
        <w:rPr>
          <w:sz w:val="21"/>
        </w:rPr>
        <w:t>在履行合同过程中，乙方所提供的服务未达到合同要求的，甲方提出书面限期整改通知，乙方应当按照书面意见进行整改。书面限期整改通知累计达三次，乙方未按要求整改的；或乙方被投诉，经核实有效而未及时采取积极措施改进累计达三次的，甲方有权</w:t>
      </w:r>
      <w:r>
        <w:rPr>
          <w:sz w:val="21"/>
        </w:rPr>
        <w:t>解除</w:t>
      </w:r>
      <w:r>
        <w:rPr>
          <w:sz w:val="21"/>
        </w:rPr>
        <w:t>合同，由此造成甲方的经济损失，乙方应予以赔偿</w:t>
      </w:r>
      <w:r>
        <w:rPr>
          <w:sz w:val="21"/>
        </w:rPr>
        <w:t>，甲方有权按照上述</w:t>
      </w:r>
      <w:r>
        <w:rPr>
          <w:sz w:val="21"/>
        </w:rPr>
        <w:t>6.1之条款追究违约责任，并由乙方按照合同总金额的   %支付违约金。</w:t>
      </w:r>
    </w:p>
    <w:p>
      <w:r>
        <w:rPr>
          <w:sz w:val="21"/>
        </w:rPr>
        <w:t>7</w:t>
      </w:r>
      <w:r>
        <w:rPr>
          <w:sz w:val="21"/>
        </w:rPr>
        <w:t>.</w:t>
      </w:r>
      <w:r>
        <w:rPr>
          <w:sz w:val="21"/>
        </w:rPr>
        <w:t>4</w:t>
      </w:r>
      <w:r>
        <w:rPr>
          <w:sz w:val="21"/>
        </w:rPr>
        <w:t>在履行合同过程中，乙方的年度评估定级不合格的，由区居家养老服务指导中心督促整改。整改后仍不合格的</w:t>
      </w:r>
      <w:r>
        <w:rPr>
          <w:sz w:val="21"/>
        </w:rPr>
        <w:t>或者未按时整改的</w:t>
      </w:r>
      <w:r>
        <w:rPr>
          <w:sz w:val="21"/>
        </w:rPr>
        <w:t>，由甲方终止合同，乙方在</w:t>
      </w:r>
      <w:r>
        <w:rPr>
          <w:sz w:val="21"/>
        </w:rPr>
        <w:t>2年内不得参与政府购买社区居家养老服务项目采购。</w:t>
      </w:r>
    </w:p>
    <w:p>
      <w:pPr>
        <w:ind w:firstLine="400"/>
      </w:pPr>
      <w:r>
        <w:rPr>
          <w:sz w:val="21"/>
        </w:rPr>
        <w:t>7</w:t>
      </w:r>
      <w:r>
        <w:rPr>
          <w:sz w:val="21"/>
        </w:rPr>
        <w:t>.5因广州市财政体制改革或其他不可抗力导致项目中断或变化的，不属于违约范畴。</w:t>
      </w:r>
    </w:p>
    <w:p>
      <w:r>
        <w:rPr>
          <w:b/>
          <w:sz w:val="21"/>
        </w:rPr>
        <w:t>八、争议解决条款</w:t>
      </w:r>
    </w:p>
    <w:p>
      <w:pPr>
        <w:ind w:firstLine="420"/>
        <w:jc w:val="left"/>
      </w:pPr>
      <w:r>
        <w:rPr>
          <w:sz w:val="21"/>
        </w:rPr>
        <w:t>本合同在履行过程中发生争议，由甲、乙双方协商解决，协商不成的，可以向甲方所在地人民法院提起诉讼。</w:t>
      </w:r>
    </w:p>
    <w:p>
      <w:pPr>
        <w:jc w:val="left"/>
      </w:pPr>
      <w:r>
        <w:rPr>
          <w:b/>
          <w:sz w:val="21"/>
        </w:rPr>
        <w:t>九、不可抗力条款</w:t>
      </w:r>
    </w:p>
    <w:p>
      <w:pPr>
        <w:ind w:firstLine="420"/>
        <w:jc w:val="both"/>
      </w:pPr>
      <w:r>
        <w:rPr>
          <w:sz w:val="21"/>
        </w:rPr>
        <w:t>因不可抗力或者政府政策原因导致不能履行合同的，受到不可抗力影响的一方可根据不可抗力的影响，部分或者全部免除责任，但受到不可抗力事件影响的一方应在不可抗力情形发生后根据具体情形及时（最迟不超过</w:t>
      </w:r>
      <w:r>
        <w:rPr>
          <w:sz w:val="21"/>
        </w:rPr>
        <w:t>2个自然日）书面通知甲方，并提供相关证明；同时有责任尽一切合理的努力消除或减轻此等不可抗力事件的影响。自甲方收到乙方不可抗力书面通知之日起，甲乙双方应于一个月内通过友好协商决定如何执行本协议。</w:t>
      </w:r>
    </w:p>
    <w:p>
      <w:pPr>
        <w:jc w:val="both"/>
      </w:pPr>
      <w:r>
        <w:rPr>
          <w:b/>
          <w:sz w:val="21"/>
        </w:rPr>
        <w:t>十、送达条款</w:t>
      </w:r>
    </w:p>
    <w:p>
      <w:pPr>
        <w:ind w:firstLine="420"/>
        <w:jc w:val="both"/>
      </w:pPr>
      <w:r>
        <w:rPr>
          <w:sz w:val="21"/>
        </w:rPr>
        <w:t>本合同项下任何一方向对方发出的通知、文件、资料等，应当以书面形式通过</w:t>
      </w:r>
      <w:r>
        <w:rPr>
          <w:sz w:val="21"/>
        </w:rPr>
        <w:t xml:space="preserve">       </w:t>
      </w:r>
      <w:r>
        <w:rPr>
          <w:sz w:val="21"/>
        </w:rPr>
        <w:t>（如：邮寄、邮箱等）送达至本合同约定的送达地址（邮寄地址：</w:t>
      </w:r>
      <w:r>
        <w:rPr>
          <w:sz w:val="21"/>
        </w:rPr>
        <w:t xml:space="preserve">          </w:t>
      </w:r>
      <w:r>
        <w:rPr>
          <w:sz w:val="21"/>
        </w:rPr>
        <w:t>；邮箱地址：</w:t>
      </w:r>
      <w:r>
        <w:rPr>
          <w:sz w:val="21"/>
        </w:rPr>
        <w:t xml:space="preserve">       </w:t>
      </w:r>
      <w:r>
        <w:rPr>
          <w:sz w:val="21"/>
        </w:rPr>
        <w:t>；联系电话：</w:t>
      </w:r>
      <w:r>
        <w:rPr>
          <w:sz w:val="21"/>
        </w:rPr>
        <w:t xml:space="preserve">        </w:t>
      </w:r>
      <w:r>
        <w:rPr>
          <w:sz w:val="21"/>
        </w:rPr>
        <w:t>）。一方变更送达地址、联系方式的，应当及时书面通知另一方，未履行书面通知义务的，一方按原地址邮寄相关材料或通知相关信息即视为已履行送达义务。合同送达条款为独立条款，不受合同整体或其他条款的效力的影响。</w:t>
      </w:r>
    </w:p>
    <w:p>
      <w:pPr>
        <w:jc w:val="both"/>
      </w:pPr>
      <w:r>
        <w:rPr>
          <w:b/>
          <w:sz w:val="21"/>
        </w:rPr>
        <w:t>十一、合同生效条款及附件。</w:t>
      </w:r>
    </w:p>
    <w:p>
      <w:pPr>
        <w:ind w:firstLine="420"/>
        <w:jc w:val="both"/>
      </w:pPr>
      <w:r>
        <w:rPr>
          <w:sz w:val="21"/>
        </w:rPr>
        <w:t>11.1本合同一式    份，甲、乙双方各执    份.本合同自双方法定代表人或授权代表签字并加盖公章之日起生效。本合同未尽事宜，由双方协商解决并签订补充合同，本合同正文、附件、补充合同均为本合同有效组成部分，具有同等法律效力。</w:t>
      </w:r>
    </w:p>
    <w:p>
      <w:pPr>
        <w:ind w:firstLine="420"/>
        <w:jc w:val="both"/>
      </w:pPr>
      <w:r>
        <w:rPr>
          <w:sz w:val="21"/>
        </w:rPr>
        <w:t>11.2合同期限为    年/月，自   年   月   日起至     年   月   日止。</w:t>
      </w:r>
    </w:p>
    <w:p>
      <w:pPr>
        <w:ind w:firstLine="420"/>
        <w:jc w:val="both"/>
      </w:pPr>
      <w:r>
        <w:rPr>
          <w:sz w:val="21"/>
        </w:rPr>
        <w:t>11.3下列文件为本合同附件：</w:t>
      </w:r>
    </w:p>
    <w:p>
      <w:pPr>
        <w:ind w:firstLine="420"/>
        <w:jc w:val="both"/>
      </w:pPr>
      <w:r>
        <w:rPr>
          <w:sz w:val="21"/>
        </w:rPr>
        <w:t>1）加盖乙方公章的乙方合法注册登记文件复印件</w:t>
      </w:r>
    </w:p>
    <w:p>
      <w:pPr>
        <w:ind w:firstLine="420"/>
        <w:jc w:val="both"/>
      </w:pPr>
      <w:r>
        <w:rPr>
          <w:sz w:val="21"/>
        </w:rPr>
        <w:t>2）加盖甲方公章的年度服务具体量化指标表</w:t>
      </w:r>
    </w:p>
    <w:p>
      <w:pPr>
        <w:ind w:firstLine="420"/>
        <w:jc w:val="both"/>
      </w:pPr>
      <w:r>
        <w:rPr>
          <w:sz w:val="21"/>
        </w:rPr>
        <w:t>3）设施设备移交清单</w:t>
      </w:r>
    </w:p>
    <w:p>
      <w:pPr>
        <w:ind w:firstLine="420"/>
        <w:jc w:val="both"/>
      </w:pPr>
      <w:r>
        <w:rPr>
          <w:sz w:val="21"/>
        </w:rPr>
        <w:t xml:space="preserve">4）其他附件：          </w:t>
      </w:r>
    </w:p>
    <w:p>
      <w:pPr>
        <w:ind w:firstLine="420"/>
        <w:jc w:val="both"/>
      </w:pPr>
    </w:p>
    <w:p>
      <w:pPr>
        <w:ind w:firstLine="420"/>
        <w:jc w:val="both"/>
      </w:pPr>
    </w:p>
    <w:p>
      <w:pPr>
        <w:jc w:val="both"/>
      </w:pPr>
    </w:p>
    <w:p>
      <w:pPr>
        <w:jc w:val="both"/>
      </w:pPr>
    </w:p>
    <w:p>
      <w:pPr>
        <w:jc w:val="both"/>
      </w:pPr>
    </w:p>
    <w:p>
      <w:pPr>
        <w:ind w:firstLine="420"/>
        <w:jc w:val="both"/>
      </w:pPr>
      <w:r>
        <w:rPr>
          <w:sz w:val="21"/>
        </w:rPr>
        <w:t>（本文以下无正文）</w:t>
      </w:r>
    </w:p>
    <w:p>
      <w:pPr>
        <w:ind w:firstLine="420"/>
        <w:jc w:val="both"/>
      </w:pPr>
    </w:p>
    <w:p>
      <w:pPr>
        <w:ind w:firstLine="420"/>
        <w:jc w:val="both"/>
      </w:pPr>
    </w:p>
    <w:p>
      <w:pPr>
        <w:jc w:val="both"/>
      </w:pPr>
      <w:r>
        <w:rPr>
          <w:sz w:val="21"/>
        </w:rPr>
        <w:t>甲方：</w:t>
      </w:r>
      <w:r>
        <w:rPr>
          <w:sz w:val="21"/>
        </w:rPr>
        <w:t xml:space="preserve"> </w:t>
      </w:r>
      <w:r>
        <w:rPr>
          <w:sz w:val="21"/>
        </w:rPr>
        <w:t>（公章）</w:t>
      </w:r>
    </w:p>
    <w:p>
      <w:pPr>
        <w:jc w:val="both"/>
      </w:pPr>
      <w:r>
        <w:rPr>
          <w:sz w:val="21"/>
        </w:rPr>
        <w:t>法定代表人或授权代表（签字）：</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r>
        <w:rPr>
          <w:sz w:val="21"/>
        </w:rPr>
        <w:t>乙方：</w:t>
      </w:r>
      <w:r>
        <w:rPr>
          <w:sz w:val="21"/>
        </w:rPr>
        <w:t xml:space="preserve"> </w:t>
      </w:r>
      <w:r>
        <w:rPr>
          <w:sz w:val="21"/>
        </w:rPr>
        <w:t>（公章）</w:t>
      </w:r>
    </w:p>
    <w:p>
      <w:pPr>
        <w:jc w:val="both"/>
      </w:pPr>
      <w:r>
        <w:rPr>
          <w:sz w:val="21"/>
        </w:rPr>
        <w:t>法定代表人或授权代表（签字）：</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440111-2024-00357</w:t>
      </w:r>
    </w:p>
    <w:p>
      <w:pPr>
        <w:jc w:val="center"/>
      </w:pPr>
      <w:r>
        <w:rPr>
          <w:b/>
          <w:sz w:val="24"/>
        </w:rPr>
        <w:t>采购项目编号：</w:t>
      </w:r>
      <w:r>
        <w:rPr>
          <w:b/>
          <w:sz w:val="24"/>
        </w:rPr>
        <w:t>GZGK23D316C0988C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2024-2026年同和街综合养老服务中心（颐康中心）政府采购项目</w:t>
      </w:r>
      <w:r>
        <w:rPr>
          <w:u w:val="single"/>
        </w:rPr>
        <w:t>”</w:t>
      </w:r>
      <w:r>
        <w:rPr/>
        <w:t>项目的竞争性磋商[采购项目编号为：</w:t>
      </w:r>
      <w:r>
        <w:rPr>
          <w:u w:val="single"/>
        </w:rPr>
        <w:t>GZGK23D316C0988C</w:t>
      </w:r>
      <w:r>
        <w:rPr/>
        <w:t>]，我方愿参与响应。</w:t>
      </w:r>
    </w:p>
    <w:p>
      <w:pPr>
        <w:ind w:firstLine="480"/>
      </w:pPr>
      <w:r>
        <w:rPr/>
        <w:t>我方确认收到贵方提供的</w:t>
      </w:r>
      <w:r>
        <w:rPr>
          <w:u w:val="single"/>
        </w:rPr>
        <w:t>“</w:t>
      </w:r>
      <w:r>
        <w:rPr>
          <w:u w:val="single"/>
        </w:rPr>
        <w:t>2024-2026年同和街综合养老服务中心（颐康中心）政府采购项目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2024-2026年同和街综合养老服务中心（颐康中心）政府采购项目</w:t>
      </w:r>
      <w:r>
        <w:rPr/>
        <w:t>”项目采购[采购项目编号为</w:t>
      </w:r>
      <w:r>
        <w:rPr/>
        <w:t>GZGK23D316C0988C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广州市白云区人民政府同和街道办事处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2024-2026年同和街综合养老服务中心（颐康中心）政府采购项目</w:t>
      </w:r>
      <w:r>
        <w:rPr/>
        <w:t>（采购项目编号：</w:t>
      </w:r>
      <w:r>
        <w:rPr/>
        <w:t>GZGK23D316C0988C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