
<file path=[Content_Types].xml><?xml version="1.0" encoding="utf-8"?>
<Types xmlns="http://schemas.openxmlformats.org/package/2006/content-types">
  <Default ContentType="image/jpeg" Extension="jpe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440001-2023-25532</w:t>
      </w:r>
    </w:p>
    <w:p>
      <w:pPr>
        <w:jc w:val="center"/>
      </w:pPr>
      <w:r>
        <w:rPr>
          <w:b/>
          <w:sz w:val="24"/>
        </w:rPr>
        <w:t>采购项目编号：</w:t>
      </w:r>
      <w:r>
        <w:rPr>
          <w:b/>
          <w:sz w:val="24"/>
        </w:rPr>
        <w:t>GZGK23P111A0370Z</w:t>
      </w:r>
    </w:p>
    <w:p>
      <w:pPr>
        <w:jc w:val="center"/>
      </w:pPr>
      <w:r>
        <w:rPr>
          <w:b/>
          <w:sz w:val="24"/>
        </w:rPr>
        <w:t>项目名称：</w:t>
      </w:r>
      <w:r>
        <w:rPr>
          <w:b/>
          <w:sz w:val="24"/>
        </w:rPr>
        <w:t>肇庆学院云计算与人工智能实验室项目</w:t>
      </w:r>
    </w:p>
    <w:p>
      <w:pPr>
        <w:jc w:val="center"/>
      </w:pPr>
      <w:r>
        <w:rPr>
          <w:b/>
          <w:sz w:val="24"/>
        </w:rPr>
        <w:t>采购人：</w:t>
      </w:r>
      <w:r>
        <w:rPr>
          <w:b/>
          <w:sz w:val="24"/>
        </w:rPr>
        <w:t>肇庆学院</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第一章投标邀请</w:t>
      </w:r>
    </w:p>
    <w:p>
      <w:pPr>
        <w:ind w:firstLine="480"/>
      </w:pPr>
      <w:r>
        <w:rPr/>
        <w:t>广州市国科招标代理有限公司</w:t>
      </w:r>
      <w:r>
        <w:rPr/>
        <w:t>受</w:t>
      </w:r>
      <w:r>
        <w:rPr/>
        <w:t>肇庆学院</w:t>
      </w:r>
      <w:r>
        <w:rPr/>
        <w:t>的委托，采用</w:t>
      </w:r>
      <w:r>
        <w:rPr/>
        <w:t>公开招标</w:t>
      </w:r>
      <w:r>
        <w:rPr/>
        <w:t>方式组织采购</w:t>
      </w:r>
      <w:r>
        <w:rPr/>
        <w:t>肇庆学院云计算与人工智能实验室项目</w:t>
      </w:r>
      <w:r>
        <w:rPr/>
        <w:t>。欢迎符合资格条件的国内供应商参加投标。</w:t>
      </w:r>
    </w:p>
    <w:p>
      <w:r>
        <w:rPr>
          <w:b/>
          <w:sz w:val="28"/>
        </w:rPr>
        <w:t>一.项目概述</w:t>
      </w:r>
    </w:p>
    <w:p>
      <w:r>
        <w:rPr>
          <w:b/>
          <w:sz w:val="24"/>
        </w:rPr>
        <w:t>1.名称与编号</w:t>
      </w:r>
    </w:p>
    <w:p>
      <w:pPr>
        <w:ind w:firstLine="480"/>
      </w:pPr>
      <w:r>
        <w:rPr/>
        <w:t>项目名称：</w:t>
      </w:r>
      <w:r>
        <w:rPr/>
        <w:t>肇庆学院云计算与人工智能实验室项目</w:t>
      </w:r>
    </w:p>
    <w:p>
      <w:pPr>
        <w:ind w:firstLine="480"/>
      </w:pPr>
      <w:r>
        <w:rPr/>
        <w:t>采购计划编号：</w:t>
      </w:r>
      <w:r>
        <w:rPr/>
        <w:t>440001-2023-25532</w:t>
      </w:r>
    </w:p>
    <w:p>
      <w:pPr>
        <w:ind w:firstLine="480"/>
      </w:pPr>
      <w:r>
        <w:rPr/>
        <w:t>采购项目编号：</w:t>
      </w:r>
      <w:r>
        <w:rPr/>
        <w:t>GZGK23P111A0370Z</w:t>
      </w:r>
    </w:p>
    <w:p>
      <w:pPr>
        <w:ind w:firstLine="480"/>
      </w:pPr>
      <w:r>
        <w:rPr/>
        <w:t>采购方式：</w:t>
      </w:r>
      <w:r>
        <w:rPr/>
        <w:t>公开招标</w:t>
      </w:r>
    </w:p>
    <w:p>
      <w:pPr>
        <w:ind w:firstLine="480"/>
      </w:pPr>
      <w:r>
        <w:rPr/>
        <w:t>预算金额：</w:t>
      </w:r>
      <w:r>
        <w:rPr/>
        <w:t>1,979,000.00</w:t>
      </w:r>
      <w:r>
        <w:rPr/>
        <w:t>元</w:t>
      </w:r>
    </w:p>
    <w:p>
      <w:r>
        <w:rPr>
          <w:b/>
          <w:sz w:val="24"/>
        </w:rPr>
        <w:t>2.项目内容及需求情况（采购项目技术规格、参数及要求）</w:t>
      </w:r>
    </w:p>
    <w:p>
      <w:pPr>
        <w:ind w:firstLine="480"/>
      </w:pPr>
    </w:p>
    <w:p/>
    <w:p>
      <w:r>
        <w:rPr/>
        <w:t>采购包1(肇庆学院云计算与人工智能实验室):</w:t>
      </w:r>
    </w:p>
    <w:p>
      <w:r>
        <w:rPr/>
        <w:t>采购包预算金额：1,979,000.00元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教学仪器</w:t>
            </w:r>
          </w:p>
        </w:tc>
        <w:tc>
          <w:tcPr>
            <w:tcW w:type="dxa" w:w="2136"/>
          </w:tcPr>
          <w:p>
            <w:r>
              <w:rPr/>
              <w:t>肇庆学院云计算与人工智能实验室-设备</w:t>
            </w:r>
          </w:p>
        </w:tc>
        <w:tc>
          <w:tcPr>
            <w:tcW w:type="dxa" w:w="1187"/>
          </w:tcPr>
          <w:p>
            <w:r>
              <w:rPr/>
              <w:t>1(批)</w:t>
            </w:r>
          </w:p>
        </w:tc>
        <w:tc>
          <w:tcPr>
            <w:tcW w:type="dxa" w:w="1187"/>
          </w:tcPr>
          <w:p>
            <w:r>
              <w:rPr/>
              <w:t>详见第二章</w:t>
            </w:r>
          </w:p>
        </w:tc>
        <w:tc>
          <w:tcPr>
            <w:tcW w:type="dxa" w:w="1187"/>
          </w:tcPr>
          <w:p>
            <w:r>
              <w:rPr/>
              <w:t>否</w:t>
            </w:r>
          </w:p>
        </w:tc>
      </w:tr>
      <w:tr>
        <w:tc>
          <w:tcPr>
            <w:tcW w:type="dxa" w:w="1187"/>
          </w:tcPr>
          <w:p>
            <w:r>
              <w:rPr/>
              <w:t>1-2</w:t>
            </w:r>
          </w:p>
        </w:tc>
        <w:tc>
          <w:tcPr>
            <w:tcW w:type="dxa" w:w="1424"/>
          </w:tcPr>
          <w:p>
            <w:r>
              <w:rPr/>
              <w:t>教学仪器</w:t>
            </w:r>
          </w:p>
        </w:tc>
        <w:tc>
          <w:tcPr>
            <w:tcW w:type="dxa" w:w="2136"/>
          </w:tcPr>
          <w:p>
            <w:r>
              <w:rPr/>
              <w:t>云桌面管理系统</w:t>
            </w:r>
          </w:p>
        </w:tc>
        <w:tc>
          <w:tcPr>
            <w:tcW w:type="dxa" w:w="1187"/>
          </w:tcPr>
          <w:p>
            <w:r>
              <w:rPr/>
              <w:t>1(批)</w:t>
            </w:r>
          </w:p>
        </w:tc>
        <w:tc>
          <w:tcPr>
            <w:tcW w:type="dxa" w:w="1187"/>
          </w:tcPr>
          <w:p>
            <w:r>
              <w:rPr/>
              <w:t>详见第二章</w:t>
            </w:r>
          </w:p>
        </w:tc>
        <w:tc>
          <w:tcPr>
            <w:tcW w:type="dxa" w:w="1187"/>
          </w:tcPr>
          <w:p>
            <w:r>
              <w:rPr/>
              <w:t>否</w:t>
            </w:r>
          </w:p>
        </w:tc>
      </w:tr>
    </w:tbl>
    <w:p/>
    <w:p>
      <w:r>
        <w:rPr/>
        <w:t>本采购包不接受联合体投标</w:t>
      </w:r>
    </w:p>
    <w:p/>
    <w:p>
      <w:r>
        <w:rPr/>
        <w:t>合同履行期限：见“标的提供时间”要求。</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2）有依法缴纳税收和社会保障资金的良好记录：提供投标截止日前6个月内任意1个月依法缴纳税收和社会保障资金的相关材料。如依法免税或不需要缴纳社会保障资金的，提供相应证明材料。</w:t>
      </w:r>
    </w:p>
    <w:p/>
    <w:p>
      <w:r>
        <w:rPr/>
        <w:t>3）具有良好的商业信誉和健全的财务会计制度：供应商必须具有良好的商业信誉和健全的财务会计制度（提供2021年度或2022年度财务状况报告或基本开户行出具的资信证明）。</w:t>
      </w:r>
    </w:p>
    <w:p/>
    <w:p>
      <w:r>
        <w:rPr/>
        <w:t>4）履行合同所必需的设备和专业技术能力：提供书面承诺声明函（格式自拟）或具有履行合同所必需的设备和专业技术能力的其他证明材料投标。</w:t>
      </w:r>
    </w:p>
    <w:p/>
    <w:p>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采购包1（肇庆学院云计算与人工智能实验室）：</w:t>
      </w:r>
      <w:r>
        <w:rPr/>
        <w:t>本采购包不属于专门面向中小企业采购的项目。</w:t>
      </w:r>
    </w:p>
    <w:p/>
    <w:p>
      <w:r>
        <w:rPr>
          <w:b/>
          <w:sz w:val="24"/>
        </w:rPr>
        <w:t>3.本项目特定的资格要求：</w:t>
      </w:r>
    </w:p>
    <w:p>
      <w:pPr>
        <w:ind w:firstLine="480"/>
      </w:pPr>
    </w:p>
    <w:p/>
    <w:p>
      <w:r>
        <w:rPr/>
        <w:t>采购包1（肇庆学院云计算与人工智能实验室）：</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2)单位负责人为同一人或者存在直接控股、管理关系的不同供应商，不得同时参加本采购项目投标。为本项目提供整体设计、规范编制或者项目管理、监理、检测等服务的供应商，不得再参与本项目投标。 投标函相关承诺要求内容。</w:t>
      </w:r>
    </w:p>
    <w:p/>
    <w:p>
      <w:r>
        <w:rPr/>
        <w:t>3)已获取本项目采购文件。</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广州市国科招标代理有限公司网（www.gzgkbidding.com）</w:t>
      </w:r>
    </w:p>
    <w:p>
      <w:r>
        <w:rPr>
          <w:b/>
          <w:sz w:val="28"/>
        </w:rPr>
        <w:t>六.本项目联系方式：</w:t>
      </w:r>
    </w:p>
    <w:p>
      <w:r>
        <w:rPr>
          <w:b/>
          <w:sz w:val="24"/>
        </w:rPr>
        <w:t>1.采购人信息</w:t>
      </w:r>
    </w:p>
    <w:p>
      <w:pPr>
        <w:ind w:firstLine="480"/>
      </w:pPr>
      <w:r>
        <w:rPr/>
        <w:t>名称：</w:t>
      </w:r>
      <w:r>
        <w:rPr/>
        <w:t>肇庆学院</w:t>
      </w:r>
    </w:p>
    <w:p>
      <w:pPr>
        <w:ind w:firstLine="480"/>
      </w:pPr>
      <w:r>
        <w:rPr/>
        <w:t>地址：</w:t>
      </w:r>
      <w:r>
        <w:rPr/>
        <w:t>广东省肇庆市端州区肇庆大道东岗</w:t>
      </w:r>
    </w:p>
    <w:p>
      <w:pPr>
        <w:ind w:firstLine="480"/>
      </w:pPr>
      <w:r>
        <w:rPr/>
        <w:t>联系方式：</w:t>
      </w:r>
      <w:r>
        <w:rPr/>
        <w:t>0758-2716861</w:t>
      </w:r>
    </w:p>
    <w:p>
      <w:r>
        <w:rPr>
          <w:b/>
          <w:sz w:val="24"/>
        </w:rPr>
        <w:t>2.采购代理机构信息</w:t>
      </w:r>
    </w:p>
    <w:p>
      <w:pPr>
        <w:ind w:firstLine="480"/>
      </w:pPr>
      <w:r>
        <w:rPr/>
        <w:t>名称：</w:t>
      </w:r>
      <w:r>
        <w:rPr/>
        <w:t>广州市国科招标代理有限公司</w:t>
      </w:r>
    </w:p>
    <w:p>
      <w:pPr>
        <w:ind w:firstLine="480"/>
      </w:pPr>
      <w:r>
        <w:rPr/>
        <w:t>地址：</w:t>
      </w:r>
      <w:r>
        <w:rPr/>
        <w:t>广州市先烈中路100号科学院大院9号楼东座2楼（中国广州分析测试中心对面）</w:t>
      </w:r>
    </w:p>
    <w:p>
      <w:pPr>
        <w:ind w:firstLine="480"/>
      </w:pPr>
      <w:r>
        <w:rPr/>
        <w:t>联系方式：</w:t>
      </w:r>
      <w:r>
        <w:rPr/>
        <w:t>020-37656571、020-37635007</w:t>
      </w:r>
    </w:p>
    <w:p>
      <w:r>
        <w:rPr>
          <w:b/>
          <w:sz w:val="24"/>
        </w:rPr>
        <w:t>3.项目联系方式</w:t>
      </w:r>
    </w:p>
    <w:p>
      <w:pPr>
        <w:ind w:firstLine="480"/>
      </w:pPr>
      <w:r>
        <w:rPr/>
        <w:t>项目联系人：</w:t>
      </w:r>
      <w:r>
        <w:rPr/>
        <w:t>张智钊、张锡宇</w:t>
      </w:r>
    </w:p>
    <w:p>
      <w:pPr>
        <w:ind w:firstLine="480"/>
      </w:pPr>
      <w:r>
        <w:rPr/>
        <w:t>电话：</w:t>
      </w:r>
      <w:r>
        <w:rPr/>
        <w:t>020-37656571、020-37635007</w:t>
      </w:r>
    </w:p>
    <w:p>
      <w:r>
        <w:rPr>
          <w:b/>
          <w:sz w:val="24"/>
        </w:rPr>
        <w:t>4.技术支持联系方式</w:t>
      </w:r>
    </w:p>
    <w:p>
      <w:pPr>
        <w:ind w:firstLine="480"/>
      </w:pPr>
      <w:r>
        <w:rPr/>
        <w:t>云平台联系方式：020-88696588</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sz w:val="21"/>
        </w:rPr>
        <w:t>（一）</w:t>
      </w:r>
      <w:r>
        <w:rPr>
          <w:b/>
          <w:sz w:val="21"/>
        </w:rPr>
        <w:t>项目编号：</w:t>
      </w:r>
      <w:r>
        <w:rPr>
          <w:sz w:val="21"/>
        </w:rPr>
        <w:t>GZGK23P111A0370Z</w:t>
      </w:r>
    </w:p>
    <w:p>
      <w:pPr>
        <w:jc w:val="both"/>
      </w:pPr>
      <w:r>
        <w:rPr>
          <w:b/>
          <w:sz w:val="21"/>
        </w:rPr>
        <w:t>（二）</w:t>
      </w:r>
      <w:r>
        <w:rPr>
          <w:b/>
          <w:sz w:val="21"/>
        </w:rPr>
        <w:t>项目名称：</w:t>
      </w:r>
      <w:r>
        <w:rPr>
          <w:sz w:val="21"/>
        </w:rPr>
        <w:t>肇庆学院云计算与人工智能实验室</w:t>
      </w:r>
    </w:p>
    <w:p>
      <w:pPr>
        <w:jc w:val="both"/>
      </w:pPr>
      <w:r>
        <w:rPr>
          <w:b/>
          <w:sz w:val="21"/>
        </w:rPr>
        <w:t>（三）</w:t>
      </w:r>
      <w:r>
        <w:rPr>
          <w:b/>
          <w:sz w:val="21"/>
        </w:rPr>
        <w:t>总体要求说明：</w:t>
      </w:r>
    </w:p>
    <w:p>
      <w:pPr>
        <w:jc w:val="both"/>
      </w:pPr>
      <w:r>
        <w:rPr>
          <w:sz w:val="21"/>
        </w:rPr>
        <w:t>1、</w:t>
      </w:r>
      <w:r>
        <w:rPr>
          <w:sz w:val="21"/>
        </w:rPr>
        <w:t>标有</w:t>
      </w:r>
      <w:r>
        <w:rPr>
          <w:sz w:val="21"/>
        </w:rPr>
        <w:t>“★”的条款</w:t>
      </w:r>
      <w:r>
        <w:rPr>
          <w:sz w:val="21"/>
        </w:rPr>
        <w:t>为必须完全满足的实质性要求</w:t>
      </w:r>
      <w:r>
        <w:rPr>
          <w:sz w:val="21"/>
        </w:rPr>
        <w:t>，投标人如有一项带</w:t>
      </w:r>
      <w:r>
        <w:rPr>
          <w:sz w:val="21"/>
        </w:rPr>
        <w:t>“★”的条款未响应或负偏离，将按无效投标处理。</w:t>
      </w:r>
    </w:p>
    <w:p>
      <w:pPr>
        <w:jc w:val="both"/>
      </w:pPr>
      <w:r>
        <w:rPr>
          <w:sz w:val="21"/>
        </w:rPr>
        <w:t>2、</w:t>
      </w:r>
      <w:r>
        <w:rPr>
          <w:sz w:val="21"/>
        </w:rPr>
        <w:t>标有</w:t>
      </w:r>
      <w:r>
        <w:rPr>
          <w:sz w:val="21"/>
        </w:rPr>
        <w:t>“▲”的条款为重要性要求，投标人如有“▲”的条款未响应或负偏离的将被严重扣分。</w:t>
      </w:r>
    </w:p>
    <w:p>
      <w:pPr>
        <w:jc w:val="both"/>
      </w:pPr>
      <w:r>
        <w:rPr>
          <w:sz w:val="21"/>
        </w:rPr>
        <w:t>3、</w:t>
      </w:r>
      <w:r>
        <w:rPr>
          <w:sz w:val="21"/>
        </w:rPr>
        <w:t>投标人必须承诺提供厂商原装、全新的、符合国家及用户提出的有关质量标准的设备。</w:t>
      </w:r>
    </w:p>
    <w:p>
      <w:pPr>
        <w:jc w:val="both"/>
      </w:pPr>
      <w:r>
        <w:rPr>
          <w:sz w:val="21"/>
        </w:rPr>
        <w:t>4、</w:t>
      </w:r>
      <w:r>
        <w:rPr>
          <w:sz w:val="21"/>
        </w:rPr>
        <w:t>投标人应对采购需求中的设备性能和技术指标在响应详细内容中列出具体数值。如果投标人只注明</w:t>
      </w:r>
      <w:r>
        <w:rPr>
          <w:sz w:val="21"/>
        </w:rPr>
        <w:t>“正偏离”或“无偏离”，将</w:t>
      </w:r>
      <w:r>
        <w:rPr>
          <w:sz w:val="21"/>
        </w:rPr>
        <w:t>可能</w:t>
      </w:r>
      <w:r>
        <w:rPr>
          <w:sz w:val="21"/>
        </w:rPr>
        <w:t>被视为</w:t>
      </w:r>
      <w:r>
        <w:rPr>
          <w:sz w:val="21"/>
        </w:rPr>
        <w:t>“负偏离”，从而可能导致严重影响评标结果。</w:t>
      </w:r>
    </w:p>
    <w:p>
      <w:pPr>
        <w:jc w:val="both"/>
      </w:pPr>
      <w:r>
        <w:rPr>
          <w:sz w:val="21"/>
        </w:rPr>
        <w:t>5、</w:t>
      </w:r>
      <w:r>
        <w:rPr>
          <w:sz w:val="21"/>
        </w:rPr>
        <w:t>投标人所投产品除项目采购文件中明确规定要求提供彩页或相应检测报告等证明材料以外，所有技术参数描述均以投标文件为准（投标文件内厂家提供的技术参数描述与投标人投标技术参数描述不一致时，以厂家提供的技术参数描述为准）。投标人须对所投产品技术参数的真实性承担法律责任。</w:t>
      </w:r>
    </w:p>
    <w:p>
      <w:pPr>
        <w:jc w:val="both"/>
      </w:pPr>
      <w:r>
        <w:rPr>
          <w:sz w:val="21"/>
        </w:rPr>
        <w:t>6、</w:t>
      </w:r>
      <w:r>
        <w:rPr>
          <w:sz w:val="21"/>
        </w:rPr>
        <w:t>凡列入《中华人民共和国实施强制性产品认证的产品目录》的产品在验收时必须出具</w:t>
      </w:r>
      <w:r>
        <w:rPr>
          <w:sz w:val="21"/>
        </w:rPr>
        <w:t>CCC认证证书复印件，并以在产品外部加施认证标志作为验收依据之一。</w:t>
      </w:r>
    </w:p>
    <w:p>
      <w:pPr>
        <w:jc w:val="both"/>
      </w:pPr>
      <w:r>
        <w:rPr>
          <w:sz w:val="21"/>
        </w:rPr>
        <w:t>7、</w:t>
      </w:r>
      <w:r>
        <w:rPr>
          <w:sz w:val="21"/>
        </w:rPr>
        <w:t>节能产品的优先采购和强制采购以财政部、发展改革委、生态环境部等部门公布的最新《节能产品政府采购品目清单》中所列产品及相关规定为准。如果涉及到政府强制采购节能，供应商必须在投标文件中明确列明具体产品的名称并提供国家确定的认证机构出具的处于有效期之内的节能产品认证证书。</w:t>
      </w:r>
    </w:p>
    <w:p>
      <w:pPr>
        <w:jc w:val="both"/>
      </w:pPr>
      <w:r>
        <w:rPr>
          <w:sz w:val="21"/>
        </w:rPr>
        <w:t>8、</w:t>
      </w:r>
      <w:r>
        <w:rPr>
          <w:sz w:val="21"/>
        </w:rPr>
        <w:t>环境标志产品的优先采购以财政部、发展改革委、生态环境部等部门公布的最新《环境标志产品政府采购品目清单》所列产品为准。投标产品涉及到环境标志产品的，供应商需在投标文件中明确列明具体产品的名称并提供国家确定的认证机构出具的处于有效期之内的环境标志产品认证证书。</w:t>
      </w:r>
    </w:p>
    <w:p>
      <w:pPr>
        <w:jc w:val="both"/>
      </w:pPr>
      <w:r>
        <w:rPr>
          <w:sz w:val="21"/>
        </w:rPr>
        <w:t>9、</w:t>
      </w:r>
      <w:r>
        <w:rPr>
          <w:sz w:val="21"/>
        </w:rPr>
        <w:t>涉及到软件产品的，必须采购和使用正版软件，项目中涉及计算机办公产品的，必须预装正版操作系统软件。</w:t>
      </w:r>
    </w:p>
    <w:p>
      <w:pPr>
        <w:jc w:val="both"/>
      </w:pPr>
      <w:r>
        <w:rPr>
          <w:sz w:val="21"/>
        </w:rPr>
        <w:t>10、</w:t>
      </w:r>
      <w:r>
        <w:rPr>
          <w:sz w:val="21"/>
        </w:rPr>
        <w:t>投标人没有在投标文件中注明偏离（文字说明或在响应表注明）的参数、配置、条款视为被投标人完全接受。</w:t>
      </w:r>
    </w:p>
    <w:p>
      <w:pPr>
        <w:jc w:val="both"/>
      </w:pPr>
      <w:r>
        <w:rPr>
          <w:sz w:val="21"/>
        </w:rPr>
        <w:t>11、</w:t>
      </w:r>
      <w:r>
        <w:rPr>
          <w:sz w:val="21"/>
        </w:rPr>
        <w:t>投标人应保证，采购人在中华人民共和国使用该货物或货物的任何一部分时，免受第三方提出的侵犯其专利权、商标权、著作权或其它知识产权的起诉。</w:t>
      </w:r>
    </w:p>
    <w:p>
      <w:pPr>
        <w:jc w:val="both"/>
      </w:pPr>
      <w:r>
        <w:rPr>
          <w:sz w:val="21"/>
        </w:rPr>
        <w:t>12、</w:t>
      </w:r>
      <w:r>
        <w:rPr>
          <w:sz w:val="21"/>
        </w:rPr>
        <w:t>不允许中标供应商</w:t>
      </w:r>
      <w:r>
        <w:rPr>
          <w:sz w:val="21"/>
        </w:rPr>
        <w:t>转包、分包项目内容</w:t>
      </w:r>
      <w:r>
        <w:rPr>
          <w:sz w:val="21"/>
        </w:rPr>
        <w:t>。</w:t>
      </w:r>
    </w:p>
    <w:p>
      <w:pPr>
        <w:jc w:val="both"/>
      </w:pPr>
      <w:r>
        <w:rPr>
          <w:sz w:val="21"/>
        </w:rPr>
        <w:t>13、</w:t>
      </w:r>
      <w:r>
        <w:rPr>
          <w:sz w:val="21"/>
        </w:rPr>
        <w:t>小型和微型企业、监狱企业和残疾人福利性单位必须按照招标（采购）文件第三章内容提供相应的资料。</w:t>
      </w:r>
    </w:p>
    <w:p>
      <w:pPr>
        <w:jc w:val="both"/>
      </w:pPr>
      <w:r>
        <w:rPr>
          <w:sz w:val="21"/>
        </w:rPr>
        <w:t>14、</w:t>
      </w:r>
      <w:r>
        <w:rPr>
          <w:sz w:val="21"/>
        </w:rPr>
        <w:t>需落实政府采购政策为：促进中小企业发展政策、支持监狱企业发展政策、支持残疾人福利性单位发展政策、</w:t>
      </w:r>
      <w:r>
        <w:rPr>
          <w:sz w:val="21"/>
        </w:rPr>
        <w:t>优先</w:t>
      </w:r>
      <w:r>
        <w:rPr>
          <w:sz w:val="21"/>
        </w:rPr>
        <w:t>采购节能产品、环境标志产品相关政策等。</w:t>
      </w:r>
    </w:p>
    <w:p>
      <w:pPr>
        <w:jc w:val="both"/>
      </w:pPr>
      <w:r>
        <w:rPr>
          <w:sz w:val="21"/>
        </w:rPr>
        <w:t>15、</w:t>
      </w:r>
      <w:r>
        <w:rPr>
          <w:sz w:val="21"/>
        </w:rPr>
        <w:t>单一产品采购项目，</w:t>
      </w:r>
      <w:r>
        <w:rPr>
          <w:sz w:val="21"/>
        </w:rPr>
        <w:t>提供相同品牌产品且通过资格审查、符合性审查的不同投标人参加同一合同项下投标的，按一家投标人计算；非</w:t>
      </w:r>
      <w:r>
        <w:rPr>
          <w:sz w:val="21"/>
        </w:rPr>
        <w:t>单一产品采购项目，</w:t>
      </w:r>
      <w:r>
        <w:rPr>
          <w:sz w:val="21"/>
        </w:rPr>
        <w:t>提供相同品牌核心产品且通过资格审查、符合性审查的不同投标人参加同一合同项下投标的，按一家投标人计算。</w:t>
      </w:r>
    </w:p>
    <w:p>
      <w:pPr>
        <w:jc w:val="both"/>
      </w:pPr>
      <w:r>
        <w:rPr>
          <w:b/>
          <w:sz w:val="21"/>
        </w:rPr>
        <w:t>（四）</w:t>
      </w:r>
      <w:r>
        <w:rPr>
          <w:b/>
          <w:sz w:val="21"/>
        </w:rPr>
        <w:t>其他说明：</w:t>
      </w:r>
    </w:p>
    <w:p>
      <w:pPr>
        <w:jc w:val="both"/>
      </w:pPr>
      <w:r>
        <w:rPr>
          <w:sz w:val="21"/>
        </w:rPr>
        <w:t>1、</w:t>
      </w:r>
      <w:r>
        <w:rPr>
          <w:sz w:val="21"/>
        </w:rPr>
        <w:t>本项目开标方式为远程开标。参与全流程云平台采购项目的供应商登录云平台通过</w:t>
      </w:r>
      <w:r>
        <w:rPr>
          <w:sz w:val="21"/>
        </w:rPr>
        <w:t>“新供应商开标大厅”进行签到及投标文件的解密，签到需在开标时间前30分钟内完成，不需要委派代表前往开标现场。但为了保证开标程序顺利、高效地完成，投标人亦可委派代表携带CA-key、存储有非加密投标文件的U盘及纸质投标文件前往开标现场进行签到、解密。</w:t>
      </w:r>
    </w:p>
    <w:p>
      <w:pPr>
        <w:jc w:val="both"/>
      </w:pPr>
      <w:r>
        <w:rPr>
          <w:sz w:val="21"/>
        </w:rPr>
        <w:t>2、</w:t>
      </w:r>
      <w:r>
        <w:rPr>
          <w:sz w:val="21"/>
        </w:rPr>
        <w:t>纸质投标文件邮寄地址（邮寄地址：广州市先烈中路</w:t>
      </w:r>
      <w:r>
        <w:rPr>
          <w:sz w:val="21"/>
        </w:rPr>
        <w:t>100号科学院大院9号楼东座2楼（中国广州分析测试中心对面），收件人及电话：详见项目公告的项目联系人）。投标人如选择邮寄投标文件，请提前安排时间邮寄，务必保证投标文件于提交投标文件截止时间前到达上述地址（以签收时间为准），并及时将快递单号发送至招标代理机构邮箱：</w:t>
      </w:r>
      <w:r>
        <w:rPr>
          <w:sz w:val="21"/>
        </w:rPr>
        <w:t>gzgk@gzgkbidding.com</w:t>
      </w:r>
      <w:r>
        <w:rPr>
          <w:sz w:val="21"/>
        </w:rPr>
        <w:t>。</w:t>
      </w:r>
    </w:p>
    <w:p>
      <w:pPr>
        <w:jc w:val="both"/>
      </w:pPr>
      <w:r>
        <w:rPr>
          <w:sz w:val="21"/>
        </w:rPr>
        <w:t>3、</w:t>
      </w:r>
      <w:r>
        <w:rPr>
          <w:sz w:val="21"/>
        </w:rPr>
        <w:t>供应商电脑需提前安装</w:t>
      </w:r>
      <w:r>
        <w:rPr>
          <w:sz w:val="21"/>
        </w:rPr>
        <w:t>CA签章客户端，并运行CA证书。</w:t>
      </w:r>
    </w:p>
    <w:p>
      <w:pPr>
        <w:jc w:val="both"/>
      </w:pPr>
      <w:r>
        <w:rPr>
          <w:sz w:val="21"/>
        </w:rPr>
        <w:t>4、</w:t>
      </w:r>
      <w:r>
        <w:rPr>
          <w:b/>
          <w:sz w:val="21"/>
        </w:rPr>
        <w:t>请各投标人在编制投标文件时注意，涉及到签字或签章的地方，请按要求签字或签章后再上传系统。投标文件加密前请注意所有需要签字、签章、盖章的地方是否齐全无缺漏。请保管好</w:t>
      </w:r>
      <w:r>
        <w:rPr>
          <w:b/>
          <w:sz w:val="21"/>
        </w:rPr>
        <w:t>CA证书的密码，如遗忘，请及时重置，以免影响投标文件的解密。</w:t>
      </w:r>
    </w:p>
    <w:p>
      <w:pPr>
        <w:jc w:val="both"/>
      </w:pPr>
      <w:r>
        <w:rPr>
          <w:b/>
          <w:sz w:val="21"/>
        </w:rPr>
        <w:t>（五）</w:t>
      </w:r>
      <w:r>
        <w:rPr>
          <w:b/>
          <w:sz w:val="21"/>
        </w:rPr>
        <w:t>投标报价说明：</w:t>
      </w:r>
    </w:p>
    <w:p>
      <w:pPr>
        <w:ind w:firstLine="420"/>
        <w:jc w:val="both"/>
      </w:pPr>
      <w:r>
        <w:rPr>
          <w:sz w:val="21"/>
        </w:rPr>
        <w:t>投标报价包括：货款、设计、安装、随机零配件、标配工具、运输保险、调试、培训、质量保证期服务、各项税费及合同实施过程中不可预见费用等。</w:t>
      </w:r>
    </w:p>
    <w:p>
      <w:pPr>
        <w:jc w:val="both"/>
      </w:pPr>
      <w:r>
        <w:rPr>
          <w:b/>
          <w:sz w:val="21"/>
        </w:rPr>
        <w:t>（六）</w:t>
      </w:r>
      <w:r>
        <w:rPr>
          <w:b/>
          <w:sz w:val="21"/>
        </w:rPr>
        <w:t>实现的功能</w:t>
      </w:r>
    </w:p>
    <w:p>
      <w:pPr>
        <w:ind w:firstLine="420"/>
        <w:jc w:val="both"/>
      </w:pPr>
      <w:r>
        <w:rPr>
          <w:sz w:val="21"/>
        </w:rPr>
        <w:t>为采购人云计算与人工智能实验室提供设备一批。</w:t>
      </w:r>
    </w:p>
    <w:p>
      <w:pPr>
        <w:jc w:val="both"/>
      </w:pPr>
      <w:r>
        <w:rPr>
          <w:b/>
          <w:sz w:val="21"/>
        </w:rPr>
        <w:t>（七）</w:t>
      </w:r>
      <w:r>
        <w:rPr>
          <w:b/>
          <w:sz w:val="21"/>
        </w:rPr>
        <w:t>需执行国家相关标准、行业标准、地方标准或者其他标准、规范</w:t>
      </w:r>
    </w:p>
    <w:p/>
    <w:p>
      <w:pPr>
        <w:ind w:firstLine="480"/>
      </w:pPr>
    </w:p>
    <w:p/>
    <w:p>
      <w:r>
        <w:rPr/>
        <w:t>采购包1（肇庆学院云计算与人工智能实验室）</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合同签订之日起 40 日（日历日）内。</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自本合同签订5个工作日内，中标供应商向采购人提供相当于合同总金额100%的预付款保函，采购人立即向中标供应商预付本合同货款总额。中标供应商供货物时提供合同货款总额正式增值税专用发票给采购人，货物通过采购人验收合格后5个工作日内，采购人退回中标供应商预付款保函。中标供应商开具的预付款保函有效期一般为1年，如货物在预付款保函有效期届满前30日未能完成验收合格，中标供应商应当在有效期届满前20日向采购人提供新的或续期的有效预付款保函。如中标供应商不按期提供新的预付款保函，采购人有权单方解除合同，中标供应商须退还合同总金额给采购人，中标供应商承担相应违约责任。</w:t>
            </w:r>
          </w:p>
        </w:tc>
      </w:tr>
      <w:tr>
        <w:tc>
          <w:tcPr>
            <w:tcW w:type="dxa" w:w="4153"/>
          </w:tcPr>
          <w:p>
            <w:r>
              <w:rPr/>
              <w:t>验收要求</w:t>
            </w:r>
          </w:p>
        </w:tc>
        <w:tc>
          <w:tcPr>
            <w:tcW w:type="dxa" w:w="4153"/>
          </w:tcPr>
          <w:p/>
          <w:p/>
          <w:p/>
          <w:p>
            <w:r>
              <w:rPr/>
              <w:t>1期：1、采购人按照采购合同规定的技术、服务、安全标准组织对中标供应商履约情况进行验收，并出具验收书。验收书应当包括每一项技术、服务、安全标准的履约情况。 2、交付验收标准依次序对照适用标准为：①符合中华人民共和国“国家安全质量标准、环保标准或行业标准”；②符合项目采购文件和投标承诺中采购人认可的合理最佳配置、参数及各项要求；③货物来源国官方标准。 3、货物为原厂商未启封全新包装，具有出厂合格证，序列号、包装箱号与出厂批号一致，并可追索查阅。所有随设备的附件必须齐全。 4、中标供应商将货物的用户手册、保修手册、有关单证资料及备品备件、随机工具等交付给采购人，使用操作及安全须知等重要资料应附有中文说明。 5、货物验收所发生的检验费用由中标供应商负担。 6、设备到货并经中标供应商技术人员安装后，采购人有权委托中国有资格的单位对上述设备进行校准或检验，设备校准或检定所需的费用由中标供应商负担。 7、采购人组成验收小组，按照采购合同规定的技术、服务、安全标准组织对中标供应商履约情况进行验收。因货物质量问题发生争议时，由采购人本地质量技术监督部门鉴定。货物符合质量技术标准的，鉴定费由采购人承担；否则鉴定费由中标供应商承担。 8、当出现不合格产品时，中标供应商要无条件更换合格产品。除采购人认可，否则不接受任何形式的降格处理。 9、采购人收到中标供应商验收申请后7日内组织履约验收。</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（一）包装与运输，包装箱应用坚固的材料制造，适用长途运输、防潮、防锈、防震、防粗暴装卸，适于空运和整体吊装，并注明起吊位置，起吊重量及重心位置。</w:t>
            </w:r>
          </w:p>
          <w:p/>
          <w:p>
            <w:r>
              <w:rPr/>
              <w:t>（二）保险，货物从出厂运至采购人指定地点的保险费用须包含在投标报价中。</w:t>
            </w:r>
          </w:p>
          <w:p/>
          <w:p>
            <w:r>
              <w:rPr/>
              <w:t>（三）安装与调试，1、中标供应商必须按项目进度安排计划，派出适当的技术人员到安装现场负责安装和调试工作。在安装施工期间，严格遵守采购人的有关规定。 2、中标供应商必须依照项目采购文件的要求和投标文件的承诺，将设备、系统安装并调试至正常运行的最佳状态。</w:t>
            </w:r>
          </w:p>
          <w:p/>
          <w:p>
            <w:r>
              <w:rPr/>
              <w:t>（四）技术培训，1、中标供应商每台设备提供现场安装调试和培训。 2、应提供完整的培训计划和方案，列明培训人员数量、达到的水平等，培训内容包括设备的操作、日常维修、简单故障的识别及排除等。培训所需全部费用均由中标供应商负责。</w:t>
            </w:r>
          </w:p>
          <w:p/>
          <w:p>
            <w:r>
              <w:rPr/>
              <w:t>（五）质量保证期，1、质量保证期3年。保修期内，所有服务及配件全部包含在报价中。“技术标准与要求”中另有要求的，以其中的要求为准。 2、质量保证期自采购人和中标供应商代表在货物安装调试验收后的验收书上签字之日起计算。质量保证期内中标供应商对所供货物实行包修、包换、包退、包维护保养，保修期后设备维修配件更换只收取成本费用。 3、质量保证期内，如设备或零部件因非人为因素出现故障而造成短期停用时，则质量保证期相应顺延。如停用时间累计超过60天则质量保证期重新计算。 4、在质量保证期内，如货品非因采购人的人为原因而出现的问题由中标供应商负责保修、包换或包退，并承担修理、调换或退货的实际费用。 5、质量保证期内，中标供应商负责对其提供的货物整机进行维修和系统维护，不再收取任何费用，但非中标供应商责任的人为因素、自然因素（如火灾、雷击等）造成的故障除外。 6、质量保证期间，同一硬件一个月内连续2次出现同一故障，中标供应商须无偿更换同一档次货物。</w:t>
            </w:r>
          </w:p>
          <w:p/>
          <w:p>
            <w:r>
              <w:rPr/>
              <w:t>（六）售后服务，对采购人的服务通知，中标供应商在接报后 2小时内响应，24小时内到达现场，48小时内处理完毕。若在48小时内仍未能有效解决，中标供应商须提供同一档次的设备予采购人临时使用。</w:t>
            </w:r>
          </w:p>
          <w:p/>
          <w:p>
            <w:r>
              <w:rPr/>
              <w:t>（七）演示，1.投标人根据《详细评审 - 技术部分》——系统演示的要求进行演示，演示时间不超过15分钟； 2.授权委托代理人须凭身份证原件参加演示，参加人数一般不超过2人（含授权委托代理人在内）； 3.评标现场仅提供电源及投影设备（投标人须考虑兼容性），其他演示需要的设备及网络条件等请投标人自行准备； 4.演示顺序：开标现场抽签，按投标人抽签顺序进行演示，如投标人不参与抽签则视为默认放弃演示机会。</w:t>
            </w:r>
          </w:p>
        </w:tc>
      </w:tr>
    </w:tbl>
    <w:p>
      <w:r>
        <w:rPr>
          <w:b/>
        </w:rPr>
        <w:t>2.技术标准与要求</w:t>
      </w:r>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p>
        </w:tc>
        <w:tc>
          <w:tcPr>
            <w:tcW w:type="dxa" w:w="831"/>
          </w:tcPr>
          <w:p>
            <w:pPr>
              <w:jc w:val="left"/>
            </w:pPr>
            <w:r>
              <w:rPr/>
              <w:t>教学仪器</w:t>
            </w:r>
          </w:p>
        </w:tc>
        <w:tc>
          <w:tcPr>
            <w:tcW w:type="dxa" w:w="831"/>
          </w:tcPr>
          <w:p>
            <w:pPr>
              <w:jc w:val="left"/>
            </w:pPr>
            <w:r>
              <w:rPr/>
              <w:t>肇庆学院云计算与人工智能实验室-设备</w:t>
            </w:r>
          </w:p>
        </w:tc>
        <w:tc>
          <w:tcPr>
            <w:tcW w:type="dxa" w:w="831"/>
          </w:tcPr>
          <w:p>
            <w:pPr>
              <w:jc w:val="left"/>
            </w:pPr>
            <w:r>
              <w:rPr/>
              <w:t>批</w:t>
            </w:r>
          </w:p>
        </w:tc>
        <w:tc>
          <w:tcPr>
            <w:tcW w:type="dxa" w:w="831"/>
          </w:tcPr>
          <w:p>
            <w:pPr>
              <w:jc w:val="right"/>
            </w:pPr>
            <w:r>
              <w:rPr/>
              <w:t>1.00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详见附表一</w:t>
            </w:r>
          </w:p>
        </w:tc>
      </w:tr>
      <w:tr>
        <w:tc>
          <w:tcPr>
            <w:tcW w:type="dxa" w:w="831"/>
          </w:tcPr>
          <w:p>
            <w:pPr>
              <w:jc w:val="center"/>
            </w:pPr>
            <w:r>
              <w:rPr/>
              <w:t>2</w:t>
            </w:r>
          </w:p>
        </w:tc>
        <w:tc>
          <w:tcPr>
            <w:tcW w:type="dxa" w:w="831"/>
          </w:tcPr>
          <w:p>
            <w:pPr>
              <w:jc w:val="center"/>
            </w:pPr>
            <w:r>
              <w:rPr/>
              <w:t>△</w:t>
            </w:r>
          </w:p>
        </w:tc>
        <w:tc>
          <w:tcPr>
            <w:tcW w:type="dxa" w:w="831"/>
          </w:tcPr>
          <w:p>
            <w:pPr>
              <w:jc w:val="left"/>
            </w:pPr>
            <w:r>
              <w:rPr/>
              <w:t>教学仪器</w:t>
            </w:r>
          </w:p>
        </w:tc>
        <w:tc>
          <w:tcPr>
            <w:tcW w:type="dxa" w:w="831"/>
          </w:tcPr>
          <w:p>
            <w:pPr>
              <w:jc w:val="left"/>
            </w:pPr>
            <w:r>
              <w:rPr/>
              <w:t>云桌面管理系统</w:t>
            </w:r>
          </w:p>
        </w:tc>
        <w:tc>
          <w:tcPr>
            <w:tcW w:type="dxa" w:w="831"/>
          </w:tcPr>
          <w:p>
            <w:pPr>
              <w:jc w:val="left"/>
            </w:pPr>
            <w:r>
              <w:rPr/>
              <w:t>批</w:t>
            </w:r>
          </w:p>
        </w:tc>
        <w:tc>
          <w:tcPr>
            <w:tcW w:type="dxa" w:w="831"/>
          </w:tcPr>
          <w:p>
            <w:pPr>
              <w:jc w:val="right"/>
            </w:pPr>
            <w:r>
              <w:rPr/>
              <w:t>1.00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详见附表二</w:t>
            </w:r>
          </w:p>
        </w:tc>
      </w:tr>
    </w:tbl>
    <w:p/>
    <w:p>
      <w:r>
        <w:rPr>
          <w:b/>
        </w:rPr>
        <w:t>附表</w:t>
      </w:r>
      <w:r>
        <w:rPr>
          <w:b/>
        </w:rPr>
        <w:t>一</w:t>
      </w:r>
      <w:r>
        <w:rPr>
          <w:b/>
        </w:rPr>
        <w:t>：</w:t>
      </w:r>
      <w:r>
        <w:rPr>
          <w:b/>
        </w:rPr>
        <w:t>肇庆学院云计算与人工智能实验室-设备</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tbl>
            <w:tblPr>
              <w:tblBorders>
                <w:top w:val="none" w:color="000000" w:sz="4"/>
                <w:left w:val="none" w:color="000000" w:sz="4"/>
                <w:bottom w:val="none" w:color="000000" w:sz="4"/>
                <w:right w:val="none" w:color="000000" w:sz="4"/>
                <w:insideH w:val="none"/>
                <w:insideV w:val="none"/>
              </w:tblBorders>
            </w:tblPr>
            <w:tblGrid>
              <w:gridCol w:w="328"/>
              <w:gridCol w:w="629"/>
              <w:gridCol w:w="4233"/>
              <w:gridCol w:w="408"/>
            </w:tblGrid>
            <w:tr>
              <w:tc>
                <w:tcPr>
                  <w:tcW w:type="dxa" w:w="328"/>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629"/>
                  <w:tcBorders>
                    <w:top w:val="single" w:color="000000" w:sz="4"/>
                    <w:left w:val="single" w:color="000000" w:sz="4"/>
                    <w:bottom w:val="single" w:color="000000" w:sz="4"/>
                    <w:right w:val="single" w:color="000000" w:sz="4"/>
                  </w:tcBorders>
                  <w:vAlign w:val="top"/>
                </w:tcPr>
                <w:p>
                  <w:pPr>
                    <w:jc w:val="center"/>
                  </w:pPr>
                  <w:r>
                    <w:rPr>
                      <w:b/>
                      <w:sz w:val="21"/>
                    </w:rPr>
                    <w:t>货物名称</w:t>
                  </w:r>
                </w:p>
              </w:tc>
              <w:tc>
                <w:tcPr>
                  <w:tcW w:type="dxa" w:w="4233"/>
                  <w:tcBorders>
                    <w:top w:val="single" w:color="000000" w:sz="4"/>
                    <w:left w:val="single" w:color="000000" w:sz="4"/>
                    <w:bottom w:val="single" w:color="000000" w:sz="4"/>
                    <w:right w:val="single" w:color="000000" w:sz="4"/>
                  </w:tcBorders>
                  <w:vAlign w:val="top"/>
                </w:tcPr>
                <w:p>
                  <w:pPr>
                    <w:jc w:val="center"/>
                  </w:pPr>
                  <w:r>
                    <w:rPr>
                      <w:b/>
                      <w:sz w:val="21"/>
                    </w:rPr>
                    <w:t>技术参数要求</w:t>
                  </w:r>
                </w:p>
              </w:tc>
              <w:tc>
                <w:tcPr>
                  <w:tcW w:type="dxa" w:w="408"/>
                  <w:tcBorders>
                    <w:top w:val="single" w:color="000000" w:sz="4"/>
                    <w:left w:val="single" w:color="000000" w:sz="4"/>
                    <w:bottom w:val="single" w:color="000000" w:sz="4"/>
                    <w:right w:val="single" w:color="000000" w:sz="4"/>
                  </w:tcBorders>
                  <w:vAlign w:val="top"/>
                </w:tcPr>
                <w:p>
                  <w:pPr>
                    <w:jc w:val="center"/>
                  </w:pPr>
                  <w:r>
                    <w:rPr>
                      <w:b/>
                      <w:sz w:val="21"/>
                    </w:rPr>
                    <w:t>数量</w:t>
                  </w:r>
                </w:p>
              </w:tc>
            </w:tr>
            <w:tr>
              <w:tc>
                <w:tcPr>
                  <w:tcW w:type="dxa" w:w="32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629"/>
                  <w:tcBorders>
                    <w:top w:val="none" w:color="000000" w:sz="4"/>
                    <w:left w:val="none" w:color="000000" w:sz="4"/>
                    <w:bottom w:val="single" w:color="000000" w:sz="4"/>
                    <w:right w:val="none" w:color="000000" w:sz="4"/>
                  </w:tcBorders>
                  <w:vAlign w:val="top"/>
                </w:tcPr>
                <w:p>
                  <w:pPr>
                    <w:jc w:val="center"/>
                  </w:pPr>
                  <w:r>
                    <w:rPr>
                      <w:color w:val="000000"/>
                      <w:sz w:val="20"/>
                    </w:rPr>
                    <w:t>AI</w:t>
                  </w:r>
                  <w:r>
                    <w:rPr>
                      <w:color w:val="000000"/>
                      <w:sz w:val="20"/>
                    </w:rPr>
                    <w:t>超融合</w:t>
                  </w:r>
                  <w:r>
                    <w:rPr>
                      <w:color w:val="000000"/>
                      <w:sz w:val="20"/>
                    </w:rPr>
                    <w:t>计算节点</w:t>
                  </w:r>
                </w:p>
              </w:tc>
              <w:tc>
                <w:tcPr>
                  <w:tcW w:type="dxa" w:w="4233"/>
                  <w:tcBorders>
                    <w:top w:val="none" w:color="000000" w:sz="4"/>
                    <w:left w:val="single" w:color="000000" w:sz="4"/>
                    <w:bottom w:val="single" w:color="000000" w:sz="4"/>
                    <w:right w:val="single" w:color="000000" w:sz="4"/>
                  </w:tcBorders>
                  <w:vAlign w:val="top"/>
                </w:tcPr>
                <w:p>
                  <w:pPr>
                    <w:jc w:val="left"/>
                  </w:pPr>
                  <w:r>
                    <w:rPr>
                      <w:sz w:val="21"/>
                    </w:rPr>
                    <w:t>一、</w:t>
                  </w:r>
                  <w:r>
                    <w:rPr>
                      <w:sz w:val="21"/>
                    </w:rPr>
                    <w:t>AI</w:t>
                  </w:r>
                  <w:r>
                    <w:rPr>
                      <w:sz w:val="21"/>
                    </w:rPr>
                    <w:t>运算设备</w:t>
                  </w:r>
                </w:p>
                <w:p>
                  <w:pPr>
                    <w:jc w:val="left"/>
                  </w:pPr>
                  <w:r>
                    <w:rPr>
                      <w:sz w:val="21"/>
                    </w:rPr>
                    <w:t>1</w:t>
                  </w:r>
                  <w:r>
                    <w:rPr>
                      <w:sz w:val="21"/>
                    </w:rPr>
                    <w:t>.标准2U高度，机架式，配置安装导轨；</w:t>
                  </w:r>
                </w:p>
                <w:p>
                  <w:pPr>
                    <w:jc w:val="left"/>
                  </w:pPr>
                  <w:r>
                    <w:rPr>
                      <w:sz w:val="21"/>
                    </w:rPr>
                    <w:t>2</w:t>
                  </w:r>
                  <w:r>
                    <w:rPr>
                      <w:sz w:val="21"/>
                    </w:rPr>
                    <w:t>.</w:t>
                  </w:r>
                  <w:r>
                    <w:rPr>
                      <w:sz w:val="21"/>
                    </w:rPr>
                    <w:t>CPU</w:t>
                  </w:r>
                  <w:r>
                    <w:rPr>
                      <w:sz w:val="21"/>
                    </w:rPr>
                    <w:t>：</w:t>
                  </w:r>
                  <w:r>
                    <w:rPr>
                      <w:sz w:val="21"/>
                    </w:rPr>
                    <w:t>≥2颗/≥2.10 GHz/≥18 MB/≥12C/≥24T</w:t>
                  </w:r>
                  <w:r>
                    <w:rPr>
                      <w:sz w:val="21"/>
                    </w:rPr>
                    <w:t>；</w:t>
                  </w:r>
                </w:p>
                <w:p>
                  <w:pPr>
                    <w:jc w:val="left"/>
                  </w:pPr>
                  <w:r>
                    <w:rPr>
                      <w:sz w:val="21"/>
                    </w:rPr>
                    <w:t>3</w:t>
                  </w:r>
                  <w:r>
                    <w:rPr>
                      <w:sz w:val="21"/>
                    </w:rPr>
                    <w:t>.</w:t>
                  </w:r>
                  <w:r>
                    <w:rPr>
                      <w:sz w:val="21"/>
                    </w:rPr>
                    <w:t>内存：</w:t>
                  </w:r>
                  <w:r>
                    <w:rPr>
                      <w:sz w:val="21"/>
                    </w:rPr>
                    <w:t>≥</w:t>
                  </w:r>
                  <w:r>
                    <w:rPr>
                      <w:sz w:val="21"/>
                    </w:rPr>
                    <w:t>12</w:t>
                  </w:r>
                  <w:r>
                    <w:rPr>
                      <w:sz w:val="21"/>
                    </w:rPr>
                    <w:t>条</w:t>
                  </w:r>
                  <w:r>
                    <w:rPr>
                      <w:sz w:val="21"/>
                    </w:rPr>
                    <w:t>；</w:t>
                  </w:r>
                  <w:r>
                    <w:rPr>
                      <w:sz w:val="21"/>
                    </w:rPr>
                    <w:t>≥</w:t>
                  </w:r>
                  <w:r>
                    <w:rPr>
                      <w:sz w:val="21"/>
                    </w:rPr>
                    <w:t>32GB RDIMM</w:t>
                  </w:r>
                  <w:r>
                    <w:rPr>
                      <w:sz w:val="21"/>
                    </w:rPr>
                    <w:t>≥</w:t>
                  </w:r>
                  <w:r>
                    <w:rPr>
                      <w:sz w:val="21"/>
                    </w:rPr>
                    <w:t>DDR4</w:t>
                  </w:r>
                  <w:r>
                    <w:rPr>
                      <w:sz w:val="21"/>
                    </w:rPr>
                    <w:t>；</w:t>
                  </w:r>
                </w:p>
                <w:p>
                  <w:pPr>
                    <w:jc w:val="left"/>
                  </w:pPr>
                  <w:r>
                    <w:rPr>
                      <w:sz w:val="21"/>
                    </w:rPr>
                    <w:t>4</w:t>
                  </w:r>
                  <w:r>
                    <w:rPr>
                      <w:sz w:val="21"/>
                    </w:rPr>
                    <w:t>.</w:t>
                  </w:r>
                  <w:r>
                    <w:rPr>
                      <w:sz w:val="21"/>
                    </w:rPr>
                    <w:t>硬盘</w:t>
                  </w:r>
                  <w:r>
                    <w:rPr>
                      <w:sz w:val="21"/>
                    </w:rPr>
                    <w:t>：</w:t>
                  </w:r>
                  <w:r>
                    <w:rPr>
                      <w:sz w:val="21"/>
                    </w:rPr>
                    <w:t>≥</w:t>
                  </w:r>
                  <w:r>
                    <w:rPr>
                      <w:sz w:val="21"/>
                    </w:rPr>
                    <w:t>2</w:t>
                  </w:r>
                  <w:r>
                    <w:rPr>
                      <w:sz w:val="21"/>
                    </w:rPr>
                    <w:t>个</w:t>
                  </w:r>
                  <w:r>
                    <w:rPr>
                      <w:sz w:val="21"/>
                    </w:rPr>
                    <w:t>480</w:t>
                  </w:r>
                  <w:r>
                    <w:rPr>
                      <w:sz w:val="21"/>
                    </w:rPr>
                    <w:t>GB/SSD/SATA 6Gb/≥2.5寸</w:t>
                  </w:r>
                  <w:r>
                    <w:rPr>
                      <w:sz w:val="21"/>
                    </w:rPr>
                    <w:t>；</w:t>
                  </w:r>
                  <w:r>
                    <w:rPr>
                      <w:sz w:val="21"/>
                    </w:rPr>
                    <w:t>≥3个、≥4TB/SATA/≥7200PRM/≥3.5寸/企业级</w:t>
                  </w:r>
                  <w:r>
                    <w:rPr>
                      <w:sz w:val="21"/>
                    </w:rPr>
                    <w:t>；</w:t>
                  </w:r>
                  <w:r>
                    <w:rPr>
                      <w:sz w:val="21"/>
                    </w:rPr>
                    <w:t xml:space="preserve"> </w:t>
                  </w:r>
                </w:p>
                <w:p>
                  <w:pPr>
                    <w:jc w:val="left"/>
                  </w:pPr>
                  <w:r>
                    <w:rPr>
                      <w:sz w:val="21"/>
                    </w:rPr>
                    <w:t>5</w:t>
                  </w:r>
                  <w:r>
                    <w:rPr>
                      <w:sz w:val="21"/>
                    </w:rPr>
                    <w:t>.</w:t>
                  </w:r>
                  <w:r>
                    <w:rPr>
                      <w:sz w:val="21"/>
                    </w:rPr>
                    <w:t>阵列卡</w:t>
                  </w:r>
                  <w:r>
                    <w:rPr>
                      <w:sz w:val="21"/>
                    </w:rPr>
                    <w:t>：配置</w:t>
                  </w:r>
                  <w:r>
                    <w:rPr>
                      <w:sz w:val="21"/>
                    </w:rPr>
                    <w:t>SATA/SAS 阵列卡</w:t>
                  </w:r>
                  <w:r>
                    <w:rPr>
                      <w:sz w:val="21"/>
                    </w:rPr>
                    <w:t>，</w:t>
                  </w:r>
                  <w:r>
                    <w:rPr>
                      <w:sz w:val="21"/>
                    </w:rPr>
                    <w:t>支持</w:t>
                  </w:r>
                  <w:r>
                    <w:rPr>
                      <w:sz w:val="21"/>
                    </w:rPr>
                    <w:t>RAID0、1、10、5、50、6、60</w:t>
                  </w:r>
                  <w:r>
                    <w:rPr>
                      <w:sz w:val="21"/>
                    </w:rPr>
                    <w:t>；</w:t>
                  </w:r>
                </w:p>
                <w:p>
                  <w:pPr>
                    <w:jc w:val="left"/>
                  </w:pPr>
                  <w:r>
                    <w:rPr>
                      <w:sz w:val="21"/>
                    </w:rPr>
                    <w:t>6</w:t>
                  </w:r>
                  <w:r>
                    <w:rPr>
                      <w:sz w:val="21"/>
                    </w:rPr>
                    <w:t>.</w:t>
                  </w:r>
                  <w:r>
                    <w:rPr>
                      <w:sz w:val="21"/>
                    </w:rPr>
                    <w:t>提供</w:t>
                  </w:r>
                  <w:r>
                    <w:rPr>
                      <w:sz w:val="21"/>
                    </w:rPr>
                    <w:t>≥3个 PCI-E 4.0标准插槽，≥1个OCP3.0专用插槽（PCI-E4.0 x16），最多提供≥10个 PCI-E 4.0标准插槽：</w:t>
                  </w:r>
                </w:p>
                <w:p>
                  <w:pPr>
                    <w:jc w:val="left"/>
                  </w:pPr>
                  <w:r>
                    <w:rPr>
                      <w:sz w:val="21"/>
                    </w:rPr>
                    <w:t>7.</w:t>
                  </w:r>
                  <w:r>
                    <w:rPr>
                      <w:sz w:val="21"/>
                    </w:rPr>
                    <w:t>网卡控制器：</w:t>
                  </w:r>
                  <w:r>
                    <w:rPr>
                      <w:sz w:val="21"/>
                    </w:rPr>
                    <w:t>≥4口千兆网口，配备1个OCP3.0网口模块；</w:t>
                  </w:r>
                </w:p>
                <w:p>
                  <w:pPr>
                    <w:jc w:val="left"/>
                  </w:pPr>
                  <w:r>
                    <w:rPr>
                      <w:sz w:val="21"/>
                    </w:rPr>
                    <w:t>8.</w:t>
                  </w:r>
                  <w:r>
                    <w:rPr>
                      <w:sz w:val="21"/>
                    </w:rPr>
                    <w:t>电源：</w:t>
                  </w:r>
                  <w:r>
                    <w:rPr>
                      <w:sz w:val="21"/>
                    </w:rPr>
                    <w:t>1个≥800W交流电源模块；支持1+0单电源模式，或1+1冗余电源模式；</w:t>
                  </w:r>
                </w:p>
                <w:p>
                  <w:pPr>
                    <w:jc w:val="left"/>
                  </w:pPr>
                  <w:r>
                    <w:rPr>
                      <w:sz w:val="21"/>
                    </w:rPr>
                    <w:t>9.</w:t>
                  </w:r>
                  <w:r>
                    <w:rPr>
                      <w:sz w:val="21"/>
                    </w:rPr>
                    <w:t>管理功能：支持</w:t>
                  </w:r>
                  <w:r>
                    <w:rPr>
                      <w:sz w:val="21"/>
                    </w:rPr>
                    <w:t>IPMI2.0，对外提供1个≥100/≥1000 Mbps RJ45管理网口，支持iKVM 远程管理</w:t>
                  </w:r>
                  <w:r>
                    <w:rPr>
                      <w:sz w:val="21"/>
                    </w:rPr>
                    <w:t>；</w:t>
                  </w:r>
                </w:p>
                <w:p>
                  <w:pPr>
                    <w:jc w:val="left"/>
                  </w:pPr>
                  <w:r>
                    <w:rPr>
                      <w:sz w:val="21"/>
                    </w:rPr>
                    <w:t>10.</w:t>
                  </w:r>
                  <w:r>
                    <w:rPr>
                      <w:sz w:val="21"/>
                    </w:rPr>
                    <w:t>集成安全性：支持</w:t>
                  </w:r>
                  <w:r>
                    <w:rPr>
                      <w:sz w:val="21"/>
                    </w:rPr>
                    <w:t>TPM加密模块接口，保障端到端安全性，机箱开盖入侵检测</w:t>
                  </w:r>
                  <w:r>
                    <w:rPr>
                      <w:sz w:val="21"/>
                    </w:rPr>
                    <w:t>；</w:t>
                  </w:r>
                  <w:r>
                    <w:rPr>
                      <w:sz w:val="21"/>
                    </w:rPr>
                    <w:t>加锁机箱上盖板。</w:t>
                  </w:r>
                </w:p>
                <w:p>
                  <w:pPr>
                    <w:jc w:val="left"/>
                  </w:pPr>
                  <w:r>
                    <w:rPr>
                      <w:sz w:val="21"/>
                    </w:rPr>
                    <w:t>1</w:t>
                  </w:r>
                  <w:r>
                    <w:rPr>
                      <w:sz w:val="21"/>
                    </w:rPr>
                    <w:t>1.</w:t>
                  </w:r>
                  <w:r>
                    <w:rPr>
                      <w:sz w:val="21"/>
                    </w:rPr>
                    <w:t>支持显示集成</w:t>
                  </w:r>
                  <w:r>
                    <w:rPr>
                      <w:sz w:val="21"/>
                    </w:rPr>
                    <w:t>VGA接口，≥4个USB3.0接口。</w:t>
                  </w:r>
                </w:p>
                <w:p>
                  <w:pPr>
                    <w:jc w:val="left"/>
                  </w:pPr>
                  <w:r>
                    <w:rPr>
                      <w:sz w:val="21"/>
                    </w:rPr>
                    <w:t>1</w:t>
                  </w:r>
                  <w:r>
                    <w:rPr>
                      <w:sz w:val="21"/>
                    </w:rPr>
                    <w:t>2.</w:t>
                  </w:r>
                  <w:r>
                    <w:rPr>
                      <w:sz w:val="21"/>
                    </w:rPr>
                    <w:t>远程管理功能：标配远程管理功能，可实现与操作系统无关的远程控制，功能包括但不限于</w:t>
                  </w:r>
                  <w:r>
                    <w:rPr>
                      <w:sz w:val="21"/>
                    </w:rPr>
                    <w:t>:</w:t>
                  </w:r>
                </w:p>
                <w:p>
                  <w:pPr>
                    <w:jc w:val="left"/>
                  </w:pPr>
                  <w:r>
                    <w:rPr>
                      <w:sz w:val="21"/>
                    </w:rPr>
                    <w:t>（</w:t>
                  </w:r>
                  <w:r>
                    <w:rPr>
                      <w:sz w:val="21"/>
                    </w:rPr>
                    <w:t>1）虚拟电源可远程开机、重启、关机；</w:t>
                  </w:r>
                </w:p>
                <w:p>
                  <w:pPr>
                    <w:jc w:val="left"/>
                  </w:pPr>
                  <w:r>
                    <w:rPr>
                      <w:sz w:val="21"/>
                    </w:rPr>
                    <w:t>（</w:t>
                  </w:r>
                  <w:r>
                    <w:rPr>
                      <w:sz w:val="21"/>
                    </w:rPr>
                    <w:t>2）更新Firmware;支持远程故障现象重现；</w:t>
                  </w:r>
                </w:p>
                <w:p>
                  <w:pPr>
                    <w:jc w:val="left"/>
                  </w:pPr>
                  <w:r>
                    <w:rPr>
                      <w:sz w:val="21"/>
                    </w:rPr>
                    <w:t>（</w:t>
                  </w:r>
                  <w:r>
                    <w:rPr>
                      <w:sz w:val="21"/>
                    </w:rPr>
                    <w:t>3）虚拟控制台可远程监控图形界面，可远程从本地软盘和光盘或其影像启动安装、操作Windows,Linux等软件（虚拟软驱、虚拟光驱、虚拟目录和虚拟U盘）；</w:t>
                  </w:r>
                </w:p>
                <w:p>
                  <w:pPr>
                    <w:jc w:val="left"/>
                  </w:pPr>
                  <w:r>
                    <w:rPr>
                      <w:sz w:val="21"/>
                    </w:rPr>
                    <w:t>（</w:t>
                  </w:r>
                  <w:r>
                    <w:rPr>
                      <w:sz w:val="21"/>
                    </w:rPr>
                    <w:t>4）主板集成iBMC，可实现远程iKVM；</w:t>
                  </w:r>
                </w:p>
                <w:p>
                  <w:pPr>
                    <w:jc w:val="both"/>
                  </w:pPr>
                  <w:r>
                    <w:rPr>
                      <w:sz w:val="21"/>
                    </w:rPr>
                    <w:t>二、</w:t>
                  </w:r>
                  <w:r>
                    <w:rPr>
                      <w:sz w:val="21"/>
                    </w:rPr>
                    <w:t>AI</w:t>
                  </w:r>
                  <w:r>
                    <w:rPr>
                      <w:sz w:val="21"/>
                    </w:rPr>
                    <w:t>虚拟化管理软件</w:t>
                  </w:r>
                </w:p>
                <w:p>
                  <w:pPr>
                    <w:jc w:val="left"/>
                  </w:pPr>
                  <w:r>
                    <w:rPr>
                      <w:sz w:val="21"/>
                    </w:rPr>
                    <w:t>1.系统采用Docker底层虚拟化技术，对底层算力资源统一管理，池化计算资源、存储资源、网络资源、软件资源。可实现对资源统一监控，CPU</w:t>
                  </w:r>
                  <w:r>
                    <w:rPr>
                      <w:sz w:val="21"/>
                    </w:rPr>
                    <w:t>、</w:t>
                  </w:r>
                  <w:r>
                    <w:rPr>
                      <w:sz w:val="21"/>
                    </w:rPr>
                    <w:t>GPU</w:t>
                  </w:r>
                  <w:r>
                    <w:rPr>
                      <w:sz w:val="21"/>
                    </w:rPr>
                    <w:t>统一调度，</w:t>
                  </w:r>
                  <w:r>
                    <w:rPr>
                      <w:sz w:val="21"/>
                    </w:rPr>
                    <w:t>Pod资源管理，以及容器资源编排等功能。</w:t>
                  </w:r>
                </w:p>
                <w:p>
                  <w:pPr>
                    <w:jc w:val="left"/>
                  </w:pPr>
                  <w:r>
                    <w:rPr>
                      <w:sz w:val="21"/>
                    </w:rPr>
                    <w:t>2</w:t>
                  </w:r>
                  <w:r>
                    <w:rPr>
                      <w:sz w:val="21"/>
                    </w:rPr>
                    <w:t>.</w:t>
                  </w:r>
                  <w:r>
                    <w:rPr>
                      <w:sz w:val="21"/>
                    </w:rPr>
                    <w:t>支持配额调度，支持启动</w:t>
                  </w:r>
                  <w:r>
                    <w:rPr>
                      <w:sz w:val="21"/>
                    </w:rPr>
                    <w:t>/停止/重启容器、暂停/恢复容器、删除容器、限制容器对CPU的使用、限制容器对内存的使用、限制容器对Block IO的使用。</w:t>
                  </w:r>
                </w:p>
                <w:p>
                  <w:pPr>
                    <w:jc w:val="left"/>
                  </w:pPr>
                  <w:r>
                    <w:rPr>
                      <w:sz w:val="21"/>
                    </w:rPr>
                    <w:t>3.支持私有Docker Registry，用户可在本地地搭建私有 Docker Registry。</w:t>
                  </w:r>
                </w:p>
                <w:p>
                  <w:pPr>
                    <w:jc w:val="left"/>
                  </w:pPr>
                  <w:r>
                    <w:rPr>
                      <w:sz w:val="21"/>
                    </w:rPr>
                    <w:t>4.支持基于容器的应用部署、维护和滚动升级。</w:t>
                  </w:r>
                </w:p>
                <w:p>
                  <w:pPr>
                    <w:jc w:val="left"/>
                  </w:pPr>
                  <w:r>
                    <w:rPr>
                      <w:sz w:val="21"/>
                    </w:rPr>
                    <w:t>5.支持负载均衡和服务发现。</w:t>
                  </w:r>
                </w:p>
                <w:p>
                  <w:pPr>
                    <w:jc w:val="left"/>
                  </w:pPr>
                  <w:r>
                    <w:rPr>
                      <w:sz w:val="21"/>
                    </w:rPr>
                    <w:t>6.支持认证、授权、访问控制、API注册和发现等机制。</w:t>
                  </w:r>
                </w:p>
                <w:p>
                  <w:pPr>
                    <w:jc w:val="left"/>
                  </w:pPr>
                  <w:r>
                    <w:rPr>
                      <w:sz w:val="21"/>
                    </w:rPr>
                    <w:t>7.支持维护集群状态，比如故障检测、自动扩展、滚动更新。</w:t>
                  </w:r>
                </w:p>
                <w:p>
                  <w:pPr>
                    <w:jc w:val="left"/>
                  </w:pPr>
                  <w:r>
                    <w:rPr>
                      <w:sz w:val="21"/>
                    </w:rPr>
                    <w:t>8.支持维护容器的生命周期，支持Volume（CVI）和网络（CNI）管理。</w:t>
                  </w:r>
                </w:p>
                <w:p>
                  <w:pPr>
                    <w:jc w:val="left"/>
                  </w:pPr>
                  <w:r>
                    <w:rPr>
                      <w:sz w:val="21"/>
                    </w:rPr>
                    <w:t>9.支持秒级创建资源：即从用户在页面点击“</w:t>
                  </w:r>
                  <w:r>
                    <w:rPr>
                      <w:sz w:val="21"/>
                    </w:rPr>
                    <w:t xml:space="preserve"> </w:t>
                  </w:r>
                  <w:r>
                    <w:rPr>
                      <w:sz w:val="21"/>
                    </w:rPr>
                    <w:t>创建</w:t>
                  </w:r>
                  <w:r>
                    <w:rPr>
                      <w:sz w:val="21"/>
                    </w:rPr>
                    <w:t>”按钮，到集群资源成功创建完成所花费时间不能超过15秒钟。</w:t>
                  </w:r>
                </w:p>
                <w:p>
                  <w:pPr>
                    <w:jc w:val="left"/>
                  </w:pPr>
                  <w:r>
                    <w:rPr>
                      <w:sz w:val="21"/>
                    </w:rPr>
                    <w:t>10.</w:t>
                  </w:r>
                  <w:r>
                    <w:rPr>
                      <w:sz w:val="21"/>
                    </w:rPr>
                    <w:t>支持人工智能管理实验系统</w:t>
                  </w:r>
                  <w:r>
                    <w:rPr>
                      <w:sz w:val="21"/>
                    </w:rPr>
                    <w:t>140</w:t>
                  </w:r>
                  <w:r>
                    <w:rPr>
                      <w:sz w:val="21"/>
                    </w:rPr>
                    <w:t>并发实验。</w:t>
                  </w:r>
                </w:p>
              </w:tc>
              <w:tc>
                <w:tcPr>
                  <w:tcW w:type="dxa" w:w="408"/>
                  <w:tcBorders>
                    <w:top w:val="none" w:color="000000" w:sz="4"/>
                    <w:left w:val="none" w:color="000000" w:sz="4"/>
                    <w:bottom w:val="single" w:color="000000" w:sz="4"/>
                    <w:right w:val="single" w:color="000000" w:sz="4"/>
                  </w:tcBorders>
                  <w:vAlign w:val="top"/>
                </w:tcPr>
                <w:p>
                  <w:pPr>
                    <w:jc w:val="center"/>
                  </w:pPr>
                  <w:r>
                    <w:rPr>
                      <w:color w:val="000000"/>
                      <w:sz w:val="20"/>
                    </w:rPr>
                    <w:t>7 个</w:t>
                  </w:r>
                </w:p>
              </w:tc>
            </w:tr>
            <w:tr>
              <w:tc>
                <w:tcPr>
                  <w:tcW w:type="dxa" w:w="32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629"/>
                  <w:tcBorders>
                    <w:top w:val="none" w:color="000000" w:sz="4"/>
                    <w:left w:val="none" w:color="000000" w:sz="4"/>
                    <w:bottom w:val="single" w:color="000000" w:sz="4"/>
                    <w:right w:val="none" w:color="000000" w:sz="4"/>
                  </w:tcBorders>
                  <w:vAlign w:val="top"/>
                </w:tcPr>
                <w:p>
                  <w:pPr>
                    <w:jc w:val="center"/>
                  </w:pPr>
                  <w:r>
                    <w:rPr>
                      <w:color w:val="000000"/>
                      <w:sz w:val="20"/>
                    </w:rPr>
                    <w:t>人工智能</w:t>
                  </w:r>
                  <w:r>
                    <w:rPr>
                      <w:color w:val="000000"/>
                      <w:sz w:val="20"/>
                    </w:rPr>
                    <w:t>管理节点</w:t>
                  </w:r>
                </w:p>
              </w:tc>
              <w:tc>
                <w:tcPr>
                  <w:tcW w:type="dxa" w:w="4233"/>
                  <w:tcBorders>
                    <w:top w:val="none" w:color="000000" w:sz="4"/>
                    <w:left w:val="single" w:color="000000" w:sz="4"/>
                    <w:bottom w:val="single" w:color="000000" w:sz="4"/>
                    <w:right w:val="single" w:color="000000" w:sz="4"/>
                  </w:tcBorders>
                  <w:vAlign w:val="top"/>
                </w:tcPr>
                <w:p>
                  <w:pPr>
                    <w:jc w:val="left"/>
                  </w:pPr>
                  <w:r>
                    <w:rPr>
                      <w:sz w:val="21"/>
                    </w:rPr>
                    <w:t>1</w:t>
                  </w:r>
                  <w:r>
                    <w:rPr>
                      <w:sz w:val="21"/>
                    </w:rPr>
                    <w:t>.标准2U高度，机架式，配置安装导轨；</w:t>
                  </w:r>
                </w:p>
                <w:p>
                  <w:pPr>
                    <w:jc w:val="left"/>
                  </w:pPr>
                  <w:r>
                    <w:rPr>
                      <w:sz w:val="21"/>
                    </w:rPr>
                    <w:t>2</w:t>
                  </w:r>
                  <w:r>
                    <w:rPr>
                      <w:sz w:val="21"/>
                    </w:rPr>
                    <w:t>.</w:t>
                  </w:r>
                  <w:r>
                    <w:rPr>
                      <w:sz w:val="21"/>
                    </w:rPr>
                    <w:t>CPU</w:t>
                  </w:r>
                  <w:r>
                    <w:rPr>
                      <w:sz w:val="21"/>
                    </w:rPr>
                    <w:t>：</w:t>
                  </w:r>
                  <w:r>
                    <w:rPr>
                      <w:sz w:val="21"/>
                    </w:rPr>
                    <w:t>≥2颗/≥2.10 GHz/≥18 MB/≥12C/≥24T</w:t>
                  </w:r>
                  <w:r>
                    <w:rPr>
                      <w:sz w:val="21"/>
                    </w:rPr>
                    <w:t>；</w:t>
                  </w:r>
                </w:p>
                <w:p>
                  <w:pPr>
                    <w:jc w:val="left"/>
                  </w:pPr>
                  <w:r>
                    <w:rPr>
                      <w:sz w:val="21"/>
                    </w:rPr>
                    <w:t>3</w:t>
                  </w:r>
                  <w:r>
                    <w:rPr>
                      <w:sz w:val="21"/>
                    </w:rPr>
                    <w:t>.内存</w:t>
                  </w:r>
                  <w:r>
                    <w:rPr>
                      <w:sz w:val="21"/>
                    </w:rPr>
                    <w:t>：</w:t>
                  </w:r>
                  <w:r>
                    <w:rPr>
                      <w:sz w:val="21"/>
                    </w:rPr>
                    <w:t>≥2条；≥32GB</w:t>
                  </w:r>
                  <w:r>
                    <w:rPr>
                      <w:sz w:val="21"/>
                    </w:rPr>
                    <w:t xml:space="preserve"> </w:t>
                  </w:r>
                  <w:r>
                    <w:rPr>
                      <w:sz w:val="21"/>
                    </w:rPr>
                    <w:t>RDIMM</w:t>
                  </w:r>
                  <w:r>
                    <w:rPr>
                      <w:sz w:val="21"/>
                    </w:rPr>
                    <w:t xml:space="preserve"> </w:t>
                  </w:r>
                  <w:r>
                    <w:rPr>
                      <w:sz w:val="21"/>
                    </w:rPr>
                    <w:t>≥DDR4</w:t>
                  </w:r>
                  <w:r>
                    <w:rPr>
                      <w:sz w:val="21"/>
                    </w:rPr>
                    <w:t>；</w:t>
                  </w:r>
                </w:p>
                <w:p>
                  <w:pPr>
                    <w:jc w:val="left"/>
                  </w:pPr>
                  <w:r>
                    <w:rPr>
                      <w:sz w:val="21"/>
                    </w:rPr>
                    <w:t>4.</w:t>
                  </w:r>
                  <w:r>
                    <w:rPr>
                      <w:sz w:val="21"/>
                    </w:rPr>
                    <w:t>硬盘：</w:t>
                  </w:r>
                  <w:r>
                    <w:rPr>
                      <w:sz w:val="21"/>
                    </w:rPr>
                    <w:t>≥</w:t>
                  </w:r>
                  <w:r>
                    <w:rPr>
                      <w:sz w:val="21"/>
                    </w:rPr>
                    <w:t>2</w:t>
                  </w:r>
                  <w:r>
                    <w:rPr>
                      <w:sz w:val="21"/>
                    </w:rPr>
                    <w:t>个</w:t>
                  </w:r>
                  <w:r>
                    <w:rPr>
                      <w:sz w:val="21"/>
                    </w:rPr>
                    <w:t>480</w:t>
                  </w:r>
                  <w:r>
                    <w:rPr>
                      <w:sz w:val="21"/>
                    </w:rPr>
                    <w:t>GB/SSD/SATA ≥6Gb/≥2.5寸</w:t>
                  </w:r>
                  <w:r>
                    <w:rPr>
                      <w:sz w:val="21"/>
                    </w:rPr>
                    <w:t>；</w:t>
                  </w:r>
                  <w:r>
                    <w:rPr>
                      <w:sz w:val="21"/>
                    </w:rPr>
                    <w:t>≥</w:t>
                  </w:r>
                  <w:r>
                    <w:rPr>
                      <w:sz w:val="21"/>
                    </w:rPr>
                    <w:t>3</w:t>
                  </w:r>
                  <w:r>
                    <w:rPr>
                      <w:sz w:val="21"/>
                    </w:rPr>
                    <w:t>个</w:t>
                  </w:r>
                  <w:r>
                    <w:rPr>
                      <w:sz w:val="21"/>
                    </w:rPr>
                    <w:t xml:space="preserve">≥2TB/SATA/≥7200PRM/≥3.5寸/企业级 ；                                      </w:t>
                  </w:r>
                </w:p>
                <w:p>
                  <w:pPr>
                    <w:jc w:val="left"/>
                  </w:pPr>
                  <w:r>
                    <w:rPr>
                      <w:sz w:val="21"/>
                    </w:rPr>
                    <w:t>5</w:t>
                  </w:r>
                  <w:r>
                    <w:rPr>
                      <w:sz w:val="21"/>
                    </w:rPr>
                    <w:t>.</w:t>
                  </w:r>
                  <w:r>
                    <w:rPr>
                      <w:sz w:val="21"/>
                    </w:rPr>
                    <w:t>阵列卡：</w:t>
                  </w:r>
                  <w:r>
                    <w:rPr>
                      <w:sz w:val="21"/>
                    </w:rPr>
                    <w:t>配置</w:t>
                  </w:r>
                  <w:r>
                    <w:rPr>
                      <w:sz w:val="21"/>
                    </w:rPr>
                    <w:t>SATA/SAS 阵列卡</w:t>
                  </w:r>
                  <w:r>
                    <w:rPr>
                      <w:sz w:val="21"/>
                    </w:rPr>
                    <w:t>，</w:t>
                  </w:r>
                  <w:r>
                    <w:rPr>
                      <w:sz w:val="21"/>
                    </w:rPr>
                    <w:t>支持</w:t>
                  </w:r>
                  <w:r>
                    <w:rPr>
                      <w:sz w:val="21"/>
                    </w:rPr>
                    <w:t>RAID0、1、10、5、50、6、60</w:t>
                  </w:r>
                  <w:r>
                    <w:rPr>
                      <w:sz w:val="21"/>
                    </w:rPr>
                    <w:t>；</w:t>
                  </w:r>
                </w:p>
                <w:p>
                  <w:pPr>
                    <w:jc w:val="left"/>
                  </w:pPr>
                  <w:r>
                    <w:rPr>
                      <w:sz w:val="21"/>
                    </w:rPr>
                    <w:t>6.</w:t>
                  </w:r>
                  <w:r>
                    <w:rPr>
                      <w:sz w:val="21"/>
                    </w:rPr>
                    <w:t>提供</w:t>
                  </w:r>
                  <w:r>
                    <w:rPr>
                      <w:sz w:val="21"/>
                    </w:rPr>
                    <w:t>≥3个 PCI-E 4.0标准插槽，≥1个OCP3.0专用插槽（PCI-E4.0 x16），最多提供≥10个 PCI-E 4.0标准插槽：</w:t>
                  </w:r>
                </w:p>
                <w:p>
                  <w:pPr>
                    <w:jc w:val="left"/>
                  </w:pPr>
                  <w:r>
                    <w:rPr>
                      <w:sz w:val="21"/>
                    </w:rPr>
                    <w:t>7</w:t>
                  </w:r>
                  <w:r>
                    <w:rPr>
                      <w:sz w:val="21"/>
                    </w:rPr>
                    <w:t>.网卡控制器：≥4口千兆网口，配备≥1个OCP3.0网口模块；</w:t>
                  </w:r>
                </w:p>
                <w:p>
                  <w:pPr>
                    <w:jc w:val="left"/>
                  </w:pPr>
                  <w:r>
                    <w:rPr>
                      <w:sz w:val="21"/>
                    </w:rPr>
                    <w:t>8.</w:t>
                  </w:r>
                  <w:r>
                    <w:rPr>
                      <w:sz w:val="21"/>
                    </w:rPr>
                    <w:t>电源：</w:t>
                  </w:r>
                  <w:r>
                    <w:rPr>
                      <w:sz w:val="21"/>
                    </w:rPr>
                    <w:t>2</w:t>
                  </w:r>
                  <w:r>
                    <w:rPr>
                      <w:sz w:val="21"/>
                    </w:rPr>
                    <w:t>个</w:t>
                  </w:r>
                  <w:r>
                    <w:rPr>
                      <w:sz w:val="21"/>
                    </w:rPr>
                    <w:t>≥800W交流电源模块；支持1+0单电源模式，或1+1冗余电源模式；</w:t>
                  </w:r>
                </w:p>
                <w:p>
                  <w:pPr>
                    <w:jc w:val="left"/>
                  </w:pPr>
                  <w:r>
                    <w:rPr>
                      <w:sz w:val="21"/>
                    </w:rPr>
                    <w:t>9.</w:t>
                  </w:r>
                  <w:r>
                    <w:rPr>
                      <w:sz w:val="21"/>
                    </w:rPr>
                    <w:t>管理功能：支持</w:t>
                  </w:r>
                  <w:r>
                    <w:rPr>
                      <w:sz w:val="21"/>
                    </w:rPr>
                    <w:t>IPMI2.0，对外提供1个≥100/≥1000 Mbps RJ45管理网口，支持iKVM 远程管理</w:t>
                  </w:r>
                  <w:r>
                    <w:rPr>
                      <w:sz w:val="21"/>
                    </w:rPr>
                    <w:t>；</w:t>
                  </w:r>
                </w:p>
                <w:p>
                  <w:pPr>
                    <w:jc w:val="left"/>
                  </w:pPr>
                  <w:r>
                    <w:rPr>
                      <w:sz w:val="21"/>
                    </w:rPr>
                    <w:t>1</w:t>
                  </w:r>
                  <w:r>
                    <w:rPr>
                      <w:sz w:val="21"/>
                    </w:rPr>
                    <w:t>0.</w:t>
                  </w:r>
                  <w:r>
                    <w:rPr>
                      <w:sz w:val="21"/>
                    </w:rPr>
                    <w:t>集成安全性：支持</w:t>
                  </w:r>
                  <w:r>
                    <w:rPr>
                      <w:sz w:val="21"/>
                    </w:rPr>
                    <w:t>TPM加密模块接口，保障端到端安全性，机箱开盖入侵检测，加锁机箱上盖板</w:t>
                  </w:r>
                  <w:r>
                    <w:rPr>
                      <w:sz w:val="21"/>
                    </w:rPr>
                    <w:t>；</w:t>
                  </w:r>
                </w:p>
                <w:p>
                  <w:pPr>
                    <w:jc w:val="left"/>
                  </w:pPr>
                  <w:r>
                    <w:rPr>
                      <w:sz w:val="21"/>
                    </w:rPr>
                    <w:t>1</w:t>
                  </w:r>
                  <w:r>
                    <w:rPr>
                      <w:sz w:val="21"/>
                    </w:rPr>
                    <w:t>1.</w:t>
                  </w:r>
                  <w:r>
                    <w:rPr>
                      <w:sz w:val="21"/>
                    </w:rPr>
                    <w:t>支持显示集成</w:t>
                  </w:r>
                  <w:r>
                    <w:rPr>
                      <w:sz w:val="21"/>
                    </w:rPr>
                    <w:t>VGA接口，≥4个USB3.0接口</w:t>
                  </w:r>
                  <w:r>
                    <w:rPr>
                      <w:sz w:val="21"/>
                    </w:rPr>
                    <w:t>；</w:t>
                  </w:r>
                </w:p>
                <w:p>
                  <w:pPr>
                    <w:jc w:val="left"/>
                  </w:pPr>
                  <w:r>
                    <w:rPr>
                      <w:sz w:val="21"/>
                    </w:rPr>
                    <w:t>1</w:t>
                  </w:r>
                  <w:r>
                    <w:rPr>
                      <w:sz w:val="21"/>
                    </w:rPr>
                    <w:t>2.</w:t>
                  </w:r>
                  <w:r>
                    <w:rPr>
                      <w:sz w:val="21"/>
                    </w:rPr>
                    <w:t>远程管理功能：标配远程管理功能，可实现与操作系统无关的远程控制，功能包括但不限于</w:t>
                  </w:r>
                  <w:r>
                    <w:rPr>
                      <w:sz w:val="21"/>
                    </w:rPr>
                    <w:t>:</w:t>
                  </w:r>
                </w:p>
                <w:p>
                  <w:pPr>
                    <w:jc w:val="left"/>
                  </w:pPr>
                  <w:r>
                    <w:rPr>
                      <w:sz w:val="21"/>
                    </w:rPr>
                    <w:t>（</w:t>
                  </w:r>
                  <w:r>
                    <w:rPr>
                      <w:sz w:val="21"/>
                    </w:rPr>
                    <w:t>1）虚拟电源可远程开机、重启、关机；</w:t>
                  </w:r>
                </w:p>
                <w:p>
                  <w:pPr>
                    <w:jc w:val="left"/>
                  </w:pPr>
                  <w:r>
                    <w:rPr>
                      <w:sz w:val="21"/>
                    </w:rPr>
                    <w:t>（</w:t>
                  </w:r>
                  <w:r>
                    <w:rPr>
                      <w:sz w:val="21"/>
                    </w:rPr>
                    <w:t>2）更新Firmware;支持远程故障现象重现；</w:t>
                  </w:r>
                </w:p>
                <w:p>
                  <w:pPr>
                    <w:jc w:val="left"/>
                  </w:pPr>
                  <w:r>
                    <w:rPr>
                      <w:sz w:val="21"/>
                    </w:rPr>
                    <w:t>（</w:t>
                  </w:r>
                  <w:r>
                    <w:rPr>
                      <w:sz w:val="21"/>
                    </w:rPr>
                    <w:t>3）虚拟控制台可远程监控图形界面，可远程从本地软盘和光盘或其影像启动安装、操作Windows,Linux等软件（虚拟软驱、虚拟光驱、虚拟目录和虚拟U盘）；</w:t>
                  </w:r>
                </w:p>
                <w:p>
                  <w:pPr>
                    <w:jc w:val="left"/>
                  </w:pPr>
                  <w:r>
                    <w:rPr>
                      <w:sz w:val="21"/>
                    </w:rPr>
                    <w:t>（</w:t>
                  </w:r>
                  <w:r>
                    <w:rPr>
                      <w:sz w:val="21"/>
                    </w:rPr>
                    <w:t>4）主板集成iBMC，可实现远程iKVM；</w:t>
                  </w:r>
                </w:p>
              </w:tc>
              <w:tc>
                <w:tcPr>
                  <w:tcW w:type="dxa" w:w="408"/>
                  <w:tcBorders>
                    <w:top w:val="none" w:color="000000" w:sz="4"/>
                    <w:left w:val="none" w:color="000000" w:sz="4"/>
                    <w:bottom w:val="single" w:color="000000" w:sz="4"/>
                    <w:right w:val="single" w:color="000000" w:sz="4"/>
                  </w:tcBorders>
                  <w:vAlign w:val="top"/>
                </w:tcPr>
                <w:p>
                  <w:pPr>
                    <w:jc w:val="center"/>
                  </w:pPr>
                  <w:r>
                    <w:rPr>
                      <w:color w:val="000000"/>
                      <w:sz w:val="20"/>
                    </w:rPr>
                    <w:t>1 个</w:t>
                  </w:r>
                </w:p>
              </w:tc>
            </w:tr>
            <w:tr>
              <w:tc>
                <w:tcPr>
                  <w:tcW w:type="dxa" w:w="328"/>
                  <w:tcBorders>
                    <w:top w:val="none" w:color="000000" w:sz="4"/>
                    <w:left w:val="single" w:color="000000" w:sz="4"/>
                    <w:bottom w:val="single" w:color="000000" w:sz="4"/>
                    <w:right w:val="single" w:color="000000" w:sz="4"/>
                  </w:tcBorders>
                  <w:vAlign w:val="top"/>
                </w:tcPr>
                <w:p>
                  <w:pPr>
                    <w:jc w:val="both"/>
                  </w:pPr>
                  <w:r>
                    <w:rPr>
                      <w:sz w:val="21"/>
                    </w:rPr>
                    <w:t>3.</w:t>
                  </w:r>
                </w:p>
              </w:tc>
              <w:tc>
                <w:tcPr>
                  <w:tcW w:type="dxa" w:w="629"/>
                  <w:tcBorders>
                    <w:top w:val="none" w:color="000000" w:sz="4"/>
                    <w:left w:val="single" w:color="000000" w:sz="4"/>
                    <w:bottom w:val="single" w:color="000000" w:sz="4"/>
                    <w:right w:val="single" w:color="000000" w:sz="4"/>
                  </w:tcBorders>
                  <w:vAlign w:val="top"/>
                </w:tcPr>
                <w:p>
                  <w:pPr>
                    <w:jc w:val="center"/>
                  </w:pPr>
                  <w:r>
                    <w:rPr>
                      <w:color w:val="000000"/>
                      <w:sz w:val="20"/>
                    </w:rPr>
                    <w:t>云桌面管理节点</w:t>
                  </w:r>
                </w:p>
              </w:tc>
              <w:tc>
                <w:tcPr>
                  <w:tcW w:type="dxa" w:w="4233"/>
                  <w:tcBorders>
                    <w:top w:val="none" w:color="000000" w:sz="4"/>
                    <w:left w:val="single" w:color="000000" w:sz="4"/>
                    <w:bottom w:val="single" w:color="000000" w:sz="4"/>
                    <w:right w:val="single" w:color="000000" w:sz="4"/>
                  </w:tcBorders>
                  <w:vAlign w:val="top"/>
                </w:tcPr>
                <w:p>
                  <w:pPr>
                    <w:jc w:val="left"/>
                  </w:pPr>
                  <w:r>
                    <w:rPr>
                      <w:sz w:val="21"/>
                    </w:rPr>
                    <w:t>1.处理器：相当于或优于1颗10核心20线程，主频不低于2.4GHz</w:t>
                  </w:r>
                  <w:r>
                    <w:rPr>
                      <w:sz w:val="21"/>
                    </w:rPr>
                    <w:t>；</w:t>
                  </w:r>
                </w:p>
                <w:p>
                  <w:pPr>
                    <w:jc w:val="left"/>
                  </w:pPr>
                  <w:r>
                    <w:rPr>
                      <w:sz w:val="21"/>
                    </w:rPr>
                    <w:t>2.内 存：≥64GB；</w:t>
                  </w:r>
                </w:p>
                <w:p>
                  <w:pPr>
                    <w:jc w:val="left"/>
                  </w:pPr>
                  <w:r>
                    <w:rPr>
                      <w:sz w:val="21"/>
                    </w:rPr>
                    <w:t>3.硬 盘：≥2块4TB SATA硬盘；≥1块3</w:t>
                  </w:r>
                  <w:r>
                    <w:rPr>
                      <w:sz w:val="21"/>
                    </w:rPr>
                    <w:t>.84T</w:t>
                  </w:r>
                  <w:r>
                    <w:rPr>
                      <w:sz w:val="21"/>
                    </w:rPr>
                    <w:t xml:space="preserve"> </w:t>
                  </w:r>
                  <w:r>
                    <w:rPr>
                      <w:sz w:val="21"/>
                    </w:rPr>
                    <w:t>NVME SSD硬盘；</w:t>
                  </w:r>
                </w:p>
                <w:p>
                  <w:pPr>
                    <w:jc w:val="left"/>
                  </w:pPr>
                  <w:r>
                    <w:rPr>
                      <w:sz w:val="21"/>
                    </w:rPr>
                    <w:t>4.配置独立阵列卡，实现RAID 0/1/5等策略保护</w:t>
                  </w:r>
                  <w:r>
                    <w:rPr>
                      <w:sz w:val="21"/>
                    </w:rPr>
                    <w:t>；</w:t>
                  </w:r>
                </w:p>
                <w:p>
                  <w:pPr>
                    <w:jc w:val="left"/>
                  </w:pPr>
                  <w:r>
                    <w:rPr>
                      <w:sz w:val="21"/>
                    </w:rPr>
                    <w:t>5.网络I/O：不少于2*10000</w:t>
                  </w:r>
                  <w:r>
                    <w:rPr>
                      <w:sz w:val="21"/>
                    </w:rPr>
                    <w:t>M</w:t>
                  </w:r>
                  <w:r>
                    <w:rPr>
                      <w:sz w:val="21"/>
                    </w:rPr>
                    <w:t>；</w:t>
                  </w:r>
                </w:p>
                <w:p>
                  <w:pPr>
                    <w:jc w:val="left"/>
                  </w:pPr>
                  <w:r>
                    <w:rPr>
                      <w:sz w:val="21"/>
                    </w:rPr>
                    <w:t>6</w:t>
                  </w:r>
                  <w:r>
                    <w:rPr>
                      <w:sz w:val="21"/>
                    </w:rPr>
                    <w:t>.支持IPMI2.0，对外提供</w:t>
                  </w:r>
                  <w:r>
                    <w:rPr>
                      <w:sz w:val="21"/>
                    </w:rPr>
                    <w:t>不少于</w:t>
                  </w:r>
                  <w:r>
                    <w:rPr>
                      <w:sz w:val="21"/>
                    </w:rPr>
                    <w:t>1个100/1000 Mbps RJ45管理网口，集成iKVM，支持远程管理；</w:t>
                  </w:r>
                </w:p>
                <w:p>
                  <w:pPr>
                    <w:jc w:val="left"/>
                  </w:pPr>
                  <w:r>
                    <w:rPr>
                      <w:sz w:val="21"/>
                    </w:rPr>
                    <w:t>7</w:t>
                  </w:r>
                  <w:r>
                    <w:rPr>
                      <w:sz w:val="21"/>
                    </w:rPr>
                    <w:t>.高效节能电源模块</w:t>
                  </w:r>
                  <w:r>
                    <w:rPr>
                      <w:sz w:val="21"/>
                    </w:rPr>
                    <w:t>；</w:t>
                  </w:r>
                </w:p>
                <w:p>
                  <w:pPr>
                    <w:jc w:val="left"/>
                  </w:pPr>
                  <w:r>
                    <w:rPr>
                      <w:sz w:val="21"/>
                    </w:rPr>
                    <w:t>8.支持管理网络、数据网络、镜像网络分离设置，保证系统网络安全性与稳定性，三种网络可绑定到不同的服务器物理网卡，实现网络分流；</w:t>
                  </w:r>
                </w:p>
                <w:p>
                  <w:pPr>
                    <w:jc w:val="left"/>
                  </w:pPr>
                  <w:r>
                    <w:rPr>
                      <w:sz w:val="21"/>
                    </w:rPr>
                    <w:t>▲9</w:t>
                  </w:r>
                  <w:r>
                    <w:rPr>
                      <w:sz w:val="21"/>
                    </w:rPr>
                    <w:t>.</w:t>
                  </w:r>
                  <w:r>
                    <w:rPr>
                      <w:sz w:val="21"/>
                    </w:rPr>
                    <w:t>可对服务器资源进行逻辑卷动态分配，实现虚拟机在服务器之间的动态分配，提供实现逻辑卷动态分配并支持虚拟机动态迁移的系统及方法的国家主管行政机关认可的相关知识产权证明文件扫描件</w:t>
                  </w:r>
                  <w:r>
                    <w:rPr>
                      <w:sz w:val="21"/>
                    </w:rPr>
                    <w:t>；</w:t>
                  </w:r>
                </w:p>
                <w:p>
                  <w:pPr>
                    <w:jc w:val="left"/>
                  </w:pPr>
                  <w:r>
                    <w:rPr>
                      <w:sz w:val="21"/>
                    </w:rPr>
                    <w:t>10</w:t>
                  </w:r>
                  <w:r>
                    <w:rPr>
                      <w:sz w:val="21"/>
                    </w:rPr>
                    <w:t>.</w:t>
                  </w:r>
                  <w:r>
                    <w:rPr>
                      <w:sz w:val="21"/>
                    </w:rPr>
                    <w:t>管理平台上提供设置策略，可手动输入限制单台服务器同时创建虚拟机的数量，保证系统的稳定运行；</w:t>
                  </w:r>
                </w:p>
                <w:p>
                  <w:pPr>
                    <w:jc w:val="left"/>
                  </w:pPr>
                  <w:r>
                    <w:rPr>
                      <w:sz w:val="21"/>
                    </w:rPr>
                    <w:t>11</w:t>
                  </w:r>
                  <w:r>
                    <w:rPr>
                      <w:sz w:val="21"/>
                    </w:rPr>
                    <w:t>.</w:t>
                  </w:r>
                  <w:r>
                    <w:rPr>
                      <w:sz w:val="21"/>
                    </w:rPr>
                    <w:t>不采用第三方工具，自带磁盘检测功能页面，在服务器安装时可以选择磁盘进行性能测试，输出</w:t>
                  </w:r>
                  <w:r>
                    <w:rPr>
                      <w:sz w:val="21"/>
                    </w:rPr>
                    <w:t>16k随机读、16k顺序写数据，并评估磁盘性能结果；</w:t>
                  </w:r>
                </w:p>
                <w:p>
                  <w:pPr>
                    <w:jc w:val="left"/>
                  </w:pPr>
                  <w:r>
                    <w:rPr>
                      <w:sz w:val="21"/>
                    </w:rPr>
                    <w:t>12</w:t>
                  </w:r>
                  <w:r>
                    <w:rPr>
                      <w:sz w:val="21"/>
                    </w:rPr>
                    <w:t>.</w:t>
                  </w:r>
                  <w:r>
                    <w:rPr>
                      <w:sz w:val="21"/>
                    </w:rPr>
                    <w:t>为了避免电源突然断电对设备的损害，在电源输入突然断电后，机器不能立即断电关机，应保持开机状态</w:t>
                  </w:r>
                  <w:r>
                    <w:rPr>
                      <w:sz w:val="21"/>
                    </w:rPr>
                    <w:t>≥3分钟，然后自动开始正常关机</w:t>
                  </w:r>
                  <w:r>
                    <w:rPr>
                      <w:sz w:val="21"/>
                    </w:rPr>
                    <w:t>动作；</w:t>
                  </w:r>
                </w:p>
                <w:p>
                  <w:pPr>
                    <w:jc w:val="left"/>
                  </w:pPr>
                  <w:r>
                    <w:rPr>
                      <w:sz w:val="21"/>
                    </w:rPr>
                    <w:t>▲13</w:t>
                  </w:r>
                  <w:r>
                    <w:rPr>
                      <w:sz w:val="21"/>
                    </w:rPr>
                    <w:t>.</w:t>
                  </w:r>
                  <w:r>
                    <w:rPr>
                      <w:sz w:val="21"/>
                    </w:rPr>
                    <w:t>机器应通过检测项目：高温贮存、高温工作、交变湿热、恒定湿热、温度变大、随机振动、压力试验、跌落实验、碰撞试验，投标时提供</w:t>
                  </w:r>
                  <w:r>
                    <w:rPr>
                      <w:sz w:val="21"/>
                    </w:rPr>
                    <w:t>第三方具有</w:t>
                  </w:r>
                  <w:r>
                    <w:rPr>
                      <w:sz w:val="21"/>
                    </w:rPr>
                    <w:t>CNAS、CMA认证标志</w:t>
                  </w:r>
                  <w:r>
                    <w:rPr>
                      <w:sz w:val="21"/>
                    </w:rPr>
                    <w:t>检测</w:t>
                  </w:r>
                  <w:r>
                    <w:rPr>
                      <w:sz w:val="21"/>
                    </w:rPr>
                    <w:t>机构出具的</w:t>
                  </w:r>
                  <w:r>
                    <w:rPr>
                      <w:sz w:val="21"/>
                    </w:rPr>
                    <w:t>该项产品功能的</w:t>
                  </w:r>
                  <w:r>
                    <w:rPr>
                      <w:sz w:val="21"/>
                    </w:rPr>
                    <w:t>检测报告复印件。</w:t>
                  </w:r>
                </w:p>
              </w:tc>
              <w:tc>
                <w:tcPr>
                  <w:tcW w:type="dxa" w:w="408"/>
                  <w:tcBorders>
                    <w:top w:val="none" w:color="000000" w:sz="4"/>
                    <w:left w:val="single" w:color="000000" w:sz="4"/>
                    <w:bottom w:val="single" w:color="000000" w:sz="4"/>
                    <w:right w:val="single" w:color="000000" w:sz="4"/>
                  </w:tcBorders>
                  <w:vAlign w:val="top"/>
                </w:tcPr>
                <w:p>
                  <w:pPr>
                    <w:jc w:val="center"/>
                  </w:pPr>
                  <w:r>
                    <w:rPr>
                      <w:color w:val="000000"/>
                      <w:sz w:val="20"/>
                    </w:rPr>
                    <w:t>1 个</w:t>
                  </w:r>
                </w:p>
              </w:tc>
            </w:tr>
            <w:tr>
              <w:tc>
                <w:tcPr>
                  <w:tcW w:type="dxa" w:w="328"/>
                  <w:tcBorders>
                    <w:top w:val="none" w:color="000000" w:sz="4"/>
                    <w:left w:val="single" w:color="000000" w:sz="4"/>
                    <w:bottom w:val="single" w:color="000000" w:sz="4"/>
                    <w:right w:val="single" w:color="000000" w:sz="4"/>
                  </w:tcBorders>
                  <w:vAlign w:val="top"/>
                </w:tcPr>
                <w:p>
                  <w:pPr>
                    <w:jc w:val="both"/>
                  </w:pPr>
                  <w:r>
                    <w:rPr>
                      <w:sz w:val="21"/>
                    </w:rPr>
                    <w:t>4.</w:t>
                  </w:r>
                </w:p>
              </w:tc>
              <w:tc>
                <w:tcPr>
                  <w:tcW w:type="dxa" w:w="629"/>
                  <w:tcBorders>
                    <w:top w:val="none" w:color="000000" w:sz="4"/>
                    <w:left w:val="single" w:color="000000" w:sz="4"/>
                    <w:bottom w:val="single" w:color="000000" w:sz="4"/>
                    <w:right w:val="single" w:color="000000" w:sz="4"/>
                  </w:tcBorders>
                  <w:vAlign w:val="top"/>
                </w:tcPr>
                <w:p>
                  <w:pPr>
                    <w:jc w:val="center"/>
                  </w:pPr>
                  <w:r>
                    <w:rPr>
                      <w:sz w:val="21"/>
                    </w:rPr>
                    <w:t>万兆交换机</w:t>
                  </w:r>
                </w:p>
              </w:tc>
              <w:tc>
                <w:tcPr>
                  <w:tcW w:type="dxa" w:w="4233"/>
                  <w:tcBorders>
                    <w:top w:val="none" w:color="000000" w:sz="4"/>
                    <w:left w:val="single" w:color="000000" w:sz="4"/>
                    <w:bottom w:val="single" w:color="000000" w:sz="4"/>
                    <w:right w:val="single" w:color="000000" w:sz="4"/>
                  </w:tcBorders>
                  <w:vAlign w:val="top"/>
                </w:tcPr>
                <w:p>
                  <w:pPr>
                    <w:jc w:val="left"/>
                  </w:pPr>
                  <w:r>
                    <w:rPr>
                      <w:sz w:val="21"/>
                    </w:rPr>
                    <w:t>1</w:t>
                  </w:r>
                  <w:r>
                    <w:rPr>
                      <w:sz w:val="21"/>
                    </w:rPr>
                    <w:t>.</w:t>
                  </w:r>
                  <w:r>
                    <w:rPr>
                      <w:sz w:val="21"/>
                    </w:rPr>
                    <w:t>支持并实配</w:t>
                  </w:r>
                  <w:r>
                    <w:rPr>
                      <w:sz w:val="21"/>
                    </w:rPr>
                    <w:t>10G/1G接口数≥20，25G/10G接口数量≥4，40G接口数≥2，整机可扩展支持10G接口数≥32。交换容量≥2.56T，包转发率≥570Mpps，支持所有端口在64字节下100%线速；</w:t>
                  </w:r>
                </w:p>
                <w:p>
                  <w:pPr>
                    <w:jc w:val="left"/>
                  </w:pPr>
                  <w:r>
                    <w:rPr>
                      <w:sz w:val="21"/>
                    </w:rPr>
                    <w:t>2</w:t>
                  </w:r>
                  <w:r>
                    <w:rPr>
                      <w:sz w:val="21"/>
                    </w:rPr>
                    <w:t>.</w:t>
                  </w:r>
                  <w:r>
                    <w:rPr>
                      <w:sz w:val="21"/>
                    </w:rPr>
                    <w:t>支持并实配可拔插双模块化电源，可拔插双模块化风扇，前后风道；</w:t>
                  </w:r>
                </w:p>
                <w:p>
                  <w:pPr>
                    <w:jc w:val="left"/>
                  </w:pPr>
                  <w:r>
                    <w:rPr>
                      <w:sz w:val="21"/>
                    </w:rPr>
                    <w:t>3</w:t>
                  </w:r>
                  <w:r>
                    <w:rPr>
                      <w:sz w:val="21"/>
                    </w:rPr>
                    <w:t>.</w:t>
                  </w:r>
                  <w:r>
                    <w:rPr>
                      <w:sz w:val="21"/>
                    </w:rPr>
                    <w:t>支持硬件健康状态可视化，可以对风扇状态、电源、温度、板载电压进行监控，尤其是在日常巡查中发现电压异常前兆，可及时处理，避免出现电压异常宕机；</w:t>
                  </w:r>
                </w:p>
                <w:p>
                  <w:pPr>
                    <w:jc w:val="left"/>
                  </w:pPr>
                  <w:r>
                    <w:rPr>
                      <w:sz w:val="21"/>
                    </w:rPr>
                    <w:t>4</w:t>
                  </w:r>
                  <w:r>
                    <w:rPr>
                      <w:sz w:val="21"/>
                    </w:rPr>
                    <w:t>.</w:t>
                  </w:r>
                  <w:r>
                    <w:rPr>
                      <w:sz w:val="21"/>
                    </w:rPr>
                    <w:t>支持</w:t>
                  </w:r>
                  <w:r>
                    <w:rPr>
                      <w:sz w:val="21"/>
                    </w:rPr>
                    <w:t>RIP，OSPF，BGP，RIPng，OSPFv3，BGP4+；</w:t>
                  </w:r>
                </w:p>
                <w:p>
                  <w:pPr>
                    <w:jc w:val="left"/>
                  </w:pPr>
                  <w:r>
                    <w:rPr>
                      <w:sz w:val="21"/>
                    </w:rPr>
                    <w:t>5、支持多虚一技术，可将多台物理设备虚拟化为一台逻辑设备统一管理，VSL故障恢复时间＜30ms；</w:t>
                  </w:r>
                </w:p>
                <w:p>
                  <w:pPr>
                    <w:jc w:val="left"/>
                  </w:pPr>
                  <w:r>
                    <w:rPr>
                      <w:sz w:val="21"/>
                    </w:rPr>
                    <w:t>6</w:t>
                  </w:r>
                  <w:r>
                    <w:rPr>
                      <w:sz w:val="21"/>
                    </w:rPr>
                    <w:t>.</w:t>
                  </w:r>
                  <w:r>
                    <w:rPr>
                      <w:sz w:val="21"/>
                    </w:rPr>
                    <w:t>支持同时开启</w:t>
                  </w:r>
                  <w:r>
                    <w:rPr>
                      <w:sz w:val="21"/>
                    </w:rPr>
                    <w:t>802.1X或WEB认证，CPP、ACL、防ARP欺骗等功能不会相互冲突、制约；</w:t>
                  </w:r>
                </w:p>
                <w:p>
                  <w:pPr>
                    <w:jc w:val="left"/>
                  </w:pPr>
                  <w:r>
                    <w:rPr>
                      <w:sz w:val="21"/>
                    </w:rPr>
                    <w:t>7</w:t>
                  </w:r>
                  <w:r>
                    <w:rPr>
                      <w:sz w:val="21"/>
                    </w:rPr>
                    <w:t>.</w:t>
                  </w:r>
                  <w:r>
                    <w:rPr>
                      <w:sz w:val="21"/>
                    </w:rPr>
                    <w:t>要求所投产品支持软件定义网络</w:t>
                  </w:r>
                  <w:r>
                    <w:rPr>
                      <w:sz w:val="21"/>
                    </w:rPr>
                    <w:t>SDN，符合OpenFlow、NETCONF协议标准</w:t>
                  </w:r>
                </w:p>
                <w:p>
                  <w:pPr>
                    <w:jc w:val="left"/>
                  </w:pPr>
                  <w:r>
                    <w:rPr>
                      <w:sz w:val="21"/>
                    </w:rPr>
                    <w:t>8</w:t>
                  </w:r>
                  <w:r>
                    <w:rPr>
                      <w:sz w:val="21"/>
                    </w:rPr>
                    <w:t>.</w:t>
                  </w:r>
                  <w:r>
                    <w:rPr>
                      <w:sz w:val="21"/>
                    </w:rPr>
                    <w:t>支持</w:t>
                  </w:r>
                  <w:r>
                    <w:rPr>
                      <w:sz w:val="21"/>
                    </w:rPr>
                    <w:t>CPU保护功能，能够针对发往CPU处理的各种报文进行流区分和优先级队列分级处理，保护交换机在各种环境下稳定工作；</w:t>
                  </w:r>
                </w:p>
                <w:p>
                  <w:pPr>
                    <w:jc w:val="left"/>
                  </w:pPr>
                  <w:r>
                    <w:rPr>
                      <w:sz w:val="21"/>
                    </w:rPr>
                    <w:t>9</w:t>
                  </w:r>
                  <w:r>
                    <w:rPr>
                      <w:sz w:val="21"/>
                    </w:rPr>
                    <w:t>.</w:t>
                  </w:r>
                  <w:r>
                    <w:rPr>
                      <w:sz w:val="21"/>
                    </w:rPr>
                    <w:t>支持专门基础网络保护机制，能够限制用户向网络中发送数据包的速率，对有攻击行为的用户进行隔离，保证设备和整网的安全稳定运行；</w:t>
                  </w:r>
                </w:p>
                <w:p>
                  <w:pPr>
                    <w:jc w:val="left"/>
                  </w:pPr>
                  <w:r>
                    <w:rPr>
                      <w:sz w:val="21"/>
                    </w:rPr>
                    <w:t>10</w:t>
                  </w:r>
                  <w:r>
                    <w:rPr>
                      <w:sz w:val="21"/>
                    </w:rPr>
                    <w:t>.</w:t>
                  </w:r>
                  <w:r>
                    <w:rPr>
                      <w:sz w:val="21"/>
                    </w:rPr>
                    <w:t>支持硬件层级双</w:t>
                  </w:r>
                  <w:r>
                    <w:rPr>
                      <w:sz w:val="21"/>
                    </w:rPr>
                    <w:t>boot，采用</w:t>
                  </w:r>
                  <w:r>
                    <w:rPr>
                      <w:sz w:val="21"/>
                    </w:rPr>
                    <w:t>≥</w:t>
                  </w:r>
                  <w:r>
                    <w:rPr>
                      <w:sz w:val="21"/>
                    </w:rPr>
                    <w:t>两个</w:t>
                  </w:r>
                  <w:r>
                    <w:rPr>
                      <w:sz w:val="21"/>
                    </w:rPr>
                    <w:t>FLASH芯片存储boot软件（系统引导程序），实现硬件级boot冗余备份，避免因FLASH芯片故障导致交换机无法启动；</w:t>
                  </w:r>
                </w:p>
                <w:p>
                  <w:pPr>
                    <w:jc w:val="left"/>
                  </w:pPr>
                  <w:r>
                    <w:rPr>
                      <w:sz w:val="21"/>
                    </w:rPr>
                    <w:t>11</w:t>
                  </w:r>
                  <w:r>
                    <w:rPr>
                      <w:sz w:val="21"/>
                    </w:rPr>
                    <w:t>.</w:t>
                  </w:r>
                  <w:r>
                    <w:rPr>
                      <w:sz w:val="21"/>
                    </w:rPr>
                    <w:t>设备支持故障隔离技术，用于监测光模块状态，一旦出现故障，可马上识别、并将故障模块隔离，确保不影响其它端口和整机的正常运行，更换模块后该端口也可马上恢复正常工作；</w:t>
                  </w:r>
                </w:p>
              </w:tc>
              <w:tc>
                <w:tcPr>
                  <w:tcW w:type="dxa" w:w="408"/>
                  <w:tcBorders>
                    <w:top w:val="none" w:color="000000" w:sz="4"/>
                    <w:left w:val="single" w:color="000000" w:sz="4"/>
                    <w:bottom w:val="single" w:color="000000" w:sz="4"/>
                    <w:right w:val="single" w:color="000000" w:sz="4"/>
                  </w:tcBorders>
                  <w:vAlign w:val="top"/>
                </w:tcPr>
                <w:p>
                  <w:pPr>
                    <w:jc w:val="center"/>
                  </w:pPr>
                  <w:r>
                    <w:rPr>
                      <w:color w:val="000000"/>
                      <w:sz w:val="20"/>
                    </w:rPr>
                    <w:t>1台</w:t>
                  </w:r>
                </w:p>
              </w:tc>
            </w:tr>
            <w:tr>
              <w:tc>
                <w:tcPr>
                  <w:tcW w:type="dxa" w:w="328"/>
                  <w:tcBorders>
                    <w:top w:val="none" w:color="000000" w:sz="4"/>
                    <w:left w:val="single" w:color="000000" w:sz="4"/>
                    <w:bottom w:val="single" w:color="000000" w:sz="4"/>
                    <w:right w:val="single" w:color="000000" w:sz="4"/>
                  </w:tcBorders>
                  <w:vAlign w:val="top"/>
                </w:tcPr>
                <w:p>
                  <w:pPr>
                    <w:jc w:val="both"/>
                  </w:pPr>
                  <w:r>
                    <w:rPr>
                      <w:sz w:val="21"/>
                    </w:rPr>
                    <w:t>5.</w:t>
                  </w:r>
                </w:p>
              </w:tc>
              <w:tc>
                <w:tcPr>
                  <w:tcW w:type="dxa" w:w="629"/>
                  <w:tcBorders>
                    <w:top w:val="none" w:color="000000" w:sz="4"/>
                    <w:left w:val="single" w:color="000000" w:sz="4"/>
                    <w:bottom w:val="single" w:color="000000" w:sz="4"/>
                    <w:right w:val="single" w:color="000000" w:sz="4"/>
                  </w:tcBorders>
                  <w:vAlign w:val="top"/>
                </w:tcPr>
                <w:p>
                  <w:pPr>
                    <w:jc w:val="center"/>
                  </w:pPr>
                  <w:r>
                    <w:rPr>
                      <w:sz w:val="21"/>
                    </w:rPr>
                    <w:t>千兆交换机</w:t>
                  </w:r>
                </w:p>
              </w:tc>
              <w:tc>
                <w:tcPr>
                  <w:tcW w:type="dxa" w:w="4233"/>
                  <w:tcBorders>
                    <w:top w:val="none" w:color="000000" w:sz="4"/>
                    <w:left w:val="single" w:color="000000" w:sz="4"/>
                    <w:bottom w:val="single" w:color="000000" w:sz="4"/>
                    <w:right w:val="single" w:color="000000" w:sz="4"/>
                  </w:tcBorders>
                  <w:vAlign w:val="top"/>
                </w:tcPr>
                <w:p>
                  <w:pPr>
                    <w:jc w:val="left"/>
                  </w:pPr>
                  <w:r>
                    <w:rPr>
                      <w:sz w:val="21"/>
                    </w:rPr>
                    <w:t>1</w:t>
                  </w:r>
                  <w:r>
                    <w:rPr>
                      <w:sz w:val="21"/>
                    </w:rPr>
                    <w:t>.</w:t>
                  </w:r>
                  <w:r>
                    <w:rPr>
                      <w:sz w:val="21"/>
                    </w:rPr>
                    <w:t>交换容量</w:t>
                  </w:r>
                  <w:r>
                    <w:rPr>
                      <w:sz w:val="21"/>
                    </w:rPr>
                    <w:t>≥432Gbps，转发性能≥87Mpps；</w:t>
                  </w:r>
                </w:p>
                <w:p>
                  <w:pPr>
                    <w:jc w:val="left"/>
                  </w:pPr>
                  <w:r>
                    <w:rPr>
                      <w:sz w:val="21"/>
                    </w:rPr>
                    <w:t>2</w:t>
                  </w:r>
                  <w:r>
                    <w:rPr>
                      <w:sz w:val="21"/>
                    </w:rPr>
                    <w:t>.</w:t>
                  </w:r>
                  <w:r>
                    <w:rPr>
                      <w:sz w:val="21"/>
                    </w:rPr>
                    <w:t>固化</w:t>
                  </w:r>
                  <w:r>
                    <w:rPr>
                      <w:sz w:val="21"/>
                    </w:rPr>
                    <w:t>10/100/1000M以太网端口≥48个，固化1G SFP光接口≥4个；</w:t>
                  </w:r>
                </w:p>
                <w:p>
                  <w:pPr>
                    <w:jc w:val="left"/>
                  </w:pPr>
                  <w:r>
                    <w:rPr>
                      <w:sz w:val="21"/>
                    </w:rPr>
                    <w:t>3</w:t>
                  </w:r>
                  <w:r>
                    <w:rPr>
                      <w:sz w:val="21"/>
                    </w:rPr>
                    <w:t>.</w:t>
                  </w:r>
                  <w:r>
                    <w:rPr>
                      <w:sz w:val="21"/>
                    </w:rPr>
                    <w:t>要求所投设备</w:t>
                  </w:r>
                  <w:r>
                    <w:rPr>
                      <w:sz w:val="21"/>
                    </w:rPr>
                    <w:t>MAC地址≥16K；</w:t>
                  </w:r>
                </w:p>
                <w:p>
                  <w:pPr>
                    <w:jc w:val="left"/>
                  </w:pPr>
                  <w:r>
                    <w:rPr>
                      <w:sz w:val="21"/>
                    </w:rPr>
                    <w:t>4</w:t>
                  </w:r>
                  <w:r>
                    <w:rPr>
                      <w:sz w:val="21"/>
                    </w:rPr>
                    <w:t>.</w:t>
                  </w:r>
                  <w:r>
                    <w:rPr>
                      <w:sz w:val="21"/>
                    </w:rPr>
                    <w:t>产品端口浪涌抗扰度</w:t>
                  </w:r>
                  <w:r>
                    <w:rPr>
                      <w:sz w:val="21"/>
                    </w:rPr>
                    <w:t>≥10kV，即具备</w:t>
                  </w:r>
                  <w:r>
                    <w:rPr>
                      <w:sz w:val="21"/>
                    </w:rPr>
                    <w:t>≥</w:t>
                  </w:r>
                  <w:r>
                    <w:rPr>
                      <w:sz w:val="21"/>
                    </w:rPr>
                    <w:t>10kV的防雷能力；</w:t>
                  </w:r>
                </w:p>
                <w:p>
                  <w:pPr>
                    <w:jc w:val="left"/>
                  </w:pPr>
                  <w:r>
                    <w:rPr>
                      <w:sz w:val="21"/>
                    </w:rPr>
                    <w:t>5</w:t>
                  </w:r>
                  <w:r>
                    <w:rPr>
                      <w:sz w:val="21"/>
                    </w:rPr>
                    <w:t>.</w:t>
                  </w:r>
                  <w:r>
                    <w:rPr>
                      <w:sz w:val="21"/>
                    </w:rPr>
                    <w:t>支持静态路由、</w:t>
                  </w:r>
                  <w:r>
                    <w:rPr>
                      <w:sz w:val="21"/>
                    </w:rPr>
                    <w:t>RIP/RIPng、OSPFv2/OSPFv3等三层路由协议；</w:t>
                  </w:r>
                </w:p>
                <w:p>
                  <w:pPr>
                    <w:jc w:val="left"/>
                  </w:pPr>
                  <w:r>
                    <w:rPr>
                      <w:sz w:val="21"/>
                    </w:rPr>
                    <w:t>6</w:t>
                  </w:r>
                  <w:r>
                    <w:rPr>
                      <w:sz w:val="21"/>
                    </w:rPr>
                    <w:t>.</w:t>
                  </w:r>
                  <w:r>
                    <w:rPr>
                      <w:sz w:val="21"/>
                    </w:rPr>
                    <w:t>支持</w:t>
                  </w:r>
                  <w:r>
                    <w:rPr>
                      <w:sz w:val="21"/>
                    </w:rPr>
                    <w:t>1对1、1对多、多对1和基于流的镜像；且支持RSPAN和ERSPAN；</w:t>
                  </w:r>
                </w:p>
                <w:p>
                  <w:pPr>
                    <w:jc w:val="left"/>
                  </w:pPr>
                  <w:r>
                    <w:rPr>
                      <w:sz w:val="21"/>
                    </w:rPr>
                    <w:t>7</w:t>
                  </w:r>
                  <w:r>
                    <w:rPr>
                      <w:sz w:val="21"/>
                    </w:rPr>
                    <w:t>.</w:t>
                  </w:r>
                  <w:r>
                    <w:rPr>
                      <w:sz w:val="21"/>
                    </w:rPr>
                    <w:t>支持软件定义网络</w:t>
                  </w:r>
                  <w:r>
                    <w:rPr>
                      <w:sz w:val="21"/>
                    </w:rPr>
                    <w:t>SDN，符合OpenFlow 1.3协议标准；</w:t>
                  </w:r>
                </w:p>
                <w:p>
                  <w:pPr>
                    <w:jc w:val="left"/>
                  </w:pPr>
                  <w:r>
                    <w:rPr>
                      <w:sz w:val="21"/>
                    </w:rPr>
                    <w:t>8</w:t>
                  </w:r>
                  <w:r>
                    <w:rPr>
                      <w:sz w:val="21"/>
                    </w:rPr>
                    <w:t>.</w:t>
                  </w:r>
                  <w:r>
                    <w:rPr>
                      <w:sz w:val="21"/>
                    </w:rPr>
                    <w:t>支持</w:t>
                  </w:r>
                  <w:r>
                    <w:rPr>
                      <w:sz w:val="21"/>
                    </w:rPr>
                    <w:t>CPU保护功能，能限制非法报文对CPU的攻击，保护交换机在各种环境下稳定工作；</w:t>
                  </w:r>
                </w:p>
                <w:p>
                  <w:pPr>
                    <w:jc w:val="left"/>
                  </w:pPr>
                  <w:r>
                    <w:rPr>
                      <w:sz w:val="21"/>
                    </w:rPr>
                    <w:t>9</w:t>
                  </w:r>
                  <w:r>
                    <w:rPr>
                      <w:sz w:val="21"/>
                    </w:rPr>
                    <w:t>.</w:t>
                  </w:r>
                  <w:r>
                    <w:rPr>
                      <w:sz w:val="21"/>
                    </w:rPr>
                    <w:t>支持专门基础网络保护机制，能够限制用户向网络中发送数据包的速率，对有攻击行为的用户进行隔离，保证设备和整网的安全稳定运行；</w:t>
                  </w:r>
                </w:p>
                <w:p>
                  <w:pPr>
                    <w:jc w:val="left"/>
                  </w:pPr>
                  <w:r>
                    <w:rPr>
                      <w:sz w:val="21"/>
                    </w:rPr>
                    <w:t>10</w:t>
                  </w:r>
                  <w:r>
                    <w:rPr>
                      <w:sz w:val="21"/>
                    </w:rPr>
                    <w:t>.</w:t>
                  </w:r>
                  <w:r>
                    <w:rPr>
                      <w:sz w:val="21"/>
                    </w:rPr>
                    <w:t>支持</w:t>
                  </w:r>
                  <w:r>
                    <w:rPr>
                      <w:sz w:val="21"/>
                    </w:rPr>
                    <w:t>sFlow网络监测技术；</w:t>
                  </w:r>
                </w:p>
                <w:p>
                  <w:pPr>
                    <w:jc w:val="left"/>
                  </w:pPr>
                  <w:r>
                    <w:rPr>
                      <w:sz w:val="21"/>
                    </w:rPr>
                    <w:t>11</w:t>
                  </w:r>
                  <w:r>
                    <w:rPr>
                      <w:sz w:val="21"/>
                    </w:rPr>
                    <w:t>.</w:t>
                  </w:r>
                  <w:r>
                    <w:rPr>
                      <w:sz w:val="21"/>
                    </w:rPr>
                    <w:t>支持虚拟化功能，可将多台物理设备虚拟化为一台逻辑设备统一管理，并且链路故障的收敛时间</w:t>
                  </w:r>
                  <w:r>
                    <w:rPr>
                      <w:sz w:val="21"/>
                    </w:rPr>
                    <w:t>≤30ms；</w:t>
                  </w:r>
                </w:p>
                <w:p>
                  <w:pPr>
                    <w:jc w:val="left"/>
                  </w:pPr>
                  <w:r>
                    <w:rPr>
                      <w:sz w:val="21"/>
                    </w:rPr>
                    <w:t>1</w:t>
                  </w:r>
                  <w:r>
                    <w:rPr>
                      <w:sz w:val="21"/>
                    </w:rPr>
                    <w:t>2</w:t>
                  </w:r>
                  <w:r>
                    <w:rPr>
                      <w:sz w:val="21"/>
                    </w:rPr>
                    <w:t>.</w:t>
                  </w:r>
                  <w:r>
                    <w:rPr>
                      <w:sz w:val="21"/>
                    </w:rPr>
                    <w:t>符合国家低碳环保等政策要求，支持</w:t>
                  </w:r>
                  <w:r>
                    <w:rPr>
                      <w:sz w:val="21"/>
                    </w:rPr>
                    <w:t>IEEE 802.3az标准的EEE节能技术；</w:t>
                  </w:r>
                </w:p>
                <w:p>
                  <w:pPr>
                    <w:jc w:val="left"/>
                  </w:pPr>
                  <w:r>
                    <w:rPr>
                      <w:sz w:val="21"/>
                    </w:rPr>
                    <w:t>1</w:t>
                  </w:r>
                  <w:r>
                    <w:rPr>
                      <w:sz w:val="21"/>
                    </w:rPr>
                    <w:t>3.</w:t>
                  </w:r>
                  <w:r>
                    <w:rPr>
                      <w:sz w:val="21"/>
                    </w:rPr>
                    <w:t>具备节能环保设计；</w:t>
                  </w:r>
                </w:p>
                <w:p>
                  <w:pPr>
                    <w:jc w:val="left"/>
                  </w:pPr>
                  <w:r>
                    <w:rPr>
                      <w:sz w:val="21"/>
                    </w:rPr>
                    <w:t>1</w:t>
                  </w:r>
                  <w:r>
                    <w:rPr>
                      <w:sz w:val="21"/>
                    </w:rPr>
                    <w:t>4.</w:t>
                  </w:r>
                  <w:r>
                    <w:rPr>
                      <w:sz w:val="21"/>
                    </w:rPr>
                    <w:t>交换机支持</w:t>
                  </w:r>
                  <w:r>
                    <w:rPr>
                      <w:sz w:val="21"/>
                    </w:rPr>
                    <w:t>OpenFlow 1.3协议；</w:t>
                  </w:r>
                </w:p>
                <w:p>
                  <w:pPr>
                    <w:jc w:val="left"/>
                  </w:pPr>
                  <w:r>
                    <w:rPr>
                      <w:sz w:val="21"/>
                    </w:rPr>
                    <w:t>1</w:t>
                  </w:r>
                  <w:r>
                    <w:rPr>
                      <w:sz w:val="21"/>
                    </w:rPr>
                    <w:t>5.</w:t>
                  </w:r>
                  <w:r>
                    <w:rPr>
                      <w:sz w:val="21"/>
                    </w:rPr>
                    <w:t>遵守国家标准的设计规则，满足</w:t>
                  </w:r>
                  <w:r>
                    <w:rPr>
                      <w:sz w:val="21"/>
                    </w:rPr>
                    <w:t>3C要求；</w:t>
                  </w:r>
                </w:p>
                <w:p>
                  <w:pPr>
                    <w:jc w:val="left"/>
                  </w:pPr>
                  <w:r>
                    <w:rPr>
                      <w:sz w:val="21"/>
                    </w:rPr>
                    <w:t>1</w:t>
                  </w:r>
                  <w:r>
                    <w:rPr>
                      <w:sz w:val="21"/>
                    </w:rPr>
                    <w:t>6.</w:t>
                  </w:r>
                  <w:r>
                    <w:rPr>
                      <w:sz w:val="21"/>
                    </w:rPr>
                    <w:t>支持</w:t>
                  </w:r>
                  <w:r>
                    <w:rPr>
                      <w:sz w:val="21"/>
                    </w:rPr>
                    <w:t>SNMP、CLI(Telnet/Console)、RMON、SSH、Syslog、NTP/SNTP、FTP、TFTP、Web；</w:t>
                  </w:r>
                </w:p>
                <w:p>
                  <w:pPr>
                    <w:jc w:val="left"/>
                  </w:pPr>
                  <w:r>
                    <w:rPr>
                      <w:sz w:val="21"/>
                    </w:rPr>
                    <w:t>1</w:t>
                  </w:r>
                  <w:r>
                    <w:rPr>
                      <w:sz w:val="21"/>
                    </w:rPr>
                    <w:t>7</w:t>
                  </w:r>
                  <w:r>
                    <w:rPr>
                      <w:sz w:val="21"/>
                    </w:rPr>
                    <w:t>.</w:t>
                  </w:r>
                  <w:r>
                    <w:rPr>
                      <w:sz w:val="21"/>
                    </w:rPr>
                    <w:t>为保证</w:t>
                  </w:r>
                  <w:r>
                    <w:rPr>
                      <w:sz w:val="21"/>
                    </w:rPr>
                    <w:t>IPv6的可部署性和应用性，交换机具备IPv6 Ready Phase2认证证书；</w:t>
                  </w:r>
                </w:p>
              </w:tc>
              <w:tc>
                <w:tcPr>
                  <w:tcW w:type="dxa" w:w="408"/>
                  <w:tcBorders>
                    <w:top w:val="none" w:color="000000" w:sz="4"/>
                    <w:left w:val="single" w:color="000000" w:sz="4"/>
                    <w:bottom w:val="single" w:color="000000" w:sz="4"/>
                    <w:right w:val="single" w:color="000000" w:sz="4"/>
                  </w:tcBorders>
                  <w:vAlign w:val="top"/>
                </w:tcPr>
                <w:p>
                  <w:pPr>
                    <w:jc w:val="center"/>
                  </w:pPr>
                  <w:r>
                    <w:rPr>
                      <w:color w:val="000000"/>
                      <w:sz w:val="20"/>
                    </w:rPr>
                    <w:t>2 台</w:t>
                  </w:r>
                </w:p>
              </w:tc>
            </w:tr>
            <w:tr>
              <w:tc>
                <w:tcPr>
                  <w:tcW w:type="dxa" w:w="328"/>
                  <w:tcBorders>
                    <w:top w:val="none" w:color="000000" w:sz="4"/>
                    <w:left w:val="single" w:color="000000" w:sz="4"/>
                    <w:bottom w:val="single" w:color="000000" w:sz="4"/>
                    <w:right w:val="single" w:color="000000" w:sz="4"/>
                  </w:tcBorders>
                  <w:vAlign w:val="top"/>
                </w:tcPr>
                <w:p>
                  <w:pPr>
                    <w:jc w:val="both"/>
                  </w:pPr>
                  <w:r>
                    <w:rPr>
                      <w:sz w:val="21"/>
                    </w:rPr>
                    <w:t>6.</w:t>
                  </w:r>
                </w:p>
              </w:tc>
              <w:tc>
                <w:tcPr>
                  <w:tcW w:type="dxa" w:w="629"/>
                  <w:tcBorders>
                    <w:top w:val="none" w:color="000000" w:sz="4"/>
                    <w:left w:val="single" w:color="000000" w:sz="4"/>
                    <w:bottom w:val="single" w:color="000000" w:sz="4"/>
                    <w:right w:val="single" w:color="000000" w:sz="4"/>
                  </w:tcBorders>
                  <w:vAlign w:val="top"/>
                </w:tcPr>
                <w:p>
                  <w:pPr>
                    <w:jc w:val="center"/>
                  </w:pPr>
                  <w:r>
                    <w:rPr>
                      <w:sz w:val="21"/>
                    </w:rPr>
                    <w:t>教学云</w:t>
                  </w:r>
                  <w:r>
                    <w:rPr>
                      <w:sz w:val="21"/>
                    </w:rPr>
                    <w:t>终端</w:t>
                  </w:r>
                </w:p>
              </w:tc>
              <w:tc>
                <w:tcPr>
                  <w:tcW w:type="dxa" w:w="4233"/>
                  <w:tcBorders>
                    <w:top w:val="none" w:color="000000" w:sz="4"/>
                    <w:left w:val="single" w:color="000000" w:sz="4"/>
                    <w:bottom w:val="single" w:color="000000" w:sz="4"/>
                    <w:right w:val="single" w:color="000000" w:sz="4"/>
                  </w:tcBorders>
                  <w:vAlign w:val="top"/>
                </w:tcPr>
                <w:p>
                  <w:pPr>
                    <w:jc w:val="both"/>
                  </w:pPr>
                  <w:r>
                    <w:rPr>
                      <w:sz w:val="21"/>
                    </w:rPr>
                    <w:t>1.CPU：≥ 3.</w:t>
                  </w:r>
                  <w:r>
                    <w:rPr>
                      <w:sz w:val="21"/>
                    </w:rPr>
                    <w:t>1</w:t>
                  </w:r>
                  <w:r>
                    <w:rPr>
                      <w:sz w:val="21"/>
                    </w:rPr>
                    <w:t>G/</w:t>
                  </w:r>
                  <w:r>
                    <w:rPr>
                      <w:sz w:val="21"/>
                    </w:rPr>
                    <w:t>12M/</w:t>
                  </w:r>
                  <w:r>
                    <w:rPr>
                      <w:sz w:val="21"/>
                    </w:rPr>
                    <w:t>6核；</w:t>
                  </w:r>
                </w:p>
                <w:p>
                  <w:pPr>
                    <w:jc w:val="both"/>
                  </w:pPr>
                  <w:r>
                    <w:rPr>
                      <w:sz w:val="21"/>
                    </w:rPr>
                    <w:t>2.</w:t>
                  </w:r>
                  <w:r>
                    <w:rPr>
                      <w:sz w:val="21"/>
                    </w:rPr>
                    <w:t>内存</w:t>
                  </w:r>
                  <w:r>
                    <w:rPr>
                      <w:sz w:val="21"/>
                    </w:rPr>
                    <w:t>：</w:t>
                  </w:r>
                  <w:r>
                    <w:rPr>
                      <w:sz w:val="21"/>
                    </w:rPr>
                    <w:t>≥16GB</w:t>
                  </w:r>
                  <w:r>
                    <w:rPr>
                      <w:sz w:val="21"/>
                    </w:rPr>
                    <w:t>;</w:t>
                  </w:r>
                </w:p>
                <w:p>
                  <w:pPr>
                    <w:jc w:val="both"/>
                  </w:pPr>
                  <w:r>
                    <w:rPr>
                      <w:sz w:val="21"/>
                    </w:rPr>
                    <w:t>3</w:t>
                  </w:r>
                  <w:r>
                    <w:rPr>
                      <w:sz w:val="21"/>
                    </w:rPr>
                    <w:t>.</w:t>
                  </w:r>
                  <w:r>
                    <w:rPr>
                      <w:sz w:val="21"/>
                    </w:rPr>
                    <w:t>云数据交换空间</w:t>
                  </w:r>
                  <w:r>
                    <w:rPr>
                      <w:sz w:val="21"/>
                    </w:rPr>
                    <w:t>：</w:t>
                  </w:r>
                  <w:r>
                    <w:rPr>
                      <w:sz w:val="21"/>
                    </w:rPr>
                    <w:t>不低于</w:t>
                  </w:r>
                  <w:r>
                    <w:rPr>
                      <w:sz w:val="21"/>
                    </w:rPr>
                    <w:t>2</w:t>
                  </w:r>
                  <w:r>
                    <w:rPr>
                      <w:sz w:val="21"/>
                    </w:rPr>
                    <w:t>00</w:t>
                  </w:r>
                  <w:r>
                    <w:rPr>
                      <w:sz w:val="21"/>
                    </w:rPr>
                    <w:t>G；</w:t>
                  </w:r>
                </w:p>
                <w:p>
                  <w:pPr>
                    <w:jc w:val="both"/>
                  </w:pPr>
                  <w:r>
                    <w:rPr>
                      <w:sz w:val="21"/>
                    </w:rPr>
                    <w:t>▲</w:t>
                  </w:r>
                  <w:r>
                    <w:rPr>
                      <w:sz w:val="21"/>
                    </w:rPr>
                    <w:t>4</w:t>
                  </w:r>
                  <w:r>
                    <w:rPr>
                      <w:sz w:val="21"/>
                    </w:rPr>
                    <w:t>.声卡：前置通用音频插孔（3.5毫米，同一插孔可支持麦克风或耳机或CTIA耳麦）；</w:t>
                  </w:r>
                </w:p>
                <w:p>
                  <w:pPr>
                    <w:jc w:val="both"/>
                  </w:pPr>
                  <w:r>
                    <w:rPr>
                      <w:sz w:val="21"/>
                    </w:rPr>
                    <w:t>5.</w:t>
                  </w:r>
                  <w:r>
                    <w:rPr>
                      <w:sz w:val="21"/>
                    </w:rPr>
                    <w:t>云终端接口</w:t>
                  </w:r>
                  <w:r>
                    <w:rPr>
                      <w:sz w:val="21"/>
                    </w:rPr>
                    <w:t>：不</w:t>
                  </w:r>
                  <w:r>
                    <w:rPr>
                      <w:sz w:val="21"/>
                    </w:rPr>
                    <w:t>少于</w:t>
                  </w:r>
                  <w:r>
                    <w:rPr>
                      <w:sz w:val="21"/>
                    </w:rPr>
                    <w:t>8</w:t>
                  </w:r>
                  <w:r>
                    <w:rPr>
                      <w:sz w:val="21"/>
                    </w:rPr>
                    <w:t>个</w:t>
                  </w:r>
                  <w:r>
                    <w:rPr>
                      <w:sz w:val="21"/>
                    </w:rPr>
                    <w:t>USB接口（USB数据接口输出电压范围：4.75-5.25Vdc；USB数据接口输出电流范围：500mA-1500mA；USB数据接口无负载能量消耗：＜150mW；USB数据接口接触电流应不超过20uA）（提供技术说明书或认证</w:t>
                  </w:r>
                  <w:r>
                    <w:rPr>
                      <w:sz w:val="21"/>
                    </w:rPr>
                    <w:t>并加盖投标人公章</w:t>
                  </w:r>
                  <w:r>
                    <w:rPr>
                      <w:sz w:val="21"/>
                    </w:rPr>
                    <w:t>)；</w:t>
                  </w:r>
                </w:p>
                <w:p>
                  <w:pPr>
                    <w:jc w:val="both"/>
                  </w:pPr>
                  <w:r>
                    <w:rPr>
                      <w:sz w:val="21"/>
                    </w:rPr>
                    <w:t>6</w:t>
                  </w:r>
                  <w:r>
                    <w:rPr>
                      <w:sz w:val="21"/>
                    </w:rPr>
                    <w:t>.</w:t>
                  </w:r>
                  <w:r>
                    <w:rPr>
                      <w:sz w:val="21"/>
                    </w:rPr>
                    <w:t>云</w:t>
                  </w:r>
                  <w:r>
                    <w:rPr>
                      <w:sz w:val="21"/>
                    </w:rPr>
                    <w:t>控制器扩展模块：不少于</w:t>
                  </w:r>
                  <w:r>
                    <w:rPr>
                      <w:sz w:val="21"/>
                    </w:rPr>
                    <w:t>1条全高PCI; 1个PCIe 4 x16；</w:t>
                  </w:r>
                </w:p>
                <w:p>
                  <w:pPr>
                    <w:jc w:val="left"/>
                  </w:pPr>
                  <w:r>
                    <w:rPr>
                      <w:sz w:val="21"/>
                    </w:rPr>
                    <w:t>7</w:t>
                  </w:r>
                  <w:r>
                    <w:rPr>
                      <w:sz w:val="21"/>
                    </w:rPr>
                    <w:t>.</w:t>
                  </w:r>
                  <w:r>
                    <w:rPr>
                      <w:sz w:val="21"/>
                    </w:rPr>
                    <w:t>配置高清摄像头</w:t>
                  </w:r>
                  <w:r>
                    <w:rPr>
                      <w:sz w:val="21"/>
                    </w:rPr>
                    <w:t>和麦克风</w:t>
                  </w:r>
                  <w:r>
                    <w:rPr>
                      <w:sz w:val="21"/>
                    </w:rPr>
                    <w:t>：摄像头：</w:t>
                  </w:r>
                  <w:r>
                    <w:rPr>
                      <w:sz w:val="21"/>
                    </w:rPr>
                    <w:t>分辨率</w:t>
                  </w:r>
                  <w:r>
                    <w:rPr>
                      <w:sz w:val="21"/>
                    </w:rPr>
                    <w:t>≥720P</w:t>
                  </w:r>
                  <w:r>
                    <w:rPr>
                      <w:sz w:val="21"/>
                    </w:rPr>
                    <w:t>，</w:t>
                  </w:r>
                  <w:r>
                    <w:rPr>
                      <w:sz w:val="21"/>
                    </w:rPr>
                    <w:t>外接，免驱动，可夹式</w:t>
                  </w:r>
                  <w:r>
                    <w:rPr>
                      <w:sz w:val="21"/>
                    </w:rPr>
                    <w:t>；麦克风</w:t>
                  </w:r>
                  <w:r>
                    <w:rPr>
                      <w:sz w:val="21"/>
                    </w:rPr>
                    <w:t>：有线，头戴式；</w:t>
                  </w:r>
                </w:p>
                <w:p>
                  <w:pPr>
                    <w:jc w:val="both"/>
                  </w:pPr>
                  <w:r>
                    <w:rPr>
                      <w:sz w:val="21"/>
                    </w:rPr>
                    <w:t>▲</w:t>
                  </w:r>
                  <w:r>
                    <w:rPr>
                      <w:sz w:val="21"/>
                    </w:rPr>
                    <w:t>8.</w:t>
                  </w:r>
                  <w:r>
                    <w:rPr>
                      <w:sz w:val="21"/>
                    </w:rPr>
                    <w:t>云端显示</w:t>
                  </w:r>
                  <w:r>
                    <w:rPr>
                      <w:sz w:val="21"/>
                    </w:rPr>
                    <w:t>: 模块尺寸39.78×53.89×18.05或以上,自带模拟RGB系统 72%， 具备“优化RGB数据接收模块的寿命”技术</w:t>
                  </w:r>
                  <w:r>
                    <w:rPr>
                      <w:sz w:val="21"/>
                    </w:rPr>
                    <w:t>（提供技术说明书或认证证书</w:t>
                  </w:r>
                  <w:r>
                    <w:rPr>
                      <w:sz w:val="21"/>
                    </w:rPr>
                    <w:t>加盖投标人公章</w:t>
                  </w:r>
                  <w:r>
                    <w:rPr>
                      <w:sz w:val="21"/>
                    </w:rPr>
                    <w:t>)</w:t>
                  </w:r>
                  <w:r>
                    <w:rPr>
                      <w:sz w:val="21"/>
                    </w:rPr>
                    <w:t>；</w:t>
                  </w:r>
                </w:p>
                <w:p>
                  <w:pPr>
                    <w:jc w:val="both"/>
                  </w:pPr>
                  <w:r>
                    <w:rPr>
                      <w:sz w:val="21"/>
                    </w:rPr>
                    <w:t>9.</w:t>
                  </w:r>
                  <w:r>
                    <w:rPr>
                      <w:sz w:val="21"/>
                    </w:rPr>
                    <w:t>云终端管理</w:t>
                  </w:r>
                  <w:r>
                    <w:rPr>
                      <w:sz w:val="21"/>
                    </w:rPr>
                    <w:t>软件</w:t>
                  </w:r>
                  <w:r>
                    <w:rPr>
                      <w:sz w:val="21"/>
                    </w:rPr>
                    <w:t>：</w:t>
                  </w:r>
                </w:p>
                <w:p>
                  <w:pPr>
                    <w:jc w:val="both"/>
                  </w:pPr>
                  <w:r>
                    <w:rPr>
                      <w:sz w:val="21"/>
                    </w:rPr>
                    <w:t>1</w:t>
                  </w:r>
                  <w:r>
                    <w:rPr>
                      <w:sz w:val="21"/>
                    </w:rPr>
                    <w:t>）</w:t>
                  </w:r>
                  <w:r>
                    <w:rPr>
                      <w:sz w:val="21"/>
                    </w:rPr>
                    <w:t>出厂自带</w:t>
                  </w:r>
                  <w:r>
                    <w:rPr>
                      <w:sz w:val="21"/>
                    </w:rPr>
                    <w:t>BIOS 版还原卡支持系统自动还原</w:t>
                  </w:r>
                  <w:r>
                    <w:rPr>
                      <w:sz w:val="21"/>
                    </w:rPr>
                    <w:t>、</w:t>
                  </w:r>
                  <w:r>
                    <w:rPr>
                      <w:sz w:val="21"/>
                    </w:rPr>
                    <w:t>同时支持</w:t>
                  </w:r>
                  <w:r>
                    <w:rPr>
                      <w:sz w:val="21"/>
                    </w:rPr>
                    <w:t>GPT 分区和 MBR 分区</w:t>
                  </w:r>
                  <w:r>
                    <w:rPr>
                      <w:sz w:val="21"/>
                    </w:rPr>
                    <w:t>、</w:t>
                  </w:r>
                  <w:r>
                    <w:rPr>
                      <w:sz w:val="21"/>
                    </w:rPr>
                    <w:t>自动修改</w:t>
                  </w:r>
                  <w:r>
                    <w:rPr>
                      <w:sz w:val="21"/>
                    </w:rPr>
                    <w:t>IP 和计算机名</w:t>
                  </w:r>
                  <w:r>
                    <w:rPr>
                      <w:sz w:val="21"/>
                    </w:rPr>
                    <w:t>、</w:t>
                  </w:r>
                  <w:r>
                    <w:rPr>
                      <w:sz w:val="21"/>
                    </w:rPr>
                    <w:t>硬盘保护</w:t>
                  </w:r>
                  <w:r>
                    <w:rPr>
                      <w:sz w:val="21"/>
                    </w:rPr>
                    <w:t>、</w:t>
                  </w:r>
                  <w:r>
                    <w:rPr>
                      <w:sz w:val="21"/>
                    </w:rPr>
                    <w:t>网络同传</w:t>
                  </w:r>
                  <w:r>
                    <w:rPr>
                      <w:sz w:val="21"/>
                    </w:rPr>
                    <w:t>、</w:t>
                  </w:r>
                  <w:r>
                    <w:rPr>
                      <w:sz w:val="21"/>
                    </w:rPr>
                    <w:t>增量拷贝</w:t>
                  </w:r>
                  <w:r>
                    <w:rPr>
                      <w:sz w:val="21"/>
                    </w:rPr>
                    <w:t>、</w:t>
                  </w:r>
                  <w:r>
                    <w:rPr>
                      <w:sz w:val="21"/>
                    </w:rPr>
                    <w:t>断点续传</w:t>
                  </w:r>
                  <w:r>
                    <w:rPr>
                      <w:sz w:val="21"/>
                    </w:rPr>
                    <w:t>、</w:t>
                  </w:r>
                  <w:r>
                    <w:rPr>
                      <w:sz w:val="21"/>
                    </w:rPr>
                    <w:t>远程唤醒</w:t>
                  </w:r>
                  <w:r>
                    <w:rPr>
                      <w:sz w:val="21"/>
                    </w:rPr>
                    <w:t>、</w:t>
                  </w:r>
                  <w:r>
                    <w:rPr>
                      <w:sz w:val="21"/>
                    </w:rPr>
                    <w:t>远程重启</w:t>
                  </w:r>
                  <w:r>
                    <w:rPr>
                      <w:sz w:val="21"/>
                    </w:rPr>
                    <w:t>、</w:t>
                  </w:r>
                  <w:r>
                    <w:rPr>
                      <w:sz w:val="21"/>
                    </w:rPr>
                    <w:t>远程锁定</w:t>
                  </w:r>
                  <w:r>
                    <w:rPr>
                      <w:sz w:val="21"/>
                    </w:rPr>
                    <w:t>、</w:t>
                  </w:r>
                  <w:r>
                    <w:rPr>
                      <w:sz w:val="21"/>
                    </w:rPr>
                    <w:t>远程关机</w:t>
                  </w:r>
                  <w:r>
                    <w:rPr>
                      <w:sz w:val="21"/>
                    </w:rPr>
                    <w:t>、</w:t>
                  </w:r>
                  <w:r>
                    <w:rPr>
                      <w:sz w:val="21"/>
                    </w:rPr>
                    <w:t>千兆网络传输速度最大可以达到</w:t>
                  </w:r>
                  <w:r>
                    <w:rPr>
                      <w:sz w:val="21"/>
                    </w:rPr>
                    <w:t>7GB/分钟或以上，百兆网络平均传输速度 2GB/分钟</w:t>
                  </w:r>
                  <w:r>
                    <w:rPr>
                      <w:sz w:val="21"/>
                    </w:rPr>
                    <w:t>、</w:t>
                  </w:r>
                  <w:r>
                    <w:rPr>
                      <w:sz w:val="21"/>
                    </w:rPr>
                    <w:t>支持多硬盘</w:t>
                  </w:r>
                  <w:r>
                    <w:rPr>
                      <w:sz w:val="21"/>
                    </w:rPr>
                    <w:t>、</w:t>
                  </w:r>
                  <w:r>
                    <w:rPr>
                      <w:sz w:val="21"/>
                    </w:rPr>
                    <w:t>可以从底层控制</w:t>
                  </w:r>
                  <w:r>
                    <w:rPr>
                      <w:sz w:val="21"/>
                    </w:rPr>
                    <w:t>U 盘和光驱等设备的使用；支持加密传输提供加密传输截图证明；</w:t>
                  </w:r>
                </w:p>
                <w:p>
                  <w:pPr>
                    <w:jc w:val="both"/>
                  </w:pPr>
                  <w:r>
                    <w:rPr>
                      <w:sz w:val="21"/>
                    </w:rPr>
                    <w:t>2</w:t>
                  </w:r>
                  <w:r>
                    <w:rPr>
                      <w:sz w:val="21"/>
                    </w:rPr>
                    <w:t>）</w:t>
                  </w:r>
                  <w:r>
                    <w:rPr>
                      <w:sz w:val="21"/>
                    </w:rPr>
                    <w:t>系统支持多种加密方式：在线序列号加密、离线文件加密、自定义短码加密</w:t>
                  </w:r>
                  <w:r>
                    <w:rPr>
                      <w:sz w:val="21"/>
                    </w:rPr>
                    <w:t>。签到：提供学生名单管理工具，为软件和考试模块提供实名验证。提供点名功能，支持保留学生多次登录记录、考勤统计、签到信息的导出与对比。</w:t>
                  </w:r>
                  <w:r>
                    <w:rPr>
                      <w:sz w:val="21"/>
                    </w:rPr>
                    <w:t>.网络快照：教师可以在监控学生的时候，对学生画面拍快照，保存学生画面的截图。教师机程序重启时，仍能记忆禁止举手、禁止发消息。文件管理：有文件分发、提交功能，可拖拽添加文件，可限制学生提交文件的数目和大小。</w:t>
                  </w:r>
                </w:p>
                <w:p>
                  <w:pPr>
                    <w:jc w:val="both"/>
                  </w:pPr>
                  <w:r>
                    <w:rPr>
                      <w:sz w:val="21"/>
                    </w:rPr>
                    <w:t>3</w:t>
                  </w:r>
                  <w:r>
                    <w:rPr>
                      <w:sz w:val="21"/>
                    </w:rPr>
                    <w:t>）</w:t>
                  </w:r>
                  <w:r>
                    <w:rPr>
                      <w:sz w:val="21"/>
                    </w:rPr>
                    <w:t>随堂小考：教师启动快速的单题考试或随堂调查，限定考试时间，学生答题后立即给出结果，结果显示学生答案柱状图分析和答题时间，可作为抢答依据。班级模型：获取学生端计算机的名称、登录名、学生端应用程序、进程和进程</w:t>
                  </w:r>
                  <w:r>
                    <w:rPr>
                      <w:sz w:val="21"/>
                    </w:rPr>
                    <w:t xml:space="preserve"> ID，远程终止学生端进程，显示学生机桌面的缩图。具备屏幕广播、学生演示、监看学生画面、网络影院、视频直播、屏幕录制、语音广播、语音对讲、电子点名、远程开关机、远程命令、远程设置、远程登录、登录windows前接受广播、请求帮助、举手、发言、自动锁屏、防杀进程、黑屏肃静等功能。</w:t>
                  </w:r>
                </w:p>
              </w:tc>
              <w:tc>
                <w:tcPr>
                  <w:tcW w:type="dxa" w:w="408"/>
                  <w:tcBorders>
                    <w:top w:val="none" w:color="000000" w:sz="4"/>
                    <w:left w:val="single" w:color="000000" w:sz="4"/>
                    <w:bottom w:val="single" w:color="000000" w:sz="4"/>
                    <w:right w:val="single" w:color="000000" w:sz="4"/>
                  </w:tcBorders>
                  <w:vAlign w:val="top"/>
                </w:tcPr>
                <w:p>
                  <w:pPr>
                    <w:jc w:val="center"/>
                  </w:pPr>
                  <w:r>
                    <w:rPr>
                      <w:color w:val="000000"/>
                      <w:sz w:val="20"/>
                    </w:rPr>
                    <w:t>71 个</w:t>
                  </w:r>
                </w:p>
              </w:tc>
            </w:tr>
            <w:tr>
              <w:tc>
                <w:tcPr>
                  <w:tcW w:type="dxa" w:w="328"/>
                  <w:tcBorders>
                    <w:top w:val="none" w:color="000000" w:sz="4"/>
                    <w:left w:val="single" w:color="000000" w:sz="4"/>
                    <w:bottom w:val="single" w:color="000000" w:sz="4"/>
                    <w:right w:val="single" w:color="000000" w:sz="4"/>
                  </w:tcBorders>
                  <w:vAlign w:val="top"/>
                </w:tcPr>
                <w:p>
                  <w:pPr>
                    <w:jc w:val="both"/>
                  </w:pPr>
                  <w:r>
                    <w:rPr>
                      <w:sz w:val="21"/>
                    </w:rPr>
                    <w:t>7.</w:t>
                  </w:r>
                </w:p>
              </w:tc>
              <w:tc>
                <w:tcPr>
                  <w:tcW w:type="dxa" w:w="629"/>
                  <w:tcBorders>
                    <w:top w:val="none" w:color="000000" w:sz="4"/>
                    <w:left w:val="single" w:color="000000" w:sz="4"/>
                    <w:bottom w:val="single" w:color="000000" w:sz="4"/>
                    <w:right w:val="single" w:color="000000" w:sz="4"/>
                  </w:tcBorders>
                  <w:vAlign w:val="top"/>
                </w:tcPr>
                <w:p>
                  <w:pPr>
                    <w:jc w:val="center"/>
                  </w:pPr>
                  <w:r>
                    <w:rPr>
                      <w:color w:val="000000"/>
                      <w:sz w:val="20"/>
                    </w:rPr>
                    <w:t>人工智能实验管理系统</w:t>
                  </w:r>
                </w:p>
              </w:tc>
              <w:tc>
                <w:tcPr>
                  <w:tcW w:type="dxa" w:w="4233"/>
                  <w:tcBorders>
                    <w:top w:val="none" w:color="000000" w:sz="4"/>
                    <w:left w:val="single" w:color="000000" w:sz="4"/>
                    <w:bottom w:val="single" w:color="000000" w:sz="4"/>
                    <w:right w:val="single" w:color="000000" w:sz="4"/>
                  </w:tcBorders>
                  <w:vAlign w:val="top"/>
                </w:tcPr>
                <w:p>
                  <w:pPr>
                    <w:jc w:val="both"/>
                  </w:pPr>
                  <w:r>
                    <w:rPr>
                      <w:sz w:val="21"/>
                    </w:rPr>
                    <w:t>▲1.系统支持教师用户自定义首页默认布局设置。支持一键恢复首页默认布局。教师用户首页支持全局模式、教学模式、备课模式和考试模式4种内置首页布局模式。（提供软件功能</w:t>
                  </w:r>
                  <w:r>
                    <w:rPr>
                      <w:sz w:val="21"/>
                    </w:rPr>
                    <w:t>截图证明</w:t>
                  </w:r>
                  <w:r>
                    <w:rPr>
                      <w:sz w:val="21"/>
                    </w:rPr>
                    <w:t>）</w:t>
                  </w:r>
                </w:p>
                <w:p>
                  <w:pPr>
                    <w:jc w:val="both"/>
                  </w:pPr>
                  <w:r>
                    <w:rPr>
                      <w:sz w:val="21"/>
                    </w:rPr>
                    <w:t>2.系统支持自定义排课功能，包含课程信息、上课班级、授课老师、上课地点、上课时间等信息。</w:t>
                  </w:r>
                </w:p>
                <w:p>
                  <w:pPr>
                    <w:jc w:val="both"/>
                  </w:pPr>
                  <w:r>
                    <w:rPr>
                      <w:sz w:val="21"/>
                    </w:rPr>
                    <w:t>3.系统支持用户在线制作实验环境，满足不同的教学场景需求。支持生成Docker容器，支持Linux操作系统,并且支持单机和集群两种模式,可以自定义每一个容器的物理配置。</w:t>
                  </w:r>
                </w:p>
                <w:p>
                  <w:pPr>
                    <w:jc w:val="both"/>
                  </w:pPr>
                  <w:r>
                    <w:rPr>
                      <w:sz w:val="21"/>
                    </w:rPr>
                    <w:t>4.系统支持镜像管理功能，系统内置镜像不少于200个,支持对镜像自定义标签，支持查询和复用。</w:t>
                  </w:r>
                </w:p>
                <w:p>
                  <w:pPr>
                    <w:jc w:val="both"/>
                  </w:pPr>
                  <w:r>
                    <w:rPr>
                      <w:sz w:val="21"/>
                    </w:rPr>
                    <w:t>5.系统支持对图像分类、目标检测、机器学习所需的数据集进行管理，支持数据集的导入功能。</w:t>
                  </w:r>
                </w:p>
                <w:p>
                  <w:pPr>
                    <w:jc w:val="both"/>
                  </w:pPr>
                  <w:r>
                    <w:rPr>
                      <w:sz w:val="21"/>
                    </w:rPr>
                    <w:t>6</w:t>
                  </w:r>
                  <w:r>
                    <w:rPr>
                      <w:sz w:val="21"/>
                    </w:rPr>
                    <w:t>.</w:t>
                  </w:r>
                  <w:r>
                    <w:rPr>
                      <w:sz w:val="21"/>
                    </w:rPr>
                    <w:t>系统支持内置录屏功能，提供容器、</w:t>
                  </w:r>
                  <w:r>
                    <w:rPr>
                      <w:sz w:val="21"/>
                    </w:rPr>
                    <w:t>Jupyter录屏环境。支持对屏幕录像和文档素材进行管理，文档素材支持word、ppt和excel格式。</w:t>
                  </w:r>
                </w:p>
                <w:p>
                  <w:pPr>
                    <w:jc w:val="both"/>
                  </w:pPr>
                  <w:r>
                    <w:rPr>
                      <w:sz w:val="21"/>
                    </w:rPr>
                    <w:t>7.系统支持实验报告模板管理，内置文档编辑器，支持在线编辑模板。</w:t>
                  </w:r>
                </w:p>
                <w:p>
                  <w:pPr>
                    <w:jc w:val="both"/>
                  </w:pPr>
                  <w:r>
                    <w:rPr>
                      <w:sz w:val="21"/>
                    </w:rPr>
                    <w:t>8.系统支持课程管理功能，包含系统内置课程和教师自建课程。可按照课程标签快速筛选课程。支持对系统内置课程复用，方便快速创建课程。</w:t>
                  </w:r>
                </w:p>
                <w:p>
                  <w:pPr>
                    <w:jc w:val="both"/>
                  </w:pPr>
                  <w:r>
                    <w:rPr>
                      <w:sz w:val="21"/>
                    </w:rPr>
                    <w:t>9.系统支持查看课程详情，包括上课时间、该课程累计上课次数、系统和自建标签以及学习路径和班级信息展示。支持编辑所在院系、所学专业、所在班级，支持自定义课程名称、课程封面图片。支持课程发布、学生申请、课程共享功能的一键开关。</w:t>
                  </w:r>
                </w:p>
                <w:p>
                  <w:pPr>
                    <w:jc w:val="both"/>
                  </w:pPr>
                  <w:r>
                    <w:rPr>
                      <w:sz w:val="21"/>
                    </w:rPr>
                    <w:t>10</w:t>
                  </w:r>
                  <w:r>
                    <w:rPr>
                      <w:sz w:val="21"/>
                    </w:rPr>
                    <w:t>.</w:t>
                  </w:r>
                  <w:r>
                    <w:rPr>
                      <w:sz w:val="21"/>
                    </w:rPr>
                    <w:t>系统支持课程编辑，需包括课程介绍、课程大纲、课程目录、实验报告、提问记录、分组记录等模块。支持内置文档编辑工具，支持本地上传文档。</w:t>
                  </w:r>
                </w:p>
                <w:p>
                  <w:pPr>
                    <w:jc w:val="both"/>
                  </w:pPr>
                  <w:r>
                    <w:rPr>
                      <w:sz w:val="21"/>
                    </w:rPr>
                    <w:t>11</w:t>
                  </w:r>
                  <w:r>
                    <w:rPr>
                      <w:sz w:val="21"/>
                    </w:rPr>
                    <w:t>.</w:t>
                  </w:r>
                  <w:r>
                    <w:rPr>
                      <w:sz w:val="21"/>
                    </w:rPr>
                    <w:t>系统支持课程目录编辑。支持对章节内容的编辑，可以添加实验，添加视频、课件。支持选择实验运行系统；支持从系统导入或自主上传实验手册、报告模板、视频、课件等素材；支持手动排序功能。</w:t>
                  </w:r>
                </w:p>
                <w:p>
                  <w:pPr>
                    <w:jc w:val="both"/>
                  </w:pPr>
                  <w:r>
                    <w:rPr>
                      <w:sz w:val="21"/>
                    </w:rPr>
                    <w:t>12.系统支持对班级成员进行分组，支持手动和随机分组，可支持组长设置。</w:t>
                  </w:r>
                </w:p>
                <w:p>
                  <w:pPr>
                    <w:jc w:val="both"/>
                  </w:pPr>
                  <w:r>
                    <w:rPr>
                      <w:sz w:val="21"/>
                    </w:rPr>
                    <w:t>1</w:t>
                  </w:r>
                  <w:r>
                    <w:rPr>
                      <w:sz w:val="21"/>
                    </w:rPr>
                    <w:t>3.</w:t>
                  </w:r>
                  <w:r>
                    <w:rPr>
                      <w:sz w:val="21"/>
                    </w:rPr>
                    <w:t>系统支持学生查看每个实验章节详情，包括本节视频、实验环境描述等信息，支持查看实验环境的节点数量、配置以及组网情况。支持查看节点</w:t>
                  </w:r>
                  <w:r>
                    <w:rPr>
                      <w:sz w:val="21"/>
                    </w:rPr>
                    <w:t>IP地址。</w:t>
                  </w:r>
                </w:p>
                <w:p>
                  <w:pPr>
                    <w:jc w:val="both"/>
                  </w:pPr>
                  <w:r>
                    <w:rPr>
                      <w:sz w:val="21"/>
                    </w:rPr>
                    <w:t>14</w:t>
                  </w:r>
                  <w:r>
                    <w:rPr>
                      <w:sz w:val="21"/>
                    </w:rPr>
                    <w:t>.</w:t>
                  </w:r>
                  <w:r>
                    <w:rPr>
                      <w:sz w:val="21"/>
                    </w:rPr>
                    <w:t>系统支持学生在线实验，支持删除实验、保存实验、临时关闭、共享桌面、上传文件、下载文件、全屏操作、剪切板等</w:t>
                  </w:r>
                  <w:r>
                    <w:rPr>
                      <w:sz w:val="21"/>
                    </w:rPr>
                    <w:t>8项基本环境操作功能。学生实验时在未完成当前实验的情况下，不依赖于当前章节编辑顺序，可随意跳转并完成实验。支持一键重置实验。支持小窗口播放教学视频。</w:t>
                  </w:r>
                </w:p>
                <w:p>
                  <w:pPr>
                    <w:jc w:val="both"/>
                  </w:pPr>
                  <w:r>
                    <w:rPr>
                      <w:sz w:val="21"/>
                    </w:rPr>
                    <w:t>15</w:t>
                  </w:r>
                  <w:r>
                    <w:rPr>
                      <w:sz w:val="21"/>
                    </w:rPr>
                    <w:t>.</w:t>
                  </w:r>
                  <w:r>
                    <w:rPr>
                      <w:sz w:val="21"/>
                    </w:rPr>
                    <w:t>系统支持学生笔记功能，学生可按章节记录课堂笔记，并对自己的笔记进行管理，支持笔记导出。</w:t>
                  </w:r>
                </w:p>
                <w:p>
                  <w:pPr>
                    <w:jc w:val="both"/>
                  </w:pPr>
                  <w:r>
                    <w:rPr>
                      <w:sz w:val="21"/>
                    </w:rPr>
                    <w:t>▲16</w:t>
                  </w:r>
                  <w:r>
                    <w:rPr>
                      <w:sz w:val="21"/>
                    </w:rPr>
                    <w:t>.</w:t>
                  </w:r>
                  <w:r>
                    <w:rPr>
                      <w:sz w:val="21"/>
                    </w:rPr>
                    <w:t>系统支持在线课堂功能，提供在线电子白板和在线讨论功能。支持在线录屏、签到、随机提问、实验监控等功能。支持在线同步共享实验环境界面让学生观看与学习。（提供软件功能</w:t>
                  </w:r>
                  <w:r>
                    <w:rPr>
                      <w:sz w:val="21"/>
                    </w:rPr>
                    <w:t>截图证明</w:t>
                  </w:r>
                  <w:r>
                    <w:rPr>
                      <w:sz w:val="21"/>
                    </w:rPr>
                    <w:t>）</w:t>
                  </w:r>
                </w:p>
                <w:p>
                  <w:pPr>
                    <w:jc w:val="both"/>
                  </w:pPr>
                  <w:r>
                    <w:rPr>
                      <w:sz w:val="21"/>
                    </w:rPr>
                    <w:t>17</w:t>
                  </w:r>
                  <w:r>
                    <w:rPr>
                      <w:sz w:val="21"/>
                    </w:rPr>
                    <w:t>.</w:t>
                  </w:r>
                  <w:r>
                    <w:rPr>
                      <w:sz w:val="21"/>
                    </w:rPr>
                    <w:t>在线课堂支持在线发起签到功能，支持设置学生签到时间，支持每个班级的签到记录情况查询，支持手动补签操作。支持以</w:t>
                  </w:r>
                  <w:r>
                    <w:rPr>
                      <w:sz w:val="21"/>
                    </w:rPr>
                    <w:t>EXCL表格形式导出相关签到数据。</w:t>
                  </w:r>
                </w:p>
                <w:p>
                  <w:pPr>
                    <w:jc w:val="both"/>
                  </w:pPr>
                  <w:r>
                    <w:rPr>
                      <w:sz w:val="21"/>
                    </w:rPr>
                    <w:t>▲18</w:t>
                  </w:r>
                  <w:r>
                    <w:rPr>
                      <w:sz w:val="21"/>
                    </w:rPr>
                    <w:t>.</w:t>
                  </w:r>
                  <w:r>
                    <w:rPr>
                      <w:sz w:val="21"/>
                    </w:rPr>
                    <w:t>在线课堂支持互动电子白板功能，可支持多种批注工具（图形、文字、手写等），支持实时批注与多用户实时批注功能。（提供软件功能截图证明）</w:t>
                  </w:r>
                </w:p>
                <w:p>
                  <w:pPr>
                    <w:jc w:val="both"/>
                  </w:pPr>
                  <w:r>
                    <w:rPr>
                      <w:sz w:val="21"/>
                    </w:rPr>
                    <w:t>19.在线课堂支持教学资源播放功能，支持教学视频，PPT教学资源的同步播放。支持上传外部演示文件（PPT、Word、Excl等多种格式文件），支持分享外部视频以供学生同步观看。支持在线课程录制，支持对录制的视频进行查看、下载、以及删除操作。</w:t>
                  </w:r>
                </w:p>
                <w:p>
                  <w:pPr>
                    <w:jc w:val="both"/>
                  </w:pPr>
                  <w:r>
                    <w:rPr>
                      <w:sz w:val="21"/>
                    </w:rPr>
                    <w:t>▲20</w:t>
                  </w:r>
                  <w:r>
                    <w:rPr>
                      <w:sz w:val="21"/>
                    </w:rPr>
                    <w:t>.</w:t>
                  </w:r>
                  <w:r>
                    <w:rPr>
                      <w:sz w:val="21"/>
                    </w:rPr>
                    <w:t>在线课堂支持在线学习的用户设置上课状态，包含离开、举手、未决定、困惑、悲伤、高兴、鼓掌、点赞、拍砖等，支持在线课堂中的主持和演示权限设置，可设置其他演示者与主持人权限。（提供软件功能</w:t>
                  </w:r>
                  <w:r>
                    <w:rPr>
                      <w:sz w:val="21"/>
                    </w:rPr>
                    <w:t>截图证明</w:t>
                  </w:r>
                  <w:r>
                    <w:rPr>
                      <w:sz w:val="21"/>
                    </w:rPr>
                    <w:t>）</w:t>
                  </w:r>
                </w:p>
                <w:p>
                  <w:pPr>
                    <w:jc w:val="both"/>
                  </w:pPr>
                  <w:r>
                    <w:rPr>
                      <w:sz w:val="21"/>
                    </w:rPr>
                    <w:t>21</w:t>
                  </w:r>
                  <w:r>
                    <w:rPr>
                      <w:sz w:val="21"/>
                    </w:rPr>
                    <w:t>.</w:t>
                  </w:r>
                  <w:r>
                    <w:rPr>
                      <w:sz w:val="21"/>
                    </w:rPr>
                    <w:t>在线课堂支持课堂讨论模块，教师用户拥有开放讨论和清空讨论权限，支持发送内置互动表情。</w:t>
                  </w:r>
                </w:p>
                <w:p>
                  <w:pPr>
                    <w:jc w:val="both"/>
                  </w:pPr>
                  <w:r>
                    <w:rPr>
                      <w:sz w:val="21"/>
                    </w:rPr>
                    <w:t>22</w:t>
                  </w:r>
                  <w:r>
                    <w:rPr>
                      <w:sz w:val="21"/>
                    </w:rPr>
                    <w:t>.</w:t>
                  </w:r>
                  <w:r>
                    <w:rPr>
                      <w:sz w:val="21"/>
                    </w:rPr>
                    <w:t>在线课堂支持在线随机点名提问功能，支持对学生回答打分。（提供软件功能截图证明）</w:t>
                  </w:r>
                </w:p>
                <w:p>
                  <w:pPr>
                    <w:jc w:val="both"/>
                  </w:pPr>
                  <w:r>
                    <w:rPr>
                      <w:sz w:val="21"/>
                    </w:rPr>
                    <w:t>23</w:t>
                  </w:r>
                  <w:r>
                    <w:rPr>
                      <w:sz w:val="21"/>
                    </w:rPr>
                    <w:t>.</w:t>
                  </w:r>
                  <w:r>
                    <w:rPr>
                      <w:sz w:val="21"/>
                    </w:rPr>
                    <w:t>在线课堂支持实验监控功能，支持查询学生在线实验情况，支持一键提醒学生录屏，支持远程协助功能，可对学生主机进行操作指导。</w:t>
                  </w:r>
                </w:p>
                <w:p>
                  <w:pPr>
                    <w:jc w:val="both"/>
                  </w:pPr>
                  <w:r>
                    <w:rPr>
                      <w:sz w:val="21"/>
                    </w:rPr>
                    <w:t>2</w:t>
                  </w:r>
                  <w:r>
                    <w:rPr>
                      <w:sz w:val="21"/>
                    </w:rPr>
                    <w:t>4.</w:t>
                  </w:r>
                  <w:r>
                    <w:rPr>
                      <w:sz w:val="21"/>
                    </w:rPr>
                    <w:t>系统支持教师创建多种教学工具：容器演示环境、</w:t>
                  </w:r>
                  <w:r>
                    <w:rPr>
                      <w:sz w:val="21"/>
                    </w:rPr>
                    <w:t>Jupyter演示环境、图像分类演示环境、目标检测演示环境、机器学习演示环境。（提供软件功能截图证明）</w:t>
                  </w:r>
                </w:p>
                <w:p>
                  <w:pPr>
                    <w:jc w:val="both"/>
                  </w:pPr>
                  <w:r>
                    <w:rPr>
                      <w:sz w:val="21"/>
                    </w:rPr>
                    <w:t>▲25</w:t>
                  </w:r>
                  <w:r>
                    <w:rPr>
                      <w:sz w:val="21"/>
                    </w:rPr>
                    <w:t>.</w:t>
                  </w:r>
                  <w:r>
                    <w:rPr>
                      <w:sz w:val="21"/>
                    </w:rPr>
                    <w:t>机器学习演示环境支持通过鼠标拖拽算法的方式快速生成机器学习训练模型，支持查看关键算法代码和算法说明，支持手动调参优化模型。支持查看模型训练历史版本。系统支持用户查看模型训练样本的模型评估报告，支持查看当前版本的模型训练的基本属性、机器学习算法、算法属性。（提供软件功能截图证明）</w:t>
                  </w:r>
                </w:p>
                <w:p>
                  <w:pPr>
                    <w:jc w:val="both"/>
                  </w:pPr>
                  <w:r>
                    <w:rPr>
                      <w:sz w:val="21"/>
                    </w:rPr>
                    <w:t>26</w:t>
                  </w:r>
                  <w:r>
                    <w:rPr>
                      <w:sz w:val="21"/>
                    </w:rPr>
                    <w:t>.</w:t>
                  </w:r>
                  <w:r>
                    <w:rPr>
                      <w:sz w:val="21"/>
                    </w:rPr>
                    <w:t>机器学习演示环境支持类型转换、添加序号列、拆分、缺失值填充、归一化、标准化、随机采样、系统采样、分层采样、去重、两表连接等</w:t>
                  </w:r>
                  <w:r>
                    <w:rPr>
                      <w:sz w:val="21"/>
                    </w:rPr>
                    <w:t>11种数据预处理方法；支持特征尺度变换、特征离散、主成分分析、过滤式选择、随机森林特征等5种特征工程；支持分类算法、聚类算法、回归算法、关联规则、文本分析等5大类共计17种机器学习算法。</w:t>
                  </w:r>
                </w:p>
                <w:p>
                  <w:pPr>
                    <w:jc w:val="both"/>
                  </w:pPr>
                  <w:r>
                    <w:rPr>
                      <w:sz w:val="21"/>
                    </w:rPr>
                    <w:t>27</w:t>
                  </w:r>
                  <w:r>
                    <w:rPr>
                      <w:sz w:val="21"/>
                    </w:rPr>
                    <w:t>.</w:t>
                  </w:r>
                  <w:r>
                    <w:rPr>
                      <w:sz w:val="21"/>
                    </w:rPr>
                    <w:t>深度学习目标检测演示环境支持用户完成目标检测模型训练，支持选择不同的数据集进行循环多次训练，支持分配数据集训练、验证与测试的数据比例；支持设置模型训练参数，包含优化器、模型迭代次数、</w:t>
                  </w:r>
                  <w:r>
                    <w:rPr>
                      <w:sz w:val="21"/>
                    </w:rPr>
                    <w:t>Batch-size及学习率；支持设置神经网络框架与算法以及计算资源环境等参数。支持对模型效果进行测试；支持展示模型应用效果。</w:t>
                  </w:r>
                </w:p>
                <w:p>
                  <w:pPr>
                    <w:jc w:val="both"/>
                  </w:pPr>
                  <w:r>
                    <w:rPr>
                      <w:sz w:val="21"/>
                    </w:rPr>
                    <w:t>28</w:t>
                  </w:r>
                  <w:r>
                    <w:rPr>
                      <w:sz w:val="21"/>
                    </w:rPr>
                    <w:t>.</w:t>
                  </w:r>
                  <w:r>
                    <w:rPr>
                      <w:sz w:val="21"/>
                    </w:rPr>
                    <w:t>深度学习目标检测演示环境支持训练监控功能，支持随时读取当前训练信息与训练任务进度信息，查看训练数据信息，支持以</w:t>
                  </w:r>
                  <w:r>
                    <w:rPr>
                      <w:sz w:val="21"/>
                    </w:rPr>
                    <w:t>TensorBoard方式实时监控目标检测训练过程。</w:t>
                  </w:r>
                </w:p>
                <w:p>
                  <w:pPr>
                    <w:jc w:val="both"/>
                  </w:pPr>
                  <w:r>
                    <w:rPr>
                      <w:sz w:val="21"/>
                    </w:rPr>
                    <w:t>▲29</w:t>
                  </w:r>
                  <w:r>
                    <w:rPr>
                      <w:sz w:val="21"/>
                    </w:rPr>
                    <w:t>.</w:t>
                  </w:r>
                  <w:r>
                    <w:rPr>
                      <w:sz w:val="21"/>
                    </w:rPr>
                    <w:t>深度学习目标检测演示环境支持自动生成评估报告，评估报告包含</w:t>
                  </w:r>
                  <w:r>
                    <w:rPr>
                      <w:sz w:val="21"/>
                    </w:rPr>
                    <w:t>mAP、mAP@.50IOU、mAP@.75IOU、mAP (small)、mAP (medium))、mAP(large)等6个mAP值的相关数据，支持以列表方式呈现模型训练效果。（提供软件功能</w:t>
                  </w:r>
                  <w:r>
                    <w:rPr>
                      <w:sz w:val="21"/>
                    </w:rPr>
                    <w:t>截图证明</w:t>
                  </w:r>
                  <w:r>
                    <w:rPr>
                      <w:sz w:val="21"/>
                    </w:rPr>
                    <w:t>）</w:t>
                  </w:r>
                </w:p>
                <w:p>
                  <w:pPr>
                    <w:jc w:val="both"/>
                  </w:pPr>
                  <w:r>
                    <w:rPr>
                      <w:sz w:val="21"/>
                    </w:rPr>
                    <w:t>▲30.深度学习图像分类演示环境支持配置单点计算模式或分布式计算模式；支持配置深度学习神经网络；支持配置底层计算框架，包含Keras（vgg16、restnet50、alex、squeezenet、mobilenet、lenet、alexfcn、xception、inception-v1、vgg19、vggfcn等不低于11种）；支持CPU、GPU的单机或集群环境，支持单GPU卡或多GPU卡方式进行计算。（提供软件功能</w:t>
                  </w:r>
                  <w:r>
                    <w:rPr>
                      <w:sz w:val="21"/>
                    </w:rPr>
                    <w:t>截图证明</w:t>
                  </w:r>
                  <w:r>
                    <w:rPr>
                      <w:sz w:val="21"/>
                    </w:rPr>
                    <w:t>）</w:t>
                  </w:r>
                </w:p>
                <w:p>
                  <w:pPr>
                    <w:jc w:val="both"/>
                  </w:pPr>
                  <w:r>
                    <w:rPr>
                      <w:sz w:val="21"/>
                    </w:rPr>
                    <w:t>31</w:t>
                  </w:r>
                  <w:r>
                    <w:rPr>
                      <w:sz w:val="21"/>
                    </w:rPr>
                    <w:t>.</w:t>
                  </w:r>
                  <w:r>
                    <w:rPr>
                      <w:sz w:val="21"/>
                    </w:rPr>
                    <w:t>深度学习图像分类演示环境需支持随时读取当前训练信息与训练任务进度信息，支持查看训练数据信息，支持以</w:t>
                  </w:r>
                  <w:r>
                    <w:rPr>
                      <w:sz w:val="21"/>
                    </w:rPr>
                    <w:t>TensorBoard方式实时监控图像分类训练过程。支持对模型效果进行测试；支持展示模型应用效果。</w:t>
                  </w:r>
                </w:p>
                <w:p>
                  <w:pPr>
                    <w:jc w:val="both"/>
                  </w:pPr>
                  <w:r>
                    <w:rPr>
                      <w:sz w:val="21"/>
                    </w:rPr>
                    <w:t>32.深度学习图像分类演示环境需支持自动生成评估报告，评估报告包含训练集、验证集、测试集的精确率、精准率、召回率、F1-score等4个指标的图表结果展示；系统自动计算出top1-top5的准确率；并展示训练结果的混淆矩阵等指标结果信息。支持呈现模型训练效果。</w:t>
                  </w:r>
                </w:p>
                <w:p>
                  <w:pPr>
                    <w:jc w:val="both"/>
                  </w:pPr>
                  <w:r>
                    <w:rPr>
                      <w:sz w:val="21"/>
                    </w:rPr>
                    <w:t>33.系统支持学员管理，支持查看班级成员、查看课程申请和添加重修学员，支持学员密码重置。</w:t>
                  </w:r>
                </w:p>
                <w:p>
                  <w:pPr>
                    <w:jc w:val="both"/>
                  </w:pPr>
                  <w:r>
                    <w:rPr>
                      <w:sz w:val="21"/>
                    </w:rPr>
                    <w:t>34</w:t>
                  </w:r>
                  <w:r>
                    <w:rPr>
                      <w:sz w:val="21"/>
                    </w:rPr>
                    <w:t>.</w:t>
                  </w:r>
                  <w:r>
                    <w:rPr>
                      <w:sz w:val="21"/>
                    </w:rPr>
                    <w:t>系统支持课堂管理功能。支持查看学生在线或离线情况、实验报告提交情况，支持通过远程协助进入学生正在试验的环境；支持快照管理，可查看和删除学生虚机快照。</w:t>
                  </w:r>
                </w:p>
                <w:p>
                  <w:pPr>
                    <w:jc w:val="both"/>
                  </w:pPr>
                  <w:r>
                    <w:rPr>
                      <w:sz w:val="21"/>
                    </w:rPr>
                    <w:t>35</w:t>
                  </w:r>
                  <w:r>
                    <w:rPr>
                      <w:sz w:val="21"/>
                    </w:rPr>
                    <w:t>.</w:t>
                  </w:r>
                  <w:r>
                    <w:rPr>
                      <w:sz w:val="21"/>
                    </w:rPr>
                    <w:t>系统支持虚机管理，可查看和关闭学生虚机。提供平台小助手模块，可随时管理虚机，支持设置平台小助手的透明度。</w:t>
                  </w:r>
                </w:p>
                <w:p>
                  <w:pPr>
                    <w:jc w:val="both"/>
                  </w:pPr>
                  <w:r>
                    <w:rPr>
                      <w:sz w:val="21"/>
                    </w:rPr>
                    <w:t>36</w:t>
                  </w:r>
                  <w:r>
                    <w:rPr>
                      <w:sz w:val="21"/>
                    </w:rPr>
                    <w:t>.</w:t>
                  </w:r>
                  <w:r>
                    <w:rPr>
                      <w:sz w:val="21"/>
                    </w:rPr>
                    <w:t>系统支持教师编辑不同课程章节的课堂备注信息，并支持批量删除及导出。</w:t>
                  </w:r>
                </w:p>
                <w:p>
                  <w:pPr>
                    <w:jc w:val="both"/>
                  </w:pPr>
                  <w:r>
                    <w:rPr>
                      <w:sz w:val="21"/>
                    </w:rPr>
                    <w:t>37.系统支持课件、视频、手册、图片、软件、数据及其他资源的上传、下载、共享及删除等文件管理功能。支持提供个人网盘功能。</w:t>
                  </w:r>
                </w:p>
                <w:p>
                  <w:pPr>
                    <w:jc w:val="both"/>
                  </w:pPr>
                  <w:r>
                    <w:rPr>
                      <w:sz w:val="21"/>
                    </w:rPr>
                    <w:t>38</w:t>
                  </w:r>
                  <w:r>
                    <w:rPr>
                      <w:sz w:val="21"/>
                    </w:rPr>
                    <w:t>.</w:t>
                  </w:r>
                  <w:r>
                    <w:rPr>
                      <w:sz w:val="21"/>
                    </w:rPr>
                    <w:t>系统支持通过仪表盘展示</w:t>
                  </w:r>
                  <w:r>
                    <w:rPr>
                      <w:sz w:val="21"/>
                    </w:rPr>
                    <w:t>Docker容器资源使用情况，包含CPU、内存使用比。支持对教师和学生的虚机进行查询、删除等操作。</w:t>
                  </w:r>
                </w:p>
                <w:p>
                  <w:pPr>
                    <w:jc w:val="both"/>
                  </w:pPr>
                  <w:r>
                    <w:rPr>
                      <w:sz w:val="21"/>
                    </w:rPr>
                    <w:t>39</w:t>
                  </w:r>
                  <w:r>
                    <w:rPr>
                      <w:sz w:val="21"/>
                    </w:rPr>
                    <w:t>.</w:t>
                  </w:r>
                  <w:r>
                    <w:rPr>
                      <w:sz w:val="21"/>
                    </w:rPr>
                    <w:t>系统支持用户在保存实验时一键生成快照，支持对所有快照进行查询、管理、删除等操作。</w:t>
                  </w:r>
                </w:p>
                <w:p>
                  <w:pPr>
                    <w:jc w:val="both"/>
                  </w:pPr>
                  <w:r>
                    <w:rPr>
                      <w:sz w:val="21"/>
                    </w:rPr>
                    <w:t>40</w:t>
                  </w:r>
                  <w:r>
                    <w:rPr>
                      <w:sz w:val="21"/>
                    </w:rPr>
                    <w:t>.</w:t>
                  </w:r>
                  <w:r>
                    <w:rPr>
                      <w:sz w:val="21"/>
                    </w:rPr>
                    <w:t>系统支持任务调度功能，支持对正在运行的测试或训练任务进行暂停、终止操作，支持对已完成的任务进行筛选、查看、删除等操作。</w:t>
                  </w:r>
                </w:p>
                <w:p>
                  <w:pPr>
                    <w:jc w:val="both"/>
                  </w:pPr>
                  <w:r>
                    <w:rPr>
                      <w:sz w:val="21"/>
                    </w:rPr>
                    <w:t>41.系统支持在线考试功能，支持自定义系统内所有试题的难度系数和权重。支持对试题来源、所属科目和试题题型等进行编辑和修改；支持单选题、多选题、判断题、简答题、填空题及实验题等题型；考试题支持在线编辑添加和word文件导入添加两种操作方式，系统内置word试题模板；支持通过图形显示不同题型分配比例和数量统计。</w:t>
                  </w:r>
                </w:p>
                <w:p>
                  <w:pPr>
                    <w:jc w:val="both"/>
                  </w:pPr>
                  <w:r>
                    <w:rPr>
                      <w:sz w:val="21"/>
                    </w:rPr>
                    <w:t>42.在线考试支持编辑添加实验题，实验题支持容器、Jupyter运行环境，支持单机、集群两种环境类别，支持设置主、从节点的参数。</w:t>
                  </w:r>
                </w:p>
                <w:p>
                  <w:pPr>
                    <w:jc w:val="both"/>
                  </w:pPr>
                  <w:r>
                    <w:rPr>
                      <w:sz w:val="21"/>
                    </w:rPr>
                    <w:t>43</w:t>
                  </w:r>
                  <w:r>
                    <w:rPr>
                      <w:sz w:val="21"/>
                    </w:rPr>
                    <w:t>.</w:t>
                  </w:r>
                  <w:r>
                    <w:rPr>
                      <w:sz w:val="21"/>
                    </w:rPr>
                    <w:t>在线考试支持自动组卷和手动组卷两种方式添加试卷。通过对不同题型所属的试题科目进行题目总数设定，支持自动计算总分数。完成快速自动组卷。系统支持将任意已发布的试卷自动设为模板，支持对模板试卷的复用功能。支持试卷以</w:t>
                  </w:r>
                  <w:r>
                    <w:rPr>
                      <w:sz w:val="21"/>
                    </w:rPr>
                    <w:t>word格式批量导出。</w:t>
                  </w:r>
                </w:p>
                <w:p>
                  <w:pPr>
                    <w:jc w:val="both"/>
                  </w:pPr>
                  <w:r>
                    <w:rPr>
                      <w:sz w:val="21"/>
                    </w:rPr>
                    <w:t>44</w:t>
                  </w:r>
                  <w:r>
                    <w:rPr>
                      <w:sz w:val="21"/>
                    </w:rPr>
                    <w:t>.</w:t>
                  </w:r>
                  <w:r>
                    <w:rPr>
                      <w:sz w:val="21"/>
                    </w:rPr>
                    <w:t>在线考试支持查看试卷满分、最高分、最低分、平均分、及格率、已提交人数等考试信息。支持查看学生的考试时间、答题时长、成绩、及格状态等数据。支持以</w:t>
                  </w:r>
                  <w:r>
                    <w:rPr>
                      <w:sz w:val="21"/>
                    </w:rPr>
                    <w:t>excel格式导出学生成绩。支持考试分析功能，展示错题率统计图和成绩排名图。</w:t>
                  </w:r>
                </w:p>
                <w:p>
                  <w:pPr>
                    <w:jc w:val="both"/>
                  </w:pPr>
                  <w:r>
                    <w:rPr>
                      <w:sz w:val="21"/>
                    </w:rPr>
                    <w:t>▲45</w:t>
                  </w:r>
                  <w:r>
                    <w:rPr>
                      <w:sz w:val="21"/>
                    </w:rPr>
                    <w:t>.</w:t>
                  </w:r>
                  <w:r>
                    <w:rPr>
                      <w:sz w:val="21"/>
                    </w:rPr>
                    <w:t>系统支持自定义学习路径功能，支持对课程的学科分类、学科内容及学科适用职业进行定位，支持对学习路径新增分类、新增路径小类、新增岗位。支持学习路径的可视化分析，展示岗位能力达成图、技术能力分布图、学习路径课程分布图。支持通过课程、班级以及姓名筛选查看。（提供软件功能</w:t>
                  </w:r>
                  <w:r>
                    <w:rPr>
                      <w:sz w:val="21"/>
                    </w:rPr>
                    <w:t>截图证明</w:t>
                  </w:r>
                  <w:r>
                    <w:rPr>
                      <w:sz w:val="21"/>
                    </w:rPr>
                    <w:t>）</w:t>
                  </w:r>
                </w:p>
                <w:p>
                  <w:pPr>
                    <w:jc w:val="both"/>
                  </w:pPr>
                  <w:r>
                    <w:rPr>
                      <w:sz w:val="21"/>
                    </w:rPr>
                    <w:t>4</w:t>
                  </w:r>
                  <w:r>
                    <w:rPr>
                      <w:sz w:val="21"/>
                    </w:rPr>
                    <w:t>6</w:t>
                  </w:r>
                  <w:r>
                    <w:rPr>
                      <w:sz w:val="21"/>
                    </w:rPr>
                    <w:t>.</w:t>
                  </w:r>
                  <w:r>
                    <w:rPr>
                      <w:sz w:val="21"/>
                    </w:rPr>
                    <w:t>系统支持教师查看班级的实验报告分析，展示报告满分、最高分、最低分、平均分和已提交人数等数据，展示整个班级成绩排名图和实验分析图。支持学生查看个人实验报告分析，展示完成率、提交报告次数和报告成绩分析图。</w:t>
                  </w:r>
                  <w:r>
                    <w:rPr>
                      <w:sz w:val="21"/>
                    </w:rPr>
                    <w:t>47</w:t>
                  </w:r>
                  <w:r>
                    <w:rPr>
                      <w:sz w:val="21"/>
                    </w:rPr>
                    <w:t>.</w:t>
                  </w:r>
                  <w:r>
                    <w:rPr>
                      <w:sz w:val="21"/>
                    </w:rPr>
                    <w:t>系统支持人脸表情识别功能。支持</w:t>
                  </w:r>
                  <w:r>
                    <w:rPr>
                      <w:sz w:val="21"/>
                    </w:rPr>
                    <w:t>dlib库和训练好的人脸特征点模型，系统内置68模型（shape_predictor_68_face_landmarks.dat），支持使用OpenCV对图片进行操作，支持对识别出的人脸标注出特征点。支持用户从本地上传图片，或使用系统内置图片，或使用摄像头捕获图片上传至平台，本地上传图片类型支持jpg、png格式。系统通过计算，以可视化的方式展示当前模型使用效果。</w:t>
                  </w:r>
                </w:p>
                <w:p>
                  <w:pPr>
                    <w:jc w:val="both"/>
                  </w:pPr>
                  <w:r>
                    <w:rPr>
                      <w:sz w:val="21"/>
                    </w:rPr>
                    <w:t>48.系统支持图片风格迁移功能。支持tensorflow实现图像风格迁移，支持把一张图片的内容和一张图片的风格结合在一起，使内容图片的风格变成风格图片的风格样式。支持7种风格图片模型，输入一张内容图片，支持随机输出一张改变风格后的图片。支持用户从本地上传图片，或使用系统内置图片，或使用摄像头捕获图片上传至平台，本地上传图片类型支持jpg、png格式。系统通过计算，以可视化的方式展示当前模型使用效果</w:t>
                  </w:r>
                  <w:r>
                    <w:rPr>
                      <w:sz w:val="21"/>
                    </w:rPr>
                    <w:t>。</w:t>
                  </w:r>
                </w:p>
                <w:p>
                  <w:pPr>
                    <w:jc w:val="both"/>
                  </w:pPr>
                  <w:r>
                    <w:rPr>
                      <w:sz w:val="21"/>
                    </w:rPr>
                    <w:t>49.系统支持看图说话功能。支持tensorflow实现Google的image-to-text模型，支持把图像转换成文字。支持根据输入的图片，把图片内容描述以字符串的形式输出。支持用户从本地上传图片，或使用系统内置图片，或使用摄像头捕获图片上传至平台，本地上传图片类型支持jpg、png格式。系统通过计算，以可视化的方式展示当前模型使用效果。</w:t>
                  </w:r>
                </w:p>
                <w:p>
                  <w:pPr>
                    <w:jc w:val="both"/>
                  </w:pPr>
                  <w:r>
                    <w:rPr>
                      <w:sz w:val="21"/>
                    </w:rPr>
                    <w:t>50</w:t>
                  </w:r>
                  <w:r>
                    <w:rPr>
                      <w:sz w:val="21"/>
                    </w:rPr>
                    <w:t>.</w:t>
                  </w:r>
                  <w:r>
                    <w:rPr>
                      <w:sz w:val="21"/>
                    </w:rPr>
                    <w:t>系统支持</w:t>
                  </w:r>
                  <w:r>
                    <w:rPr>
                      <w:sz w:val="21"/>
                    </w:rPr>
                    <w:t>YOLO目标检测功能。支持使用Keras实现YOLOv3模型进行目标检测，对于紧凑密集或者高度重叠目标的检测有显著效果。支持输入多张图片，并对图片中的物体检测标注，然后输出标注好后的图片。支持用户从本地上传图片，或使用系统内置图片，或使用摄像头捕获图片上传至平台，本地上传图片类型支持jpg、png格式。系统通过计算，以可视化的方式展示当前模型使用效果</w:t>
                  </w:r>
                  <w:r>
                    <w:rPr>
                      <w:sz w:val="21"/>
                    </w:rPr>
                    <w:t>。</w:t>
                  </w:r>
                </w:p>
                <w:p>
                  <w:pPr>
                    <w:jc w:val="both"/>
                  </w:pPr>
                  <w:r>
                    <w:rPr>
                      <w:sz w:val="21"/>
                    </w:rPr>
                    <w:t>▲51</w:t>
                  </w:r>
                  <w:r>
                    <w:rPr>
                      <w:sz w:val="21"/>
                    </w:rPr>
                    <w:t>.</w:t>
                  </w:r>
                  <w:r>
                    <w:rPr>
                      <w:sz w:val="21"/>
                    </w:rPr>
                    <w:t>系统支持识别人体关键点功能。支持使用</w:t>
                  </w:r>
                  <w:r>
                    <w:rPr>
                      <w:sz w:val="21"/>
                    </w:rPr>
                    <w:t>TensorFlow实现OpenPose模型，能够识别出人体的骨骼关键点，通过人体的关键点检测，可以辨别出人体的姿态，通过人体的姿态可在一些场景下做出判断并提醒。输入图片，然后通过处理，输出标注好人体关键点的图片。支持用户从本地上传图片，或使用系统内置图片，或使用摄像头捕获图片上传至平台，本地上传图片类型支持jpg、png格式。系统通过计算，以可视化的方式展示当前模型使用效果。（提供软件功能</w:t>
                  </w:r>
                  <w:r>
                    <w:rPr>
                      <w:sz w:val="21"/>
                    </w:rPr>
                    <w:t>截图证明</w:t>
                  </w:r>
                  <w:r>
                    <w:rPr>
                      <w:sz w:val="21"/>
                    </w:rPr>
                    <w:t>）</w:t>
                  </w:r>
                </w:p>
                <w:p>
                  <w:pPr>
                    <w:jc w:val="both"/>
                  </w:pPr>
                  <w:r>
                    <w:rPr>
                      <w:sz w:val="21"/>
                    </w:rPr>
                    <w:t>52.系统支持性别年龄识别功能。支持使用tensorflow实现用于人的年龄和性别的估算。首先识别出图片中的人脸，然后再通过人脸去识别人的年龄和性别。通过输入一张有人脸的照片，能够识别出人脸和人的性别和年龄，并标注在图像上，然后输出标注处理好的图像。支持用户从本地上传图片，或使用系统内置图片，或使用摄像头捕获图片上传至平台，本地上传图片类型支持jpg、png格式。系统通过计算，以可视化的方式展示当前模型使用效果。</w:t>
                  </w:r>
                </w:p>
                <w:p>
                  <w:pPr>
                    <w:jc w:val="both"/>
                  </w:pPr>
                  <w:r>
                    <w:rPr>
                      <w:sz w:val="21"/>
                    </w:rPr>
                    <w:t>5</w:t>
                  </w:r>
                  <w:r>
                    <w:rPr>
                      <w:sz w:val="21"/>
                    </w:rPr>
                    <w:t>3.</w:t>
                  </w:r>
                  <w:r>
                    <w:rPr>
                      <w:sz w:val="21"/>
                    </w:rPr>
                    <w:t>系统支持磁盘管理功能，支持自动或手动清理磁盘。</w:t>
                  </w:r>
                </w:p>
                <w:p>
                  <w:pPr>
                    <w:jc w:val="both"/>
                  </w:pPr>
                  <w:r>
                    <w:rPr>
                      <w:sz w:val="21"/>
                    </w:rPr>
                    <w:t>54</w:t>
                  </w:r>
                  <w:r>
                    <w:rPr>
                      <w:sz w:val="21"/>
                    </w:rPr>
                    <w:t>.</w:t>
                  </w:r>
                  <w:r>
                    <w:rPr>
                      <w:sz w:val="21"/>
                    </w:rPr>
                    <w:t>系统支持组织管理、班级管理和用户管理。支持对系统账户进行编辑、重置密码、禁用和删除操作。支持从回收站还原账户。</w:t>
                  </w:r>
                </w:p>
                <w:p>
                  <w:pPr>
                    <w:jc w:val="both"/>
                  </w:pPr>
                  <w:r>
                    <w:rPr>
                      <w:sz w:val="21"/>
                    </w:rPr>
                    <w:t>55</w:t>
                  </w:r>
                  <w:r>
                    <w:rPr>
                      <w:sz w:val="21"/>
                    </w:rPr>
                    <w:t>.</w:t>
                  </w:r>
                  <w:r>
                    <w:rPr>
                      <w:sz w:val="21"/>
                    </w:rPr>
                    <w:t>系统支持在线用户管理功能，支持查看系统当前在线用户的会话编号、姓名、浏览器、操作系统、登录时间、登录</w:t>
                  </w:r>
                  <w:r>
                    <w:rPr>
                      <w:sz w:val="21"/>
                    </w:rPr>
                    <w:t>IP、登录地点等信息，支持对系统当前在线用户进行强退及批量强退操作。</w:t>
                  </w:r>
                </w:p>
                <w:p>
                  <w:pPr>
                    <w:jc w:val="both"/>
                  </w:pPr>
                  <w:r>
                    <w:rPr>
                      <w:sz w:val="21"/>
                    </w:rPr>
                    <w:t>56.系统支持登录日志管理功能，支持查看登录用户的姓名、账号、浏览器、操作系统、登录IP、登录地点、登录状态、错误信息、操作耗时、登录时间的信息，支持批量删除及导出操作。</w:t>
                  </w:r>
                </w:p>
                <w:p>
                  <w:pPr>
                    <w:jc w:val="both"/>
                  </w:pPr>
                  <w:r>
                    <w:rPr>
                      <w:sz w:val="21"/>
                    </w:rPr>
                    <w:t>57</w:t>
                  </w:r>
                  <w:r>
                    <w:rPr>
                      <w:sz w:val="21"/>
                    </w:rPr>
                    <w:t>.</w:t>
                  </w:r>
                  <w:r>
                    <w:rPr>
                      <w:sz w:val="21"/>
                    </w:rPr>
                    <w:t>系统支持操作日志管理功能，支持查看用户操作的姓名、操作模块、错误信息、操作方法、请求参数、操作</w:t>
                  </w:r>
                  <w:r>
                    <w:rPr>
                      <w:sz w:val="21"/>
                    </w:rPr>
                    <w:t>IP、操作时间、账号、操作状态、操作耗时、操作内容、返回参数、操作地点等信息，支持删除操作。</w:t>
                  </w:r>
                </w:p>
                <w:p>
                  <w:pPr>
                    <w:jc w:val="both"/>
                  </w:pPr>
                  <w:r>
                    <w:rPr>
                      <w:sz w:val="21"/>
                    </w:rPr>
                    <w:t>58</w:t>
                  </w:r>
                  <w:r>
                    <w:rPr>
                      <w:sz w:val="21"/>
                    </w:rPr>
                    <w:t>.</w:t>
                  </w:r>
                  <w:r>
                    <w:rPr>
                      <w:sz w:val="21"/>
                    </w:rPr>
                    <w:t>系统支持安全管理功能，支持对当前数据库进行备份，支持按时间段查询所有备份的数据库信息、支持备份的恢复与删除。</w:t>
                  </w:r>
                </w:p>
                <w:p>
                  <w:pPr>
                    <w:jc w:val="both"/>
                  </w:pPr>
                  <w:r>
                    <w:rPr>
                      <w:sz w:val="21"/>
                    </w:rPr>
                    <w:t>▲59</w:t>
                  </w:r>
                  <w:r>
                    <w:rPr>
                      <w:sz w:val="21"/>
                    </w:rPr>
                    <w:t>.</w:t>
                  </w:r>
                  <w:r>
                    <w:rPr>
                      <w:sz w:val="21"/>
                    </w:rPr>
                    <w:t>系统支持添加、导入及批量删除敏感词，支持对已有敏感词状态进行开启或关闭操作，支持对所选敏感词进行编辑及删除操作。（提供软件功能</w:t>
                  </w:r>
                  <w:r>
                    <w:rPr>
                      <w:sz w:val="21"/>
                    </w:rPr>
                    <w:t>截图证明</w:t>
                  </w:r>
                  <w:r>
                    <w:rPr>
                      <w:sz w:val="21"/>
                    </w:rPr>
                    <w:t>）</w:t>
                  </w:r>
                </w:p>
                <w:p>
                  <w:pPr>
                    <w:jc w:val="both"/>
                  </w:pPr>
                  <w:r>
                    <w:rPr>
                      <w:sz w:val="21"/>
                    </w:rPr>
                    <w:t>60</w:t>
                  </w:r>
                  <w:r>
                    <w:rPr>
                      <w:sz w:val="21"/>
                    </w:rPr>
                    <w:t>.</w:t>
                  </w:r>
                  <w:r>
                    <w:rPr>
                      <w:sz w:val="21"/>
                    </w:rPr>
                    <w:t>系统支持通知管理功能，支持对系统通知进行查看、撤销及删除操作。</w:t>
                  </w:r>
                </w:p>
              </w:tc>
              <w:tc>
                <w:tcPr>
                  <w:tcW w:type="dxa" w:w="408"/>
                  <w:tcBorders>
                    <w:top w:val="none" w:color="000000" w:sz="4"/>
                    <w:left w:val="single" w:color="000000" w:sz="4"/>
                    <w:bottom w:val="single" w:color="000000" w:sz="4"/>
                    <w:right w:val="single" w:color="000000" w:sz="4"/>
                  </w:tcBorders>
                  <w:vAlign w:val="top"/>
                </w:tcPr>
                <w:p>
                  <w:pPr>
                    <w:jc w:val="center"/>
                  </w:pPr>
                  <w:r>
                    <w:rPr>
                      <w:color w:val="000000"/>
                      <w:sz w:val="20"/>
                    </w:rPr>
                    <w:t>1 个</w:t>
                  </w:r>
                </w:p>
              </w:tc>
            </w:tr>
            <w:tr>
              <w:tc>
                <w:tcPr>
                  <w:tcW w:type="dxa" w:w="328"/>
                  <w:tcBorders>
                    <w:top w:val="none" w:color="000000" w:sz="4"/>
                    <w:left w:val="single" w:color="000000" w:sz="4"/>
                    <w:bottom w:val="single" w:color="000000" w:sz="4"/>
                    <w:right w:val="single" w:color="000000" w:sz="4"/>
                  </w:tcBorders>
                  <w:vAlign w:val="top"/>
                </w:tcPr>
                <w:p>
                  <w:pPr>
                    <w:jc w:val="both"/>
                  </w:pPr>
                  <w:r>
                    <w:rPr>
                      <w:sz w:val="21"/>
                    </w:rPr>
                    <w:t>8.</w:t>
                  </w:r>
                </w:p>
              </w:tc>
              <w:tc>
                <w:tcPr>
                  <w:tcW w:type="dxa" w:w="629"/>
                  <w:tcBorders>
                    <w:top w:val="none" w:color="000000" w:sz="4"/>
                    <w:left w:val="single" w:color="000000" w:sz="4"/>
                    <w:bottom w:val="single" w:color="000000" w:sz="4"/>
                    <w:right w:val="single" w:color="000000" w:sz="4"/>
                  </w:tcBorders>
                  <w:vAlign w:val="top"/>
                </w:tcPr>
                <w:p>
                  <w:pPr>
                    <w:jc w:val="center"/>
                  </w:pPr>
                  <w:r>
                    <w:rPr>
                      <w:color w:val="000000"/>
                      <w:sz w:val="20"/>
                    </w:rPr>
                    <w:t>镜像仓库管理系统</w:t>
                  </w:r>
                </w:p>
              </w:tc>
              <w:tc>
                <w:tcPr>
                  <w:tcW w:type="dxa" w:w="4233"/>
                  <w:tcBorders>
                    <w:top w:val="none" w:color="000000" w:sz="4"/>
                    <w:left w:val="single" w:color="000000" w:sz="4"/>
                    <w:bottom w:val="single" w:color="000000" w:sz="4"/>
                    <w:right w:val="single" w:color="000000" w:sz="4"/>
                  </w:tcBorders>
                  <w:vAlign w:val="top"/>
                </w:tcPr>
                <w:p>
                  <w:pPr>
                    <w:jc w:val="both"/>
                  </w:pPr>
                  <w:r>
                    <w:rPr>
                      <w:sz w:val="21"/>
                    </w:rPr>
                    <w:t>1.基于角色的访问控制：用户和存储的镜像通过“项目”进行组织，用户可以对项目下的docker镜像拥有不同的访问权限。</w:t>
                  </w:r>
                </w:p>
                <w:p>
                  <w:pPr>
                    <w:jc w:val="both"/>
                  </w:pPr>
                  <w:r>
                    <w:rPr>
                      <w:sz w:val="21"/>
                    </w:rPr>
                    <w:t>2.基于策略的复制：可以使用带有多个筛选器（存储仓库，标记和标签）的策略在Harbor镜像仓库之间复制（同步）docker镜像。不论遇到什么错误，Harbor都会自动重试复制。该功能非常适合负载均衡，高可用，多数据中心，混合云和多云等场景。</w:t>
                  </w:r>
                </w:p>
                <w:p>
                  <w:pPr>
                    <w:jc w:val="both"/>
                  </w:pPr>
                  <w:r>
                    <w:rPr>
                      <w:sz w:val="21"/>
                    </w:rPr>
                    <w:t>3</w:t>
                  </w:r>
                  <w:r>
                    <w:rPr>
                      <w:sz w:val="21"/>
                    </w:rPr>
                    <w:t>.</w:t>
                  </w:r>
                  <w:r>
                    <w:rPr>
                      <w:sz w:val="21"/>
                    </w:rPr>
                    <w:t>支持</w:t>
                  </w:r>
                  <w:r>
                    <w:rPr>
                      <w:sz w:val="21"/>
                    </w:rPr>
                    <w:t>LDAP/AD：Harbor支持与企业现有的LDAP/AD服务进行集成，以进行用户身份验证和管理，并支持将LDAP中的组导入Harbor并为其分配适当的项目角色。</w:t>
                  </w:r>
                </w:p>
                <w:p>
                  <w:pPr>
                    <w:jc w:val="both"/>
                  </w:pPr>
                  <w:r>
                    <w:rPr>
                      <w:sz w:val="21"/>
                    </w:rPr>
                    <w:t>4.支持项目级别的磁盘配额，可以设置每一个项目中的镜像个数和占用磁盘空间。</w:t>
                  </w:r>
                </w:p>
                <w:p>
                  <w:pPr>
                    <w:jc w:val="both"/>
                  </w:pPr>
                  <w:r>
                    <w:rPr>
                      <w:sz w:val="21"/>
                    </w:rPr>
                    <w:t>5.镜像删除和垃圾数据收集：Harbor支持删除仓库中的docker镜像，并回收硬盘空间。</w:t>
                  </w:r>
                </w:p>
                <w:p>
                  <w:pPr>
                    <w:jc w:val="both"/>
                  </w:pPr>
                  <w:r>
                    <w:rPr>
                      <w:sz w:val="21"/>
                    </w:rPr>
                    <w:t>6.图形化门户：用户可以轻松使用浏览器，搜索镜像仓库和管理项目。</w:t>
                  </w:r>
                </w:p>
                <w:p>
                  <w:pPr>
                    <w:jc w:val="both"/>
                  </w:pPr>
                  <w:r>
                    <w:rPr>
                      <w:sz w:val="21"/>
                    </w:rPr>
                    <w:t>7.审计：支持跟踪harbor镜像仓库的所有操作。</w:t>
                  </w:r>
                </w:p>
                <w:p>
                  <w:pPr>
                    <w:jc w:val="both"/>
                  </w:pPr>
                  <w:r>
                    <w:rPr>
                      <w:sz w:val="21"/>
                    </w:rPr>
                    <w:t>8.RESTful API：harbor提供适用于大多数管理操作的RESTful API，易于与外部系统集成。通过嵌入式Swagger UI提供可用于功能探索和测试的API。</w:t>
                  </w:r>
                </w:p>
                <w:p>
                  <w:pPr>
                    <w:jc w:val="both"/>
                  </w:pPr>
                  <w:r>
                    <w:rPr>
                      <w:sz w:val="21"/>
                    </w:rPr>
                    <w:t>9.保存云计算管理系统所需的docker镜像：云计算管理系统提供教学用的实验环境。构成云计算管理系统的系统镜像由harbor存储。</w:t>
                  </w:r>
                </w:p>
                <w:p>
                  <w:pPr>
                    <w:jc w:val="both"/>
                  </w:pPr>
                  <w:r>
                    <w:rPr>
                      <w:sz w:val="21"/>
                    </w:rPr>
                    <w:t>10.提供多用户管理：harbor支持为不同的教师创建独立账号。可使不同的教师分别管理各自的镜像。</w:t>
                  </w:r>
                </w:p>
                <w:p>
                  <w:pPr>
                    <w:jc w:val="both"/>
                  </w:pPr>
                  <w:r>
                    <w:rPr>
                      <w:sz w:val="21"/>
                    </w:rPr>
                    <w:t>11</w:t>
                  </w:r>
                  <w:r>
                    <w:rPr>
                      <w:sz w:val="21"/>
                    </w:rPr>
                    <w:t>.</w:t>
                  </w:r>
                  <w:r>
                    <w:rPr>
                      <w:sz w:val="21"/>
                    </w:rPr>
                    <w:t>公开项目和私有项目：</w:t>
                  </w:r>
                  <w:r>
                    <w:rPr>
                      <w:sz w:val="21"/>
                    </w:rPr>
                    <w:t>harbor基于项目管理镜像。教师在创建项目时可以选择是否公开。公开项目中的镜像所有人都可以拉取，私有项目中的镜像只有所有者可以拉取。</w:t>
                  </w:r>
                </w:p>
                <w:p>
                  <w:pPr>
                    <w:jc w:val="both"/>
                  </w:pPr>
                  <w:r>
                    <w:rPr>
                      <w:sz w:val="21"/>
                    </w:rPr>
                    <w:t>12</w:t>
                  </w:r>
                  <w:r>
                    <w:rPr>
                      <w:sz w:val="21"/>
                    </w:rPr>
                    <w:t>.</w:t>
                  </w:r>
                  <w:r>
                    <w:rPr>
                      <w:sz w:val="21"/>
                    </w:rPr>
                    <w:t>服务课工场：大数据实验管理平台系统的课工场功能允许教师自定义</w:t>
                  </w:r>
                  <w:r>
                    <w:rPr>
                      <w:sz w:val="21"/>
                    </w:rPr>
                    <w:t>docker镜像。harbor负责存储教师自定义的docker镜像。</w:t>
                  </w:r>
                </w:p>
                <w:p>
                  <w:pPr>
                    <w:jc w:val="both"/>
                  </w:pPr>
                  <w:r>
                    <w:rPr>
                      <w:sz w:val="21"/>
                    </w:rPr>
                    <w:t>13</w:t>
                  </w:r>
                  <w:r>
                    <w:rPr>
                      <w:sz w:val="21"/>
                    </w:rPr>
                    <w:t>.</w:t>
                  </w:r>
                  <w:r>
                    <w:rPr>
                      <w:sz w:val="21"/>
                    </w:rPr>
                    <w:t>镜像管理功能：要求能显示镜像列表、要求能显示镜像构建历史、能从容器创建新镜像、要求能够从</w:t>
                  </w:r>
                  <w:r>
                    <w:rPr>
                      <w:sz w:val="21"/>
                    </w:rPr>
                    <w:t>Dockerfile构建镜像、从registry下载镜像、能将镜像上传到registry、要求能够删除Docker host中的镜像、支持使用Dockerfile构建镜像。</w:t>
                  </w:r>
                </w:p>
              </w:tc>
              <w:tc>
                <w:tcPr>
                  <w:tcW w:type="dxa" w:w="408"/>
                  <w:tcBorders>
                    <w:top w:val="none" w:color="000000" w:sz="4"/>
                    <w:left w:val="single" w:color="000000" w:sz="4"/>
                    <w:bottom w:val="single" w:color="000000" w:sz="4"/>
                    <w:right w:val="single" w:color="000000" w:sz="4"/>
                  </w:tcBorders>
                  <w:vAlign w:val="top"/>
                </w:tcPr>
                <w:p>
                  <w:pPr>
                    <w:jc w:val="center"/>
                  </w:pPr>
                  <w:r>
                    <w:rPr>
                      <w:color w:val="000000"/>
                      <w:sz w:val="20"/>
                    </w:rPr>
                    <w:t>1个</w:t>
                  </w:r>
                </w:p>
              </w:tc>
            </w:tr>
            <w:tr>
              <w:tc>
                <w:tcPr>
                  <w:tcW w:type="dxa" w:w="328"/>
                  <w:tcBorders>
                    <w:top w:val="none" w:color="000000" w:sz="4"/>
                    <w:left w:val="single" w:color="000000" w:sz="4"/>
                    <w:bottom w:val="single" w:color="000000" w:sz="4"/>
                    <w:right w:val="single" w:color="000000" w:sz="4"/>
                  </w:tcBorders>
                  <w:vAlign w:val="top"/>
                </w:tcPr>
                <w:p>
                  <w:pPr>
                    <w:jc w:val="both"/>
                  </w:pPr>
                  <w:r>
                    <w:rPr>
                      <w:sz w:val="21"/>
                    </w:rPr>
                    <w:t>9.</w:t>
                  </w:r>
                </w:p>
              </w:tc>
              <w:tc>
                <w:tcPr>
                  <w:tcW w:type="dxa" w:w="629"/>
                  <w:tcBorders>
                    <w:top w:val="none" w:color="000000" w:sz="4"/>
                    <w:left w:val="single" w:color="000000" w:sz="4"/>
                    <w:bottom w:val="single" w:color="000000" w:sz="4"/>
                    <w:right w:val="single" w:color="000000" w:sz="4"/>
                  </w:tcBorders>
                  <w:vAlign w:val="top"/>
                </w:tcPr>
                <w:p>
                  <w:pPr>
                    <w:jc w:val="center"/>
                  </w:pPr>
                  <w:r>
                    <w:rPr>
                      <w:sz w:val="21"/>
                    </w:rPr>
                    <w:t>人工智能课程及案例资源包</w:t>
                  </w:r>
                </w:p>
              </w:tc>
              <w:tc>
                <w:tcPr>
                  <w:tcW w:type="dxa" w:w="4233"/>
                  <w:tcBorders>
                    <w:top w:val="none" w:color="000000" w:sz="4"/>
                    <w:left w:val="single" w:color="000000" w:sz="4"/>
                    <w:bottom w:val="single" w:color="000000" w:sz="4"/>
                    <w:right w:val="single" w:color="000000" w:sz="4"/>
                  </w:tcBorders>
                  <w:vAlign w:val="top"/>
                </w:tcPr>
                <w:p>
                  <w:pPr>
                    <w:jc w:val="left"/>
                  </w:pPr>
                  <w:r>
                    <w:rPr>
                      <w:sz w:val="21"/>
                    </w:rPr>
                    <w:t>一、课程资源包</w:t>
                  </w:r>
                </w:p>
                <w:p>
                  <w:pPr>
                    <w:jc w:val="left"/>
                  </w:pPr>
                  <w:r>
                    <w:rPr>
                      <w:sz w:val="21"/>
                    </w:rPr>
                    <w:t>1</w:t>
                  </w:r>
                  <w:r>
                    <w:rPr>
                      <w:sz w:val="21"/>
                    </w:rPr>
                    <w:t>.</w:t>
                  </w:r>
                  <w:r>
                    <w:rPr>
                      <w:sz w:val="21"/>
                    </w:rPr>
                    <w:t>《人工智能导论》</w:t>
                  </w:r>
                </w:p>
                <w:p>
                  <w:pPr>
                    <w:jc w:val="left"/>
                  </w:pPr>
                  <w:r>
                    <w:rPr>
                      <w:sz w:val="21"/>
                    </w:rPr>
                    <w:t>1</w:t>
                  </w:r>
                  <w:r>
                    <w:rPr>
                      <w:sz w:val="21"/>
                    </w:rPr>
                    <w:t>.1</w:t>
                  </w:r>
                  <w:r>
                    <w:rPr>
                      <w:sz w:val="21"/>
                    </w:rPr>
                    <w:t>课程简介：</w:t>
                  </w:r>
                </w:p>
                <w:p>
                  <w:pPr>
                    <w:jc w:val="left"/>
                  </w:pPr>
                  <w:r>
                    <w:rPr>
                      <w:sz w:val="21"/>
                    </w:rPr>
                    <w:t>通过本课程的学习，可了解人工智能的研究内容和研究领域，理解大数据与人工智能本质，掌握机器学习、神经网络和深度学习的基础知识，掌握人工智能技术的应用，并为后续相关课程学习及将来从事数据分析挖掘研究、人工智能研究领域奠定基础。</w:t>
                  </w:r>
                </w:p>
                <w:p>
                  <w:pPr>
                    <w:jc w:val="left"/>
                  </w:pPr>
                  <w:r>
                    <w:rPr>
                      <w:sz w:val="21"/>
                    </w:rPr>
                    <w:t>《人工智能导论》课程是大数据与人工智能系列课程的核心课程。课程从人工智能概述开始引入，通过剖析大数据与人工智能的关系进一步介绍机器学习、神经网络、深度学习、计算机视觉和自然语言处理的相关内容，最后基于应用实际介绍了智能与机器人的发展现况。</w:t>
                  </w:r>
                </w:p>
                <w:p>
                  <w:pPr>
                    <w:jc w:val="left"/>
                  </w:pPr>
                  <w:r>
                    <w:rPr>
                      <w:sz w:val="21"/>
                    </w:rPr>
                    <w:t>1</w:t>
                  </w:r>
                  <w:r>
                    <w:rPr>
                      <w:sz w:val="21"/>
                    </w:rPr>
                    <w:t>.2</w:t>
                  </w:r>
                  <w:r>
                    <w:rPr>
                      <w:sz w:val="21"/>
                    </w:rPr>
                    <w:t>课时数：理论教学</w:t>
                  </w:r>
                  <w:r>
                    <w:rPr>
                      <w:sz w:val="21"/>
                    </w:rPr>
                    <w:t>48学时。</w:t>
                  </w:r>
                </w:p>
                <w:p>
                  <w:pPr>
                    <w:jc w:val="left"/>
                  </w:pPr>
                  <w:r>
                    <w:rPr>
                      <w:sz w:val="21"/>
                    </w:rPr>
                    <w:t>1</w:t>
                  </w:r>
                  <w:r>
                    <w:rPr>
                      <w:sz w:val="21"/>
                    </w:rPr>
                    <w:t>.3</w:t>
                  </w:r>
                  <w:r>
                    <w:rPr>
                      <w:sz w:val="21"/>
                    </w:rPr>
                    <w:t>课程资源：不少于</w:t>
                  </w:r>
                  <w:r>
                    <w:rPr>
                      <w:sz w:val="21"/>
                    </w:rPr>
                    <w:t>41个课程视频、20份课程PPT。（须提供此资源截图加盖供应商公章）</w:t>
                  </w:r>
                </w:p>
                <w:p>
                  <w:pPr>
                    <w:jc w:val="left"/>
                  </w:pPr>
                  <w:r>
                    <w:rPr>
                      <w:sz w:val="21"/>
                    </w:rPr>
                    <w:t>2</w:t>
                  </w:r>
                  <w:r>
                    <w:rPr>
                      <w:sz w:val="21"/>
                    </w:rPr>
                    <w:t>.</w:t>
                  </w:r>
                  <w:r>
                    <w:rPr>
                      <w:sz w:val="21"/>
                    </w:rPr>
                    <w:t>《</w:t>
                  </w:r>
                  <w:r>
                    <w:rPr>
                      <w:sz w:val="21"/>
                    </w:rPr>
                    <w:t>Docker平台应用》</w:t>
                  </w:r>
                </w:p>
                <w:p>
                  <w:pPr>
                    <w:jc w:val="left"/>
                  </w:pPr>
                  <w:r>
                    <w:rPr>
                      <w:sz w:val="21"/>
                    </w:rPr>
                    <w:t>课程资源包含不少于</w:t>
                  </w:r>
                  <w:r>
                    <w:rPr>
                      <w:sz w:val="21"/>
                    </w:rPr>
                    <w:t>23个实验手册等教学内容。</w:t>
                  </w:r>
                </w:p>
                <w:p>
                  <w:pPr>
                    <w:jc w:val="left"/>
                  </w:pPr>
                  <w:r>
                    <w:rPr>
                      <w:sz w:val="21"/>
                    </w:rPr>
                    <w:t>2</w:t>
                  </w:r>
                  <w:r>
                    <w:rPr>
                      <w:sz w:val="21"/>
                    </w:rPr>
                    <w:t>.1</w:t>
                  </w:r>
                  <w:r>
                    <w:rPr>
                      <w:sz w:val="21"/>
                    </w:rPr>
                    <w:t>课程提供实验内容包含：</w:t>
                  </w:r>
                </w:p>
                <w:p>
                  <w:pPr>
                    <w:jc w:val="left"/>
                  </w:pPr>
                  <w:r>
                    <w:rPr>
                      <w:sz w:val="21"/>
                    </w:rPr>
                    <w:t>安装</w:t>
                  </w:r>
                  <w:r>
                    <w:rPr>
                      <w:sz w:val="21"/>
                    </w:rPr>
                    <w:t>docker服务、使用Dockerfile构建镜像、调试Dockerfile以及镜像命名、使用docker commit构建新镜像、使用公共Registry、搭建本地Registry、搭建企业级docker仓库、运行容器和进入容器、docker容器的常用操作、限制docker容器的内存、限制docker容器使用CPU、限制docker容器的Block IO、docker的原生网络、自定义docker容器网络、容器之间和容器与外部的通信、docker储bind mount、使用docker managed volume、容器之间共享数据、docker常用监控命令、使用weave网路、使用Weave Scope容器地图、使用rancher搭建k8s集群、部署Graylog日志系统。</w:t>
                  </w:r>
                </w:p>
                <w:p>
                  <w:pPr>
                    <w:jc w:val="left"/>
                  </w:pPr>
                  <w:r>
                    <w:rPr>
                      <w:sz w:val="21"/>
                    </w:rPr>
                    <w:t>3</w:t>
                  </w:r>
                  <w:r>
                    <w:rPr>
                      <w:sz w:val="21"/>
                    </w:rPr>
                    <w:t>.</w:t>
                  </w:r>
                  <w:r>
                    <w:rPr>
                      <w:sz w:val="21"/>
                    </w:rPr>
                    <w:t>《数据分析与挖掘》</w:t>
                  </w:r>
                </w:p>
                <w:p>
                  <w:pPr>
                    <w:jc w:val="left"/>
                  </w:pPr>
                  <w:r>
                    <w:rPr>
                      <w:sz w:val="21"/>
                    </w:rPr>
                    <w:t>课程资源包含不少于</w:t>
                  </w:r>
                  <w:r>
                    <w:rPr>
                      <w:sz w:val="21"/>
                    </w:rPr>
                    <w:t>19个实验手册等教学内容。</w:t>
                  </w:r>
                </w:p>
                <w:p>
                  <w:pPr>
                    <w:jc w:val="left"/>
                  </w:pPr>
                  <w:r>
                    <w:rPr>
                      <w:sz w:val="21"/>
                    </w:rPr>
                    <w:t>3</w:t>
                  </w:r>
                  <w:r>
                    <w:rPr>
                      <w:sz w:val="21"/>
                    </w:rPr>
                    <w:t>.1</w:t>
                  </w:r>
                  <w:r>
                    <w:rPr>
                      <w:sz w:val="21"/>
                    </w:rPr>
                    <w:t>课程提供实验内容包含：</w:t>
                  </w:r>
                </w:p>
                <w:p>
                  <w:pPr>
                    <w:jc w:val="left"/>
                  </w:pPr>
                  <w:r>
                    <w:rPr>
                      <w:sz w:val="21"/>
                    </w:rPr>
                    <w:t>Anaconda及PyCharm的安装与配置、使用sklearn进行数据预处理基础梳理、利用apriori算法发现毒蘑菇近似特征、使用fpGrowth算法发现购物关联、基于SVM分析UCI银行营销数据集、逻辑回归、ogistcalRegression分析鸢尾花数据集、基于贝叶斯算法的鸢尾花数据分类、用LSTM实现股票预测、使用DBSCAN对红酒类型聚类、使用K均值对UCI wine数据集进行分析、基于SK-learn Label Propagation的半监督算法实现、文本特征词的提取、word2vec及doc2vec的训练及使用、20newsgroup分类分析、KMeans聚类乳腺癌数据集分析、LDA主题发现演练分析、服装数据集分析、使用K均值分析天平数据集、使用决策树对三好学生评选进行建模。</w:t>
                  </w:r>
                </w:p>
                <w:p>
                  <w:pPr>
                    <w:jc w:val="left"/>
                  </w:pPr>
                  <w:r>
                    <w:rPr>
                      <w:sz w:val="21"/>
                    </w:rPr>
                    <w:t>4</w:t>
                  </w:r>
                  <w:r>
                    <w:rPr>
                      <w:sz w:val="21"/>
                    </w:rPr>
                    <w:t>.</w:t>
                  </w:r>
                  <w:r>
                    <w:rPr>
                      <w:sz w:val="21"/>
                    </w:rPr>
                    <w:t>《机器学习》</w:t>
                  </w:r>
                </w:p>
                <w:p>
                  <w:pPr>
                    <w:jc w:val="left"/>
                  </w:pPr>
                  <w:r>
                    <w:rPr>
                      <w:sz w:val="21"/>
                    </w:rPr>
                    <w:t>4</w:t>
                  </w:r>
                  <w:r>
                    <w:rPr>
                      <w:sz w:val="21"/>
                    </w:rPr>
                    <w:t>.1</w:t>
                  </w:r>
                  <w:r>
                    <w:rPr>
                      <w:sz w:val="21"/>
                    </w:rPr>
                    <w:t>课程资源包含不少于</w:t>
                  </w:r>
                  <w:r>
                    <w:rPr>
                      <w:sz w:val="21"/>
                    </w:rPr>
                    <w:t>27个实验手册等教学内容。</w:t>
                  </w:r>
                </w:p>
                <w:p>
                  <w:pPr>
                    <w:jc w:val="left"/>
                  </w:pPr>
                  <w:r>
                    <w:rPr>
                      <w:sz w:val="21"/>
                    </w:rPr>
                    <w:t>4</w:t>
                  </w:r>
                  <w:r>
                    <w:rPr>
                      <w:sz w:val="21"/>
                    </w:rPr>
                    <w:t>.2</w:t>
                  </w:r>
                  <w:r>
                    <w:rPr>
                      <w:sz w:val="21"/>
                    </w:rPr>
                    <w:t>课程提供实验内容包含：</w:t>
                  </w:r>
                </w:p>
                <w:p>
                  <w:pPr>
                    <w:jc w:val="left"/>
                  </w:pPr>
                  <w:r>
                    <w:rPr>
                      <w:sz w:val="21"/>
                    </w:rPr>
                    <w:t>线性回归、逻辑回归、最大期望算法、主题模型、聚类算法、支持向量机、决策树与随机森林、隐马尔科夫模型、</w:t>
                  </w:r>
                  <w:r>
                    <w:rPr>
                      <w:sz w:val="21"/>
                    </w:rPr>
                    <w:t>Mahout实践：Mahout安装部署、Mahout聚类算法、Mahout分类算法、机器学习实践：动物图片识别、手写数字识别、Spark、鸢尾花分类、棋类游戏、提取文章摘要、监督学习、非监督学习、非监督学习自编码、气象数据分析、足球比赛聚类分析、机器学习-Kaggle美国收入数据集分析、房价预测案例建模、人脸识别数据集分析、使用DBSCAN对鲍鱼大小聚类、搜狗新闻分类、用LSTM实现MNIST手写数字识别。</w:t>
                  </w:r>
                </w:p>
                <w:p>
                  <w:pPr>
                    <w:jc w:val="left"/>
                  </w:pPr>
                  <w:r>
                    <w:rPr>
                      <w:sz w:val="21"/>
                    </w:rPr>
                    <w:t>5</w:t>
                  </w:r>
                  <w:r>
                    <w:rPr>
                      <w:sz w:val="21"/>
                    </w:rPr>
                    <w:t>.</w:t>
                  </w:r>
                  <w:r>
                    <w:rPr>
                      <w:sz w:val="21"/>
                    </w:rPr>
                    <w:t>《深度学习》</w:t>
                  </w:r>
                </w:p>
                <w:p>
                  <w:pPr>
                    <w:jc w:val="left"/>
                  </w:pPr>
                  <w:r>
                    <w:rPr>
                      <w:sz w:val="21"/>
                    </w:rPr>
                    <w:t>5</w:t>
                  </w:r>
                  <w:r>
                    <w:rPr>
                      <w:sz w:val="21"/>
                    </w:rPr>
                    <w:t>.1</w:t>
                  </w:r>
                  <w:r>
                    <w:rPr>
                      <w:sz w:val="21"/>
                    </w:rPr>
                    <w:t>课程资源包含不少于</w:t>
                  </w:r>
                  <w:r>
                    <w:rPr>
                      <w:sz w:val="21"/>
                    </w:rPr>
                    <w:t>31个实验手册等教学内容。</w:t>
                  </w:r>
                </w:p>
                <w:p>
                  <w:pPr>
                    <w:jc w:val="left"/>
                  </w:pPr>
                  <w:r>
                    <w:rPr>
                      <w:sz w:val="21"/>
                    </w:rPr>
                    <w:t>5</w:t>
                  </w:r>
                  <w:r>
                    <w:rPr>
                      <w:sz w:val="21"/>
                    </w:rPr>
                    <w:t>.2</w:t>
                  </w:r>
                  <w:r>
                    <w:rPr>
                      <w:sz w:val="21"/>
                    </w:rPr>
                    <w:t>课程提供实验内容包含：</w:t>
                  </w:r>
                </w:p>
                <w:p>
                  <w:pPr>
                    <w:jc w:val="left"/>
                  </w:pPr>
                  <w:r>
                    <w:rPr>
                      <w:sz w:val="21"/>
                    </w:rPr>
                    <w:t>安装配置</w:t>
                  </w:r>
                  <w:r>
                    <w:rPr>
                      <w:sz w:val="21"/>
                    </w:rPr>
                    <w:t>pycharm与anaconda、数据拟合与广义线性回归、SMO算法求解SVM、构建BP神经网络、从零开始搭建神经网络、使用Tensorflow实现Dropout、梯度下降优化神经网络、Tensorflow神经网络优化策略、Mnist手写数据集识别、RNN实现二进制加法、彩票预测、PCA主成分分析、基于马尔科夫随机场的图像去噪方法、AutoEncoder自编码器、Deep Learning初窥：Theano 简单应用、TensorFlow 简单应用、Keras识别手写字体、Keras与Scikit-Learn混合编程、Keras CNN图片分类、Keras LSTM影评分类、Caffe手写数字识别、Caffe cifar10图片分类、Deep Learning实践：Python实现深度神经网络、Caffe CNN实现图片分类、CNN实现图片风格迁移、Deep Learning实践：有监督学习人脸识别、BP神经网络手写识别、深度学习-SVM分类Iris数据集、句子分类训练、蒙特卡罗方法计算圆周率、深度学习模型实用技巧、约会网站配对效果判定。</w:t>
                  </w:r>
                </w:p>
                <w:p>
                  <w:pPr>
                    <w:jc w:val="left"/>
                  </w:pPr>
                  <w:r>
                    <w:rPr>
                      <w:sz w:val="21"/>
                    </w:rPr>
                    <w:t>6</w:t>
                  </w:r>
                  <w:r>
                    <w:rPr>
                      <w:sz w:val="21"/>
                    </w:rPr>
                    <w:t>.</w:t>
                  </w:r>
                  <w:r>
                    <w:rPr>
                      <w:sz w:val="21"/>
                    </w:rPr>
                    <w:t>《人工智能算法分析与设计》</w:t>
                  </w:r>
                </w:p>
                <w:p>
                  <w:pPr>
                    <w:jc w:val="left"/>
                  </w:pPr>
                  <w:r>
                    <w:rPr>
                      <w:sz w:val="21"/>
                    </w:rPr>
                    <w:t>6</w:t>
                  </w:r>
                  <w:r>
                    <w:rPr>
                      <w:sz w:val="21"/>
                    </w:rPr>
                    <w:t>.1</w:t>
                  </w:r>
                  <w:r>
                    <w:rPr>
                      <w:sz w:val="21"/>
                    </w:rPr>
                    <w:t>课程资源包含不少于</w:t>
                  </w:r>
                  <w:r>
                    <w:rPr>
                      <w:sz w:val="21"/>
                    </w:rPr>
                    <w:t>22个实验手册等教学内容。（须提供此资源截图加盖供应商公章</w:t>
                  </w:r>
                </w:p>
                <w:p>
                  <w:pPr>
                    <w:jc w:val="left"/>
                  </w:pPr>
                  <w:r>
                    <w:rPr>
                      <w:sz w:val="21"/>
                    </w:rPr>
                    <w:t>6</w:t>
                  </w:r>
                  <w:r>
                    <w:rPr>
                      <w:sz w:val="21"/>
                    </w:rPr>
                    <w:t>.2</w:t>
                  </w:r>
                  <w:r>
                    <w:rPr>
                      <w:sz w:val="21"/>
                    </w:rPr>
                    <w:t>课程提供实验内容包含：</w:t>
                  </w:r>
                </w:p>
                <w:p>
                  <w:pPr>
                    <w:jc w:val="left"/>
                  </w:pPr>
                  <w:r>
                    <w:rPr>
                      <w:sz w:val="21"/>
                    </w:rPr>
                    <w:t>安装配置</w:t>
                  </w:r>
                  <w:r>
                    <w:rPr>
                      <w:sz w:val="21"/>
                    </w:rPr>
                    <w:t>pycharm与anaconda、prolog环境搭建、梵塔问题、农夫过河问题、利用A-star算法寻路、二叉树遍历、搜索两点之间路径、初识prolog、prolog家族关系判断、衣服搭配专家系统、Mycin专家系统、在玩具数据集中比较不同的聚类算法、高斯混合模型、DBSCAN聚类算法、jieba分词库使用、最大匹配算法、人工智能-数独游戏、高斯朴素贝叶斯分类器、动物识别专家系统、N-gram语言模型、AI-决策树算法、LMS算法。</w:t>
                  </w:r>
                </w:p>
                <w:p>
                  <w:pPr>
                    <w:jc w:val="left"/>
                  </w:pPr>
                  <w:r>
                    <w:rPr>
                      <w:sz w:val="21"/>
                    </w:rPr>
                    <w:t>7</w:t>
                  </w:r>
                  <w:r>
                    <w:rPr>
                      <w:sz w:val="21"/>
                    </w:rPr>
                    <w:t>.</w:t>
                  </w:r>
                  <w:r>
                    <w:rPr>
                      <w:sz w:val="21"/>
                    </w:rPr>
                    <w:t>《计算机视觉》</w:t>
                  </w:r>
                </w:p>
                <w:p>
                  <w:pPr>
                    <w:jc w:val="left"/>
                  </w:pPr>
                  <w:r>
                    <w:rPr>
                      <w:sz w:val="21"/>
                    </w:rPr>
                    <w:t>7</w:t>
                  </w:r>
                  <w:r>
                    <w:rPr>
                      <w:sz w:val="21"/>
                    </w:rPr>
                    <w:t>.1</w:t>
                  </w:r>
                  <w:r>
                    <w:rPr>
                      <w:sz w:val="21"/>
                    </w:rPr>
                    <w:t>课程资源包含不少于</w:t>
                  </w:r>
                  <w:r>
                    <w:rPr>
                      <w:sz w:val="21"/>
                    </w:rPr>
                    <w:t>11个实验手册等教学内容。</w:t>
                  </w:r>
                </w:p>
                <w:p>
                  <w:pPr>
                    <w:jc w:val="left"/>
                  </w:pPr>
                  <w:r>
                    <w:rPr>
                      <w:sz w:val="21"/>
                    </w:rPr>
                    <w:t>7</w:t>
                  </w:r>
                  <w:r>
                    <w:rPr>
                      <w:sz w:val="21"/>
                    </w:rPr>
                    <w:t>.2</w:t>
                  </w:r>
                  <w:r>
                    <w:rPr>
                      <w:sz w:val="21"/>
                    </w:rPr>
                    <w:t>课程提供实验内容包含：</w:t>
                  </w:r>
                </w:p>
                <w:p>
                  <w:pPr>
                    <w:jc w:val="left"/>
                  </w:pPr>
                  <w:r>
                    <w:rPr>
                      <w:sz w:val="21"/>
                    </w:rPr>
                    <w:t>交通监控中的图像处理、角点特征侦测</w:t>
                  </w:r>
                  <w:r>
                    <w:rPr>
                      <w:sz w:val="21"/>
                    </w:rPr>
                    <w:t>、角点位置校正、人脸特征点检测、角点匹配与对象跟踪、图像分割、目标侦测的候选区域搜索目标方向侦测、图像数据集处理、交通标记识别、训练用户的目标侦测模型、车牌识别。</w:t>
                  </w:r>
                </w:p>
                <w:p>
                  <w:pPr>
                    <w:jc w:val="left"/>
                  </w:pPr>
                  <w:r>
                    <w:rPr>
                      <w:sz w:val="21"/>
                    </w:rPr>
                    <w:t>8</w:t>
                  </w:r>
                  <w:r>
                    <w:rPr>
                      <w:sz w:val="21"/>
                    </w:rPr>
                    <w:t>.</w:t>
                  </w:r>
                  <w:r>
                    <w:rPr>
                      <w:sz w:val="21"/>
                    </w:rPr>
                    <w:t>《</w:t>
                  </w:r>
                  <w:r>
                    <w:rPr>
                      <w:sz w:val="21"/>
                    </w:rPr>
                    <w:t>NLP自然语言处理》</w:t>
                  </w:r>
                </w:p>
                <w:p>
                  <w:pPr>
                    <w:jc w:val="left"/>
                  </w:pPr>
                  <w:r>
                    <w:rPr>
                      <w:sz w:val="21"/>
                    </w:rPr>
                    <w:t>8</w:t>
                  </w:r>
                  <w:r>
                    <w:rPr>
                      <w:sz w:val="21"/>
                    </w:rPr>
                    <w:t>.1</w:t>
                  </w:r>
                  <w:r>
                    <w:rPr>
                      <w:sz w:val="21"/>
                    </w:rPr>
                    <w:t>课程资源包含不少于</w:t>
                  </w:r>
                  <w:r>
                    <w:rPr>
                      <w:sz w:val="21"/>
                    </w:rPr>
                    <w:t>16个实验手册等教学内容。</w:t>
                  </w:r>
                </w:p>
                <w:p>
                  <w:pPr>
                    <w:jc w:val="left"/>
                  </w:pPr>
                  <w:r>
                    <w:rPr>
                      <w:sz w:val="21"/>
                    </w:rPr>
                    <w:t>8</w:t>
                  </w:r>
                  <w:r>
                    <w:rPr>
                      <w:sz w:val="21"/>
                    </w:rPr>
                    <w:t>.2</w:t>
                  </w:r>
                  <w:r>
                    <w:rPr>
                      <w:sz w:val="21"/>
                    </w:rPr>
                    <w:t>课程提供实验内容包含：</w:t>
                  </w:r>
                </w:p>
                <w:p>
                  <w:pPr>
                    <w:jc w:val="left"/>
                  </w:pPr>
                  <w:r>
                    <w:rPr>
                      <w:sz w:val="21"/>
                    </w:rPr>
                    <w:t>NLP-相似度模型实验、WordCloud 制作词云实验、NLTK工具包使用、中文短文本分类实验、中文短文本聚类实验、word2Vec影评数据分析、SVM分类垃圾短信、简易聊天机器人、基于TensorFlow的DeepQA聊天机器人实验、LSTM情感分析实验、基于 LSTM 轻松生成各种古诗、CNN与RNN中文文本分类-基于TENSORFLOW实现、利用lstm生成莫言小说、中英文翻译系统实验、语音识别实验、基于文本的个性化推荐系统。</w:t>
                  </w:r>
                </w:p>
                <w:p>
                  <w:pPr>
                    <w:jc w:val="left"/>
                  </w:pPr>
                  <w:r>
                    <w:rPr>
                      <w:sz w:val="21"/>
                    </w:rPr>
                    <w:t>9</w:t>
                  </w:r>
                  <w:r>
                    <w:rPr>
                      <w:sz w:val="21"/>
                    </w:rPr>
                    <w:t>.</w:t>
                  </w:r>
                  <w:r>
                    <w:rPr>
                      <w:sz w:val="21"/>
                    </w:rPr>
                    <w:t>《区块链理论与应用实战》</w:t>
                  </w:r>
                </w:p>
                <w:p>
                  <w:pPr>
                    <w:jc w:val="left"/>
                  </w:pPr>
                  <w:r>
                    <w:rPr>
                      <w:sz w:val="21"/>
                    </w:rPr>
                    <w:t>9</w:t>
                  </w:r>
                  <w:r>
                    <w:rPr>
                      <w:sz w:val="21"/>
                    </w:rPr>
                    <w:t>.1</w:t>
                  </w:r>
                  <w:r>
                    <w:rPr>
                      <w:sz w:val="21"/>
                    </w:rPr>
                    <w:t>课程资源包含不少于</w:t>
                  </w:r>
                  <w:r>
                    <w:rPr>
                      <w:sz w:val="21"/>
                    </w:rPr>
                    <w:t>15个实验手册等教学内容。</w:t>
                  </w:r>
                </w:p>
                <w:p>
                  <w:pPr>
                    <w:jc w:val="left"/>
                  </w:pPr>
                  <w:r>
                    <w:rPr>
                      <w:sz w:val="21"/>
                    </w:rPr>
                    <w:t>9</w:t>
                  </w:r>
                  <w:r>
                    <w:rPr>
                      <w:sz w:val="21"/>
                    </w:rPr>
                    <w:t>.2</w:t>
                  </w:r>
                  <w:r>
                    <w:rPr>
                      <w:sz w:val="21"/>
                    </w:rPr>
                    <w:t>课程提供实验内容包含：</w:t>
                  </w:r>
                </w:p>
                <w:p>
                  <w:pPr>
                    <w:jc w:val="left"/>
                  </w:pPr>
                  <w:r>
                    <w:rPr>
                      <w:sz w:val="21"/>
                    </w:rPr>
                    <w:t>比特币客户端的安装和使用、比特币浏览器的使用、比特币浏览器的开发、以太坊客户端的安装和使用、多节点联盟链搭建和通信、智能合约的编写、测试、部署和运行、基于</w:t>
                  </w:r>
                  <w:r>
                    <w:rPr>
                      <w:sz w:val="21"/>
                    </w:rPr>
                    <w:t>ERC20协议的自定义代币发行、以太坊钱包项目开发、基于Web3js的智能合约投票、Go语言编程环境搭建、Go语言实现数据加密算法、Go语言模拟实现常见的共识算法、利用算法实现区块链地址生成、Go语言实现简单区块链系统、EOSIO环境搭建及智能合约使用。</w:t>
                  </w:r>
                </w:p>
                <w:p>
                  <w:pPr>
                    <w:jc w:val="left"/>
                  </w:pPr>
                  <w:r>
                    <w:rPr>
                      <w:sz w:val="21"/>
                    </w:rPr>
                    <w:t>10</w:t>
                  </w:r>
                  <w:r>
                    <w:rPr>
                      <w:sz w:val="21"/>
                    </w:rPr>
                    <w:t>.</w:t>
                  </w:r>
                  <w:r>
                    <w:rPr>
                      <w:sz w:val="21"/>
                    </w:rPr>
                    <w:t>《神经网络框架》</w:t>
                  </w:r>
                </w:p>
                <w:p>
                  <w:pPr>
                    <w:jc w:val="left"/>
                  </w:pPr>
                  <w:r>
                    <w:rPr>
                      <w:sz w:val="21"/>
                    </w:rPr>
                    <w:t>1</w:t>
                  </w:r>
                  <w:r>
                    <w:rPr>
                      <w:sz w:val="21"/>
                    </w:rPr>
                    <w:t>0.1</w:t>
                  </w:r>
                  <w:r>
                    <w:rPr>
                      <w:sz w:val="21"/>
                    </w:rPr>
                    <w:t>课程资源包含不少于</w:t>
                  </w:r>
                  <w:r>
                    <w:rPr>
                      <w:sz w:val="21"/>
                    </w:rPr>
                    <w:t>70个实验手册等教学内容。（提供此资源截图盖供应商公章）</w:t>
                  </w:r>
                </w:p>
                <w:p>
                  <w:pPr>
                    <w:jc w:val="left"/>
                  </w:pPr>
                  <w:r>
                    <w:rPr>
                      <w:sz w:val="21"/>
                    </w:rPr>
                    <w:t>1</w:t>
                  </w:r>
                  <w:r>
                    <w:rPr>
                      <w:sz w:val="21"/>
                    </w:rPr>
                    <w:t>0.2</w:t>
                  </w:r>
                  <w:r>
                    <w:rPr>
                      <w:sz w:val="21"/>
                    </w:rPr>
                    <w:t>课程提供实验内容包含：</w:t>
                  </w:r>
                </w:p>
                <w:p>
                  <w:pPr>
                    <w:jc w:val="left"/>
                  </w:pPr>
                  <w:r>
                    <w:rPr>
                      <w:sz w:val="21"/>
                    </w:rPr>
                    <w:t>环境部署、</w:t>
                  </w:r>
                  <w:r>
                    <w:rPr>
                      <w:sz w:val="21"/>
                    </w:rPr>
                    <w:t>Tensor基本用法、张量的科学计算、梯度和优化、线性回归和逻辑回归、数据集加载和处理、可视化实现方法、单层神经网络实现iris数据集分类、深度神经网络实现、卷积神经网络实现、CentOS实验环境概览、CentOS7.9编程开发环境配置、Anaconda的安装部署、Python开发环境部署、PyTorch等扩展库的安装及使用、基于AlexNet网络的复杂样本多分类图像识别、编程实现VGGNet并以动物图像为例解决二分类问题、基于GoogLeNet网络实现花卉图像的识别应用、构建ResNet网络进行室内外场景的自动识别、DenseNet编程及档案照片分类识别实践应用、CentOS命令操作、Linux编程开发环境介绍、Anaconda的安装部署、Python集成开发环境的安装及使用、PyTorch等扩展库的安装及张量的生成、图像的矩阵化表示、图像读取与图像像素格式转换、OpenCV对视频文件的操作、目标检测案例解析、基于CenterNet网络进行图像目标检测、Linux实验环境概览、Linux编程开发环境、Anaconda的安装部署、Python集成开发环境、图像处理扩展库的安装、数字图像的计算机表示、VGG网络模型编程及数据集图像目标辨识、设计实现ResNet模型进行目标分割图像判别、基于FCN预训练模型进行图像的多目标分割、基于PyTorch构建自己的目标分割网络并进行应用分析、CentOS命令操作基础、Linux编程开发环境介绍、集成开发环境的安装部署、Python程序开发IDE的安装及使用、Python程序开发IDE的安装及使用、图像的矩阵化表示、图像读取与图像像素格式转换、图像描述中语义分割网络的设计与实现、编程实现基于LSTM网络的描述语句生成、图像描述综合实例编程应用、Linux命令操作基础、Linux实验环境部署、Conda的安装部署、Python集成开发环境、图像处理扩展库的安装及使用、数字图像的矩阵化表示、图像读取与图像像素格式转换、基于PyTorch的卷积神经网络编程实现、图像超分辨率重建与深度残差网络、SRResNet算法及图像超分重建编程实现、CentOS命令操作基础、Linux编程开发环境介绍、 Anaconda的安装部署、Python程序开发IDE的安装及使用、 PyTorch等扩展库的安装及张量的生成、Pillow图像处理标准库的使用、PyTorch神经网络工具箱、基于反卷积原理搭建最小均方误差图像生成网络模型、手写数字图像的生成器-识别器网络模型编程实现、PyTorch神经网络工具箱。</w:t>
                  </w:r>
                </w:p>
                <w:p>
                  <w:pPr>
                    <w:jc w:val="left"/>
                  </w:pPr>
                  <w:r>
                    <w:rPr>
                      <w:sz w:val="21"/>
                    </w:rPr>
                    <w:t>11</w:t>
                  </w:r>
                  <w:r>
                    <w:rPr>
                      <w:sz w:val="21"/>
                    </w:rPr>
                    <w:t>.</w:t>
                  </w:r>
                  <w:r>
                    <w:rPr>
                      <w:sz w:val="21"/>
                    </w:rPr>
                    <w:t>《</w:t>
                  </w:r>
                  <w:r>
                    <w:rPr>
                      <w:sz w:val="21"/>
                    </w:rPr>
                    <w:t>Python编程》</w:t>
                  </w:r>
                </w:p>
                <w:p>
                  <w:pPr>
                    <w:jc w:val="left"/>
                  </w:pPr>
                  <w:r>
                    <w:rPr>
                      <w:sz w:val="21"/>
                    </w:rPr>
                    <w:t>1</w:t>
                  </w:r>
                  <w:r>
                    <w:rPr>
                      <w:sz w:val="21"/>
                    </w:rPr>
                    <w:t>1.1</w:t>
                  </w:r>
                  <w:r>
                    <w:rPr>
                      <w:sz w:val="21"/>
                    </w:rPr>
                    <w:t>课程资源包含不少于</w:t>
                  </w:r>
                  <w:r>
                    <w:rPr>
                      <w:sz w:val="21"/>
                    </w:rPr>
                    <w:t>12个教学视频和12个实验手册等教学内容，视频总时长200分钟以上。每个实验手册有对应的操作讲解视频。</w:t>
                  </w:r>
                </w:p>
                <w:p>
                  <w:pPr>
                    <w:jc w:val="left"/>
                  </w:pPr>
                  <w:r>
                    <w:rPr>
                      <w:sz w:val="21"/>
                    </w:rPr>
                    <w:t>1</w:t>
                  </w:r>
                  <w:r>
                    <w:rPr>
                      <w:sz w:val="21"/>
                    </w:rPr>
                    <w:t>1.2</w:t>
                  </w:r>
                  <w:r>
                    <w:rPr>
                      <w:sz w:val="21"/>
                    </w:rPr>
                    <w:t>课程提供实验内容包含：</w:t>
                  </w:r>
                </w:p>
                <w:p>
                  <w:pPr>
                    <w:jc w:val="left"/>
                  </w:pPr>
                  <w:r>
                    <w:rPr>
                      <w:sz w:val="21"/>
                    </w:rPr>
                    <w:t>Python入门、变量与数据类型、运算符与表达式、数据结构、使用字符串、控制结构、循环结构、类与对象、使用函数、异常处理、操作文件、使用模块。</w:t>
                  </w:r>
                </w:p>
                <w:p>
                  <w:pPr>
                    <w:jc w:val="left"/>
                  </w:pPr>
                  <w:r>
                    <w:rPr>
                      <w:sz w:val="21"/>
                    </w:rPr>
                    <w:t>12</w:t>
                  </w:r>
                  <w:r>
                    <w:rPr>
                      <w:sz w:val="21"/>
                    </w:rPr>
                    <w:t>.</w:t>
                  </w:r>
                  <w:r>
                    <w:rPr>
                      <w:sz w:val="21"/>
                    </w:rPr>
                    <w:t>《</w:t>
                  </w:r>
                  <w:r>
                    <w:rPr>
                      <w:sz w:val="21"/>
                    </w:rPr>
                    <w:t>java程序设计》</w:t>
                  </w:r>
                </w:p>
                <w:p>
                  <w:pPr>
                    <w:jc w:val="left"/>
                  </w:pPr>
                  <w:r>
                    <w:rPr>
                      <w:sz w:val="21"/>
                    </w:rPr>
                    <w:t>1</w:t>
                  </w:r>
                  <w:r>
                    <w:rPr>
                      <w:sz w:val="21"/>
                    </w:rPr>
                    <w:t>2.1</w:t>
                  </w:r>
                  <w:r>
                    <w:rPr>
                      <w:sz w:val="21"/>
                    </w:rPr>
                    <w:t>课程资源包含不少于</w:t>
                  </w:r>
                  <w:r>
                    <w:rPr>
                      <w:sz w:val="21"/>
                    </w:rPr>
                    <w:t>10个实验手册等教学内容。</w:t>
                  </w:r>
                </w:p>
                <w:p>
                  <w:pPr>
                    <w:jc w:val="left"/>
                  </w:pPr>
                  <w:r>
                    <w:rPr>
                      <w:sz w:val="21"/>
                    </w:rPr>
                    <w:t>1</w:t>
                  </w:r>
                  <w:r>
                    <w:rPr>
                      <w:sz w:val="21"/>
                    </w:rPr>
                    <w:t>2.2</w:t>
                  </w:r>
                  <w:r>
                    <w:rPr>
                      <w:sz w:val="21"/>
                    </w:rPr>
                    <w:t>课程提供实验内容包含：</w:t>
                  </w:r>
                </w:p>
                <w:p>
                  <w:pPr>
                    <w:jc w:val="left"/>
                  </w:pPr>
                  <w:r>
                    <w:rPr>
                      <w:sz w:val="21"/>
                    </w:rPr>
                    <w:t>Java编程：JDK安装与配置、Java编程：人机猜拳游戏、Java编程：设计编写宠物乐园程序、Java编程：设计投票程序、Java编程：模拟银行取款业务、Java编程：实现用户的增删改查、Java编程：设计图形化计算器、Java编程：读取文件目录、Java编程：模拟售票系统、Java编程：简易聊天室。</w:t>
                  </w:r>
                </w:p>
                <w:p>
                  <w:pPr>
                    <w:jc w:val="left"/>
                  </w:pPr>
                  <w:r>
                    <w:rPr>
                      <w:sz w:val="21"/>
                    </w:rPr>
                    <w:t>二、案例资源包</w:t>
                  </w:r>
                </w:p>
                <w:p>
                  <w:pPr>
                    <w:jc w:val="left"/>
                  </w:pPr>
                  <w:r>
                    <w:rPr>
                      <w:sz w:val="21"/>
                    </w:rPr>
                    <w:t>1.</w:t>
                  </w:r>
                  <w:r>
                    <w:rPr>
                      <w:sz w:val="21"/>
                    </w:rPr>
                    <w:t>【案例】</w:t>
                  </w:r>
                  <w:r>
                    <w:rPr>
                      <w:sz w:val="21"/>
                    </w:rPr>
                    <w:t>智能</w:t>
                  </w:r>
                  <w:r>
                    <w:rPr>
                      <w:sz w:val="21"/>
                    </w:rPr>
                    <w:t>垃圾识别</w:t>
                  </w:r>
                </w:p>
                <w:p>
                  <w:pPr>
                    <w:jc w:val="left"/>
                  </w:pPr>
                  <w:r>
                    <w:rPr>
                      <w:sz w:val="21"/>
                    </w:rPr>
                    <w:t>（一）</w:t>
                  </w:r>
                  <w:r>
                    <w:rPr>
                      <w:sz w:val="21"/>
                    </w:rPr>
                    <w:t>概要介绍</w:t>
                  </w:r>
                </w:p>
                <w:p>
                  <w:pPr>
                    <w:jc w:val="left"/>
                  </w:pPr>
                  <w:r>
                    <w:rPr>
                      <w:sz w:val="21"/>
                    </w:rPr>
                    <w:t>垃圾类型识别是一种计算机视觉任务，目标是对不同种类的垃圾进行自动分类。这对于实现智能垃圾分类系统和提高废弃物管理效率具有重要意义。</w:t>
                  </w:r>
                </w:p>
                <w:p>
                  <w:pPr>
                    <w:jc w:val="left"/>
                  </w:pPr>
                  <w:r>
                    <w:rPr>
                      <w:sz w:val="21"/>
                    </w:rPr>
                    <w:t>（二）核心技术</w:t>
                  </w:r>
                </w:p>
                <w:p>
                  <w:pPr>
                    <w:jc w:val="left"/>
                  </w:pPr>
                  <w:r>
                    <w:rPr>
                      <w:sz w:val="21"/>
                    </w:rPr>
                    <w:t>通过本实验的完成，强化、巩固、扩展</w:t>
                  </w:r>
                  <w:r>
                    <w:rPr>
                      <w:sz w:val="21"/>
                    </w:rPr>
                    <w:t>Python的开发技术与机器视觉技术，本实验具体包含的技能：</w:t>
                  </w:r>
                </w:p>
                <w:p>
                  <w:pPr>
                    <w:jc w:val="left"/>
                  </w:pPr>
                  <w:r>
                    <w:rPr>
                      <w:sz w:val="21"/>
                    </w:rPr>
                    <w:t>基础：熟练掌握</w:t>
                  </w:r>
                  <w:r>
                    <w:rPr>
                      <w:sz w:val="21"/>
                    </w:rPr>
                    <w:t>Python语言的开发应用；</w:t>
                  </w:r>
                </w:p>
                <w:p>
                  <w:pPr>
                    <w:jc w:val="left"/>
                  </w:pPr>
                  <w:r>
                    <w:rPr>
                      <w:sz w:val="21"/>
                    </w:rPr>
                    <w:t>GUI：掌握PyQt模块编程技术；</w:t>
                  </w:r>
                </w:p>
                <w:p>
                  <w:pPr>
                    <w:jc w:val="left"/>
                  </w:pPr>
                  <w:r>
                    <w:rPr>
                      <w:sz w:val="21"/>
                    </w:rPr>
                    <w:t>核心：掌握</w:t>
                  </w:r>
                  <w:r>
                    <w:rPr>
                      <w:sz w:val="21"/>
                    </w:rPr>
                    <w:t>OpenCV模块编程技术与PyTorch深度学习编程技术；</w:t>
                  </w:r>
                </w:p>
                <w:p>
                  <w:pPr>
                    <w:jc w:val="left"/>
                  </w:pPr>
                  <w:r>
                    <w:rPr>
                      <w:sz w:val="21"/>
                    </w:rPr>
                    <w:t>1）掌握OpenCV中图像处理技术；</w:t>
                  </w:r>
                </w:p>
                <w:p>
                  <w:pPr>
                    <w:jc w:val="left"/>
                  </w:pPr>
                  <w:r>
                    <w:rPr>
                      <w:sz w:val="21"/>
                    </w:rPr>
                    <w:t>2）掌握ResNet卷积神经网络；</w:t>
                  </w:r>
                </w:p>
                <w:p>
                  <w:pPr>
                    <w:jc w:val="left"/>
                  </w:pPr>
                  <w:r>
                    <w:rPr>
                      <w:sz w:val="21"/>
                    </w:rPr>
                    <w:t>3）掌握模型训练的编程模式；</w:t>
                  </w:r>
                </w:p>
                <w:p>
                  <w:pPr>
                    <w:jc w:val="left"/>
                  </w:pPr>
                  <w:r>
                    <w:rPr>
                      <w:sz w:val="21"/>
                    </w:rPr>
                    <w:t>4）掌握模型存储与加载；</w:t>
                  </w:r>
                </w:p>
                <w:p>
                  <w:pPr>
                    <w:jc w:val="left"/>
                  </w:pPr>
                  <w:r>
                    <w:rPr>
                      <w:sz w:val="21"/>
                    </w:rPr>
                    <w:t>5）掌握识别模块的调用与图像预处理；</w:t>
                  </w:r>
                </w:p>
                <w:p>
                  <w:pPr>
                    <w:jc w:val="left"/>
                  </w:pPr>
                  <w:r>
                    <w:rPr>
                      <w:sz w:val="21"/>
                    </w:rPr>
                    <w:t>（三）案例内容</w:t>
                  </w:r>
                </w:p>
                <w:p>
                  <w:pPr>
                    <w:jc w:val="left"/>
                  </w:pPr>
                  <w:r>
                    <w:rPr>
                      <w:sz w:val="21"/>
                    </w:rPr>
                    <w:t>1）对垃圾数据集进行预处理；</w:t>
                  </w:r>
                </w:p>
                <w:p>
                  <w:pPr>
                    <w:jc w:val="left"/>
                  </w:pPr>
                  <w:r>
                    <w:rPr>
                      <w:sz w:val="21"/>
                    </w:rPr>
                    <w:t>2）训练一个图像分类的卷积神经网络模型，并存储训练好的AI模型；</w:t>
                  </w:r>
                </w:p>
                <w:p>
                  <w:pPr>
                    <w:jc w:val="left"/>
                  </w:pPr>
                  <w:r>
                    <w:rPr>
                      <w:sz w:val="21"/>
                    </w:rPr>
                    <w:t>3）封装一个测试模块，用于垃圾图像识别；</w:t>
                  </w:r>
                </w:p>
                <w:p>
                  <w:pPr>
                    <w:jc w:val="left"/>
                  </w:pPr>
                  <w:r>
                    <w:rPr>
                      <w:sz w:val="21"/>
                    </w:rPr>
                    <w:t>4）创建一个常规的Python项目工程结构；</w:t>
                  </w:r>
                </w:p>
                <w:p>
                  <w:pPr>
                    <w:jc w:val="left"/>
                  </w:pPr>
                  <w:r>
                    <w:rPr>
                      <w:sz w:val="21"/>
                    </w:rPr>
                    <w:t>5）使用Qt Designer设计UI，并使用Qt实现垃圾识别的UI；</w:t>
                  </w:r>
                </w:p>
                <w:p>
                  <w:pPr>
                    <w:jc w:val="left"/>
                  </w:pPr>
                  <w:r>
                    <w:rPr>
                      <w:sz w:val="21"/>
                    </w:rPr>
                    <w:t>6）实现交互操作；</w:t>
                  </w:r>
                </w:p>
                <w:p>
                  <w:pPr>
                    <w:jc w:val="left"/>
                  </w:pPr>
                  <w:r>
                    <w:rPr>
                      <w:sz w:val="21"/>
                    </w:rPr>
                    <w:t>7）实现垃圾模块识别；</w:t>
                  </w:r>
                </w:p>
                <w:p>
                  <w:pPr>
                    <w:jc w:val="left"/>
                  </w:pPr>
                  <w:r>
                    <w:rPr>
                      <w:sz w:val="21"/>
                    </w:rPr>
                    <w:t>8）实现识别图像显示与识别效果输出；</w:t>
                  </w:r>
                </w:p>
                <w:p>
                  <w:pPr>
                    <w:jc w:val="left"/>
                  </w:pPr>
                  <w:r>
                    <w:rPr>
                      <w:sz w:val="21"/>
                    </w:rPr>
                    <w:t>（四）项目结果</w:t>
                  </w:r>
                </w:p>
                <w:p>
                  <w:pPr>
                    <w:jc w:val="left"/>
                  </w:pPr>
                  <w:r>
                    <w:rPr>
                      <w:sz w:val="21"/>
                    </w:rPr>
                    <w:t>运行程序，可以判定给定图片是否位垃圾以</w:t>
                  </w:r>
                </w:p>
                <w:p>
                  <w:pPr>
                    <w:jc w:val="left"/>
                  </w:pPr>
                  <w:r>
                    <w:rPr>
                      <w:sz w:val="21"/>
                    </w:rPr>
                    <w:t>及垃圾类型</w:t>
                  </w:r>
                </w:p>
                <w:p>
                  <w:pPr>
                    <w:jc w:val="left"/>
                  </w:pPr>
                  <w:r>
                    <w:rPr>
                      <w:sz w:val="21"/>
                    </w:rPr>
                    <w:t>2</w:t>
                  </w:r>
                  <w:r>
                    <w:rPr>
                      <w:sz w:val="21"/>
                    </w:rPr>
                    <w:t>.【案例】目标检测---皮卡丘目标识别</w:t>
                  </w:r>
                </w:p>
                <w:p>
                  <w:pPr>
                    <w:jc w:val="left"/>
                  </w:pPr>
                  <w:r>
                    <w:rPr>
                      <w:sz w:val="21"/>
                    </w:rPr>
                    <w:t>（一）概要介绍</w:t>
                  </w:r>
                </w:p>
                <w:p>
                  <w:pPr>
                    <w:jc w:val="left"/>
                  </w:pPr>
                  <w:r>
                    <w:rPr>
                      <w:sz w:val="21"/>
                    </w:rPr>
                    <w:t>图像处理中的目标检测是一种计算机视觉技术，用于识别图像中的特定对象。在这个案例中，我们将介绍如何使用深度学习方法进行猫的目标检测。</w:t>
                  </w:r>
                </w:p>
                <w:p>
                  <w:pPr>
                    <w:jc w:val="left"/>
                  </w:pPr>
                  <w:r>
                    <w:rPr>
                      <w:sz w:val="21"/>
                    </w:rPr>
                    <w:t>（二）核心技术</w:t>
                  </w:r>
                </w:p>
                <w:p>
                  <w:pPr>
                    <w:jc w:val="left"/>
                  </w:pPr>
                  <w:r>
                    <w:rPr>
                      <w:sz w:val="21"/>
                    </w:rPr>
                    <w:t>图像增广方法、</w:t>
                  </w:r>
                  <w:r>
                    <w:rPr>
                      <w:sz w:val="21"/>
                    </w:rPr>
                    <w:t>pytorch 、Python3</w:t>
                  </w:r>
                </w:p>
                <w:p>
                  <w:pPr>
                    <w:jc w:val="left"/>
                  </w:pPr>
                  <w:r>
                    <w:rPr>
                      <w:sz w:val="21"/>
                    </w:rPr>
                    <w:t>（三）案例内容</w:t>
                  </w:r>
                </w:p>
                <w:p>
                  <w:pPr>
                    <w:jc w:val="left"/>
                  </w:pPr>
                  <w:r>
                    <w:rPr>
                      <w:sz w:val="21"/>
                    </w:rPr>
                    <w:t>1）数据准备：</w:t>
                  </w:r>
                </w:p>
                <w:p>
                  <w:pPr>
                    <w:jc w:val="left"/>
                  </w:pPr>
                  <w:r>
                    <w:rPr>
                      <w:sz w:val="21"/>
                    </w:rPr>
                    <w:t>收集包含猫的图像，并为每张图像中的猫创建边界框（</w:t>
                  </w:r>
                  <w:r>
                    <w:rPr>
                      <w:sz w:val="21"/>
                    </w:rPr>
                    <w:t>bounding box）标注。这些标注可以是手动创建或使用现有的开源数据集（如COCO、ImageNet等）。</w:t>
                  </w:r>
                </w:p>
                <w:p>
                  <w:pPr>
                    <w:jc w:val="left"/>
                  </w:pPr>
                  <w:r>
                    <w:rPr>
                      <w:sz w:val="21"/>
                    </w:rPr>
                    <w:t>2）选择模型：</w:t>
                  </w:r>
                </w:p>
                <w:p>
                  <w:pPr>
                    <w:jc w:val="left"/>
                  </w:pPr>
                  <w:r>
                    <w:rPr>
                      <w:sz w:val="21"/>
                    </w:rPr>
                    <w:t>选择一个适合目标检测的深度学习模型。常用的目标检测模型有：</w:t>
                  </w:r>
                </w:p>
                <w:p>
                  <w:pPr>
                    <w:jc w:val="left"/>
                  </w:pPr>
                  <w:r>
                    <w:rPr>
                      <w:sz w:val="21"/>
                    </w:rPr>
                    <w:t>Faster R-CNN：一个基于卷积神经网络的快速目标检测框架。</w:t>
                  </w:r>
                </w:p>
                <w:p>
                  <w:pPr>
                    <w:jc w:val="left"/>
                  </w:pPr>
                  <w:r>
                    <w:rPr>
                      <w:sz w:val="21"/>
                    </w:rPr>
                    <w:t>YOLO (You Only Look Once)：一种实时目标检测算法，将目标检测任务视为一个回归问题。</w:t>
                  </w:r>
                </w:p>
                <w:p>
                  <w:pPr>
                    <w:jc w:val="left"/>
                  </w:pPr>
                  <w:r>
                    <w:rPr>
                      <w:sz w:val="21"/>
                    </w:rPr>
                    <w:t>SSD (Single Shot MultiBox Detector)：类似于YOLO，但在速度和准确性方面有所改进。</w:t>
                  </w:r>
                </w:p>
                <w:p>
                  <w:pPr>
                    <w:jc w:val="left"/>
                  </w:pPr>
                  <w:r>
                    <w:rPr>
                      <w:sz w:val="21"/>
                    </w:rPr>
                    <w:t>3）数据预处理：</w:t>
                  </w:r>
                </w:p>
                <w:p>
                  <w:pPr>
                    <w:jc w:val="left"/>
                  </w:pPr>
                  <w:r>
                    <w:rPr>
                      <w:sz w:val="21"/>
                    </w:rPr>
                    <w:t>对图像进行预处理操作，如缩放、归一化等。此外，还需要准备对应的边界框标注，以便训练模型。</w:t>
                  </w:r>
                </w:p>
                <w:p>
                  <w:pPr>
                    <w:jc w:val="left"/>
                  </w:pPr>
                  <w:r>
                    <w:rPr>
                      <w:sz w:val="21"/>
                    </w:rPr>
                    <w:t>4）训练模型：</w:t>
                  </w:r>
                </w:p>
                <w:p>
                  <w:pPr>
                    <w:jc w:val="left"/>
                  </w:pPr>
                  <w:r>
                    <w:rPr>
                      <w:sz w:val="21"/>
                    </w:rPr>
                    <w:t xml:space="preserve"> </w:t>
                  </w:r>
                  <w:r>
                    <w:rPr>
                      <w:sz w:val="21"/>
                    </w:rPr>
                    <w:t>使用收集到的数据集训练选定的目标检测模型。为了提高模型性能，可以使用预训练模型进行迁移学习。</w:t>
                  </w:r>
                </w:p>
                <w:p>
                  <w:pPr>
                    <w:jc w:val="left"/>
                  </w:pPr>
                  <w:r>
                    <w:rPr>
                      <w:sz w:val="21"/>
                    </w:rPr>
                    <w:t>5）模型评估：</w:t>
                  </w:r>
                </w:p>
                <w:p>
                  <w:pPr>
                    <w:jc w:val="left"/>
                  </w:pPr>
                  <w:r>
                    <w:rPr>
                      <w:sz w:val="21"/>
                    </w:rPr>
                    <w:t>使用一些评价指标（如</w:t>
                  </w:r>
                  <w:r>
                    <w:rPr>
                      <w:sz w:val="21"/>
                    </w:rPr>
                    <w:t>mAP、IoU等）对模型进行评估。根据评估结果，可以调整模型参数或尝试不同的模型。</w:t>
                  </w:r>
                </w:p>
                <w:p>
                  <w:pPr>
                    <w:jc w:val="left"/>
                  </w:pPr>
                  <w:r>
                    <w:rPr>
                      <w:sz w:val="21"/>
                    </w:rPr>
                    <w:t>6）部署模型：</w:t>
                  </w:r>
                </w:p>
                <w:p>
                  <w:pPr>
                    <w:jc w:val="left"/>
                  </w:pPr>
                  <w:r>
                    <w:rPr>
                      <w:sz w:val="21"/>
                    </w:rPr>
                    <w:t xml:space="preserve"> </w:t>
                  </w:r>
                  <w:r>
                    <w:rPr>
                      <w:sz w:val="21"/>
                    </w:rPr>
                    <w:t>将训练好的模型部署到实际应用中，如移动应用程序、网站或其他图像处理系统。</w:t>
                  </w:r>
                </w:p>
                <w:p>
                  <w:pPr>
                    <w:jc w:val="left"/>
                  </w:pPr>
                  <w:r>
                    <w:rPr>
                      <w:sz w:val="21"/>
                    </w:rPr>
                    <w:t>7）可视化：</w:t>
                  </w:r>
                </w:p>
                <w:p>
                  <w:pPr>
                    <w:jc w:val="left"/>
                  </w:pPr>
                  <w:r>
                    <w:rPr>
                      <w:sz w:val="21"/>
                    </w:rPr>
                    <w:t xml:space="preserve"> </w:t>
                  </w:r>
                  <w:r>
                    <w:rPr>
                      <w:sz w:val="21"/>
                    </w:rPr>
                    <w:t>可视化检测结果，将预测的边界框绘制在图像上，以便于观察模型性能。</w:t>
                  </w:r>
                </w:p>
                <w:p>
                  <w:pPr>
                    <w:jc w:val="left"/>
                  </w:pPr>
                  <w:r>
                    <w:rPr>
                      <w:sz w:val="21"/>
                    </w:rPr>
                    <w:t>（四）项目结果</w:t>
                  </w:r>
                </w:p>
                <w:p>
                  <w:pPr>
                    <w:jc w:val="left"/>
                  </w:pPr>
                  <w:r>
                    <w:rPr>
                      <w:sz w:val="21"/>
                    </w:rPr>
                    <w:t>运行程序，获取精准目标检测对象。</w:t>
                  </w:r>
                </w:p>
                <w:p>
                  <w:pPr>
                    <w:jc w:val="left"/>
                  </w:pPr>
                  <w:r>
                    <w:rPr>
                      <w:sz w:val="21"/>
                    </w:rPr>
                    <w:t>3</w:t>
                  </w:r>
                  <w:r>
                    <w:rPr>
                      <w:sz w:val="21"/>
                    </w:rPr>
                    <w:t>.【案例】语音处理与识别</w:t>
                  </w:r>
                </w:p>
                <w:p>
                  <w:pPr>
                    <w:jc w:val="left"/>
                  </w:pPr>
                  <w:r>
                    <w:rPr>
                      <w:sz w:val="21"/>
                    </w:rPr>
                    <w:t>（一）概要介绍</w:t>
                  </w:r>
                </w:p>
                <w:p>
                  <w:pPr>
                    <w:jc w:val="left"/>
                  </w:pPr>
                  <w:r>
                    <w:rPr>
                      <w:sz w:val="21"/>
                    </w:rPr>
                    <w:t>语音处理技术是人工智能领域的一个分支，本质上为研究人和计算机能够通过以说话的方式和机器之间进行有效沟通的各种理论和各种方法。通常来说，智能的语音处理技术就是做到计算机能够对语音的信息做到相应地处理和识别的技术。降噪处理主要是对音频中的噪声进行处理，噪声存在于音频中的每个时刻和位置，通过调制解调的方式对噪声进行处理，便于后续的步骤的有序进行。</w:t>
                  </w:r>
                </w:p>
                <w:p>
                  <w:pPr>
                    <w:jc w:val="left"/>
                  </w:pPr>
                  <w:r>
                    <w:rPr>
                      <w:sz w:val="21"/>
                    </w:rPr>
                    <w:t>（二）核心技术</w:t>
                  </w:r>
                </w:p>
                <w:p>
                  <w:pPr>
                    <w:jc w:val="left"/>
                  </w:pPr>
                  <w:r>
                    <w:rPr>
                      <w:sz w:val="21"/>
                    </w:rPr>
                    <w:t>python 3.6、第三方库：tqdm、noisereduce、IPython、scipy.io.wav、noisereduce、matplotlib、urllib.request和numpy。</w:t>
                  </w:r>
                </w:p>
                <w:p>
                  <w:pPr>
                    <w:jc w:val="left"/>
                  </w:pPr>
                  <w:r>
                    <w:rPr>
                      <w:sz w:val="21"/>
                    </w:rPr>
                    <w:t>（</w:t>
                  </w:r>
                  <w:r>
                    <w:rPr>
                      <w:sz w:val="21"/>
                    </w:rPr>
                    <w:t>三</w:t>
                  </w:r>
                  <w:r>
                    <w:rPr>
                      <w:sz w:val="21"/>
                    </w:rPr>
                    <w:t>）案例内容</w:t>
                  </w:r>
                </w:p>
                <w:p>
                  <w:pPr>
                    <w:jc w:val="left"/>
                  </w:pPr>
                  <w:r>
                    <w:rPr>
                      <w:sz w:val="21"/>
                    </w:rPr>
                    <w:t>1）读取音频文件</w:t>
                  </w:r>
                </w:p>
                <w:p>
                  <w:pPr>
                    <w:jc w:val="left"/>
                  </w:pPr>
                  <w:r>
                    <w:rPr>
                      <w:sz w:val="21"/>
                    </w:rPr>
                    <w:t>2）查看音频文件波形图</w:t>
                  </w:r>
                </w:p>
                <w:p>
                  <w:pPr>
                    <w:jc w:val="left"/>
                  </w:pPr>
                  <w:r>
                    <w:rPr>
                      <w:sz w:val="21"/>
                    </w:rPr>
                    <w:t>3）生成噪声音频</w:t>
                  </w:r>
                </w:p>
                <w:p>
                  <w:pPr>
                    <w:jc w:val="left"/>
                  </w:pPr>
                  <w:r>
                    <w:rPr>
                      <w:sz w:val="21"/>
                    </w:rPr>
                    <w:t>4）给音频文件添加噪声</w:t>
                  </w:r>
                </w:p>
                <w:p>
                  <w:pPr>
                    <w:jc w:val="left"/>
                  </w:pPr>
                  <w:r>
                    <w:rPr>
                      <w:sz w:val="21"/>
                    </w:rPr>
                    <w:t>5）查看添加噪声后的音频文件</w:t>
                  </w:r>
                </w:p>
                <w:p>
                  <w:pPr>
                    <w:jc w:val="left"/>
                  </w:pPr>
                  <w:r>
                    <w:rPr>
                      <w:sz w:val="21"/>
                    </w:rPr>
                    <w:t>6）降噪处理</w:t>
                  </w:r>
                </w:p>
                <w:p>
                  <w:pPr>
                    <w:jc w:val="left"/>
                  </w:pPr>
                  <w:r>
                    <w:rPr>
                      <w:sz w:val="21"/>
                    </w:rPr>
                    <w:t>（</w:t>
                  </w:r>
                  <w:r>
                    <w:rPr>
                      <w:sz w:val="21"/>
                    </w:rPr>
                    <w:t>四</w:t>
                  </w:r>
                  <w:r>
                    <w:rPr>
                      <w:sz w:val="21"/>
                    </w:rPr>
                    <w:t>）项目结果</w:t>
                  </w:r>
                </w:p>
                <w:p>
                  <w:pPr>
                    <w:jc w:val="left"/>
                  </w:pPr>
                  <w:r>
                    <w:rPr>
                      <w:sz w:val="21"/>
                    </w:rPr>
                    <w:t>降噪后查看音频文件，完成语音处理与识别。</w:t>
                  </w:r>
                </w:p>
              </w:tc>
              <w:tc>
                <w:tcPr>
                  <w:tcW w:type="dxa" w:w="408"/>
                  <w:tcBorders>
                    <w:top w:val="none" w:color="000000" w:sz="4"/>
                    <w:left w:val="single" w:color="000000" w:sz="4"/>
                    <w:bottom w:val="single" w:color="000000" w:sz="4"/>
                    <w:right w:val="single" w:color="000000" w:sz="4"/>
                  </w:tcBorders>
                  <w:vAlign w:val="top"/>
                </w:tcPr>
                <w:p>
                  <w:pPr>
                    <w:jc w:val="center"/>
                  </w:pPr>
                  <w:r>
                    <w:rPr>
                      <w:color w:val="000000"/>
                      <w:sz w:val="20"/>
                    </w:rPr>
                    <w:t>1 个</w:t>
                  </w:r>
                </w:p>
              </w:tc>
            </w:tr>
            <w:tr>
              <w:tc>
                <w:tcPr>
                  <w:tcW w:type="dxa" w:w="328"/>
                  <w:tcBorders>
                    <w:top w:val="none" w:color="000000" w:sz="4"/>
                    <w:left w:val="single" w:color="000000" w:sz="4"/>
                    <w:bottom w:val="single" w:color="000000" w:sz="4"/>
                    <w:right w:val="single" w:color="000000" w:sz="4"/>
                  </w:tcBorders>
                  <w:vAlign w:val="top"/>
                </w:tcPr>
                <w:p>
                  <w:pPr>
                    <w:jc w:val="both"/>
                  </w:pPr>
                  <w:r>
                    <w:rPr>
                      <w:sz w:val="21"/>
                    </w:rPr>
                    <w:t>10.</w:t>
                  </w:r>
                </w:p>
              </w:tc>
              <w:tc>
                <w:tcPr>
                  <w:tcW w:type="dxa" w:w="629"/>
                  <w:tcBorders>
                    <w:top w:val="none" w:color="000000" w:sz="4"/>
                    <w:left w:val="single" w:color="000000" w:sz="4"/>
                    <w:bottom w:val="single" w:color="000000" w:sz="4"/>
                    <w:right w:val="single" w:color="000000" w:sz="4"/>
                  </w:tcBorders>
                  <w:vAlign w:val="top"/>
                </w:tcPr>
                <w:p>
                  <w:pPr>
                    <w:jc w:val="center"/>
                  </w:pPr>
                  <w:r>
                    <w:rPr>
                      <w:sz w:val="21"/>
                    </w:rPr>
                    <w:t>智慧</w:t>
                  </w:r>
                  <w:r>
                    <w:rPr>
                      <w:sz w:val="21"/>
                    </w:rPr>
                    <w:t>纳米交互</w:t>
                  </w:r>
                  <w:r>
                    <w:rPr>
                      <w:sz w:val="21"/>
                    </w:rPr>
                    <w:t>黑板</w:t>
                  </w:r>
                </w:p>
              </w:tc>
              <w:tc>
                <w:tcPr>
                  <w:tcW w:type="dxa" w:w="4233"/>
                  <w:tcBorders>
                    <w:top w:val="none" w:color="000000" w:sz="4"/>
                    <w:left w:val="single" w:color="000000" w:sz="4"/>
                    <w:bottom w:val="single" w:color="000000" w:sz="4"/>
                    <w:right w:val="single" w:color="000000" w:sz="4"/>
                  </w:tcBorders>
                  <w:vAlign w:val="top"/>
                </w:tcPr>
                <w:p>
                  <w:pPr>
                    <w:jc w:val="left"/>
                  </w:pPr>
                  <w:r>
                    <w:rPr>
                      <w:sz w:val="21"/>
                    </w:rPr>
                    <w:t>1.</w:t>
                  </w:r>
                  <w:r>
                    <w:rPr>
                      <w:sz w:val="21"/>
                    </w:rPr>
                    <w:t>智能交互黑板液晶显示尺寸</w:t>
                  </w:r>
                  <w:r>
                    <w:rPr>
                      <w:sz w:val="21"/>
                    </w:rPr>
                    <w:t>≧86英寸，分辨率不低于3840*2160, 支持红外触控技术，在Windows与Android下均支持20点同时触控及书写；</w:t>
                  </w:r>
                </w:p>
                <w:p>
                  <w:pPr>
                    <w:jc w:val="left"/>
                  </w:pPr>
                  <w:r>
                    <w:rPr>
                      <w:sz w:val="21"/>
                    </w:rPr>
                    <w:t>2.交互黑板功率≤400W，且符合GB21520-2015能源1级要求；</w:t>
                  </w:r>
                </w:p>
                <w:p>
                  <w:pPr>
                    <w:jc w:val="left"/>
                  </w:pPr>
                  <w:r>
                    <w:rPr>
                      <w:sz w:val="21"/>
                    </w:rPr>
                    <w:t>3</w:t>
                  </w:r>
                  <w:r>
                    <w:rPr>
                      <w:sz w:val="21"/>
                    </w:rPr>
                    <w:t>.</w:t>
                  </w:r>
                  <w:r>
                    <w:rPr>
                      <w:sz w:val="21"/>
                    </w:rPr>
                    <w:t>交互黑板采用平面结构设计，采用三段式结构方式，交互黑板长度</w:t>
                  </w:r>
                  <w:r>
                    <w:rPr>
                      <w:sz w:val="21"/>
                    </w:rPr>
                    <w:t>≥4300mm；</w:t>
                  </w:r>
                </w:p>
                <w:p>
                  <w:pPr>
                    <w:jc w:val="left"/>
                  </w:pPr>
                  <w:r>
                    <w:rPr>
                      <w:sz w:val="21"/>
                    </w:rPr>
                    <w:t>4.双侧侧板板面硬度≧ 7H，采用金属材质纳米镀膜，支持磁性材质教具吸附功能，且双侧黑板板面无任何按键；</w:t>
                  </w:r>
                </w:p>
                <w:p>
                  <w:pPr>
                    <w:jc w:val="left"/>
                  </w:pPr>
                  <w:r>
                    <w:rPr>
                      <w:sz w:val="21"/>
                    </w:rPr>
                    <w:t>5.交互黑板表面玻璃采用钢化玻璃，硬度≥莫氏7级，高于石墨1-9H硬度；</w:t>
                  </w:r>
                </w:p>
                <w:p>
                  <w:pPr>
                    <w:jc w:val="left"/>
                  </w:pPr>
                  <w:r>
                    <w:rPr>
                      <w:sz w:val="21"/>
                    </w:rPr>
                    <w:t>6.智能交互黑板显示部分需采用高色域覆盖技术，NTSC色域标准下覆盖率不低于85%；</w:t>
                  </w:r>
                </w:p>
                <w:p>
                  <w:pPr>
                    <w:jc w:val="left"/>
                  </w:pPr>
                  <w:r>
                    <w:rPr>
                      <w:sz w:val="21"/>
                    </w:rPr>
                    <w:t>7.钢化玻璃和液晶层之间紧密贴合，无水汽，水雾，减少显示面板与玻璃间的偏光；（提供针对该功能描述的CMA或CNAS认证测机构出具的检测合格报告）</w:t>
                  </w:r>
                </w:p>
                <w:p>
                  <w:pPr>
                    <w:jc w:val="left"/>
                  </w:pPr>
                  <w:r>
                    <w:rPr>
                      <w:sz w:val="21"/>
                    </w:rPr>
                    <w:t>8</w:t>
                  </w:r>
                  <w:r>
                    <w:rPr>
                      <w:sz w:val="21"/>
                    </w:rPr>
                    <w:t>.</w:t>
                  </w:r>
                  <w:r>
                    <w:rPr>
                      <w:sz w:val="21"/>
                    </w:rPr>
                    <w:t>设备至少</w:t>
                  </w:r>
                  <w:r>
                    <w:rPr>
                      <w:sz w:val="21"/>
                    </w:rPr>
                    <w:t>1路前置HDMI接口（非转接），至少2路前置USB3.0接口</w:t>
                  </w:r>
                  <w:r>
                    <w:rPr>
                      <w:sz w:val="21"/>
                    </w:rPr>
                    <w:t>；</w:t>
                  </w:r>
                </w:p>
                <w:p>
                  <w:pPr>
                    <w:jc w:val="left"/>
                  </w:pPr>
                  <w:r>
                    <w:rPr>
                      <w:sz w:val="21"/>
                    </w:rPr>
                    <w:t>9.交互黑板标配VGA输入接口≥1路；</w:t>
                  </w:r>
                </w:p>
                <w:p>
                  <w:pPr>
                    <w:jc w:val="left"/>
                  </w:pPr>
                  <w:r>
                    <w:rPr>
                      <w:sz w:val="21"/>
                    </w:rPr>
                    <w:t>10</w:t>
                  </w:r>
                  <w:r>
                    <w:rPr>
                      <w:sz w:val="21"/>
                    </w:rPr>
                    <w:t>.</w:t>
                  </w:r>
                  <w:r>
                    <w:rPr>
                      <w:sz w:val="21"/>
                    </w:rPr>
                    <w:t>前置全功能</w:t>
                  </w:r>
                  <w:r>
                    <w:rPr>
                      <w:sz w:val="21"/>
                    </w:rPr>
                    <w:t>Type-C接口具备音频、视频、数据、触控等功能，外接设备与交互黑板连接时，外接设备可调用交互设备麦克风、音响、摄像头等功能；</w:t>
                  </w:r>
                </w:p>
                <w:p>
                  <w:pPr>
                    <w:jc w:val="left"/>
                  </w:pPr>
                  <w:r>
                    <w:rPr>
                      <w:sz w:val="21"/>
                    </w:rPr>
                    <w:t>11</w:t>
                  </w:r>
                  <w:r>
                    <w:rPr>
                      <w:sz w:val="21"/>
                    </w:rPr>
                    <w:t>.</w:t>
                  </w:r>
                  <w:r>
                    <w:rPr>
                      <w:sz w:val="21"/>
                    </w:rPr>
                    <w:t>设备前置按键不少于</w:t>
                  </w:r>
                  <w:r>
                    <w:rPr>
                      <w:sz w:val="21"/>
                    </w:rPr>
                    <w:t>8个，可实现音量加减、窗口关闭、触控开关等功能，且每个按键不少于两种以上功能，且所有按键配备中文标识。</w:t>
                  </w:r>
                </w:p>
                <w:p>
                  <w:pPr>
                    <w:jc w:val="left"/>
                  </w:pPr>
                  <w:r>
                    <w:rPr>
                      <w:sz w:val="21"/>
                    </w:rPr>
                    <w:t>12</w:t>
                  </w:r>
                  <w:r>
                    <w:rPr>
                      <w:sz w:val="21"/>
                    </w:rPr>
                    <w:t>.</w:t>
                  </w:r>
                  <w:r>
                    <w:rPr>
                      <w:sz w:val="21"/>
                    </w:rPr>
                    <w:t>前面板具有标识的天线模块，包含</w:t>
                  </w:r>
                  <w:r>
                    <w:rPr>
                      <w:sz w:val="21"/>
                    </w:rPr>
                    <w:t>2.4G 、5G双频 Wifi及蓝牙接发装置；</w:t>
                  </w:r>
                </w:p>
                <w:p>
                  <w:pPr>
                    <w:jc w:val="left"/>
                  </w:pPr>
                  <w:r>
                    <w:rPr>
                      <w:sz w:val="21"/>
                    </w:rPr>
                    <w:t>▲13</w:t>
                  </w:r>
                  <w:r>
                    <w:rPr>
                      <w:sz w:val="21"/>
                    </w:rPr>
                    <w:t>.</w:t>
                  </w:r>
                  <w:r>
                    <w:rPr>
                      <w:sz w:val="21"/>
                    </w:rPr>
                    <w:t>无需打开智能黑板背板，前置接口面板和前置按键面板支持单独前拆；（须提供针对该功能描述</w:t>
                  </w:r>
                  <w:r>
                    <w:rPr>
                      <w:sz w:val="21"/>
                    </w:rPr>
                    <w:t>的</w:t>
                  </w:r>
                  <w:r>
                    <w:rPr>
                      <w:sz w:val="21"/>
                    </w:rPr>
                    <w:t>CMA或CNAS认证测机构出具的检测报告并加盖投标人公章）</w:t>
                  </w:r>
                </w:p>
                <w:p>
                  <w:pPr>
                    <w:jc w:val="left"/>
                  </w:pPr>
                  <w:r>
                    <w:rPr>
                      <w:sz w:val="21"/>
                    </w:rPr>
                    <w:t>14</w:t>
                  </w:r>
                  <w:r>
                    <w:rPr>
                      <w:sz w:val="21"/>
                    </w:rPr>
                    <w:t>.</w:t>
                  </w:r>
                  <w:r>
                    <w:rPr>
                      <w:sz w:val="21"/>
                    </w:rPr>
                    <w:t>≥2.1声道音箱，采用针孔阵列发声设计，≥2个前置≥15W中高音音箱，后置≥1个≥20W低音音箱，谐振频率低于300Hz；</w:t>
                  </w:r>
                </w:p>
                <w:p>
                  <w:pPr>
                    <w:jc w:val="left"/>
                  </w:pPr>
                  <w:r>
                    <w:rPr>
                      <w:sz w:val="21"/>
                    </w:rPr>
                    <w:t>15.采用物理减滤蓝光设计，无需其他操作即可实现防蓝光。</w:t>
                  </w:r>
                </w:p>
                <w:p>
                  <w:pPr>
                    <w:jc w:val="left"/>
                  </w:pPr>
                  <w:r>
                    <w:rPr>
                      <w:sz w:val="21"/>
                    </w:rPr>
                    <w:t>16.支持不少于3种方式进行屏幕下移，屏幕下移后仍可进行触控、书写等操作。</w:t>
                  </w:r>
                </w:p>
                <w:p>
                  <w:pPr>
                    <w:jc w:val="left"/>
                  </w:pPr>
                  <w:r>
                    <w:rPr>
                      <w:sz w:val="21"/>
                    </w:rPr>
                    <w:t>17</w:t>
                  </w:r>
                  <w:r>
                    <w:rPr>
                      <w:sz w:val="21"/>
                    </w:rPr>
                    <w:t>.</w:t>
                  </w:r>
                  <w:r>
                    <w:rPr>
                      <w:sz w:val="21"/>
                    </w:rPr>
                    <w:t>交互黑板</w:t>
                  </w:r>
                  <w:r>
                    <w:rPr>
                      <w:sz w:val="21"/>
                    </w:rPr>
                    <w:t>Android 主板具备不低于四核CPU， 内存不小于2G，Android 系统不低于11.0，主页提供不少于5 个应用程序，也可替代其他应用程序;</w:t>
                  </w:r>
                </w:p>
                <w:p>
                  <w:pPr>
                    <w:jc w:val="left"/>
                  </w:pPr>
                  <w:r>
                    <w:rPr>
                      <w:sz w:val="21"/>
                    </w:rPr>
                    <w:t>18</w:t>
                  </w:r>
                  <w:r>
                    <w:rPr>
                      <w:sz w:val="21"/>
                    </w:rPr>
                    <w:t>.</w:t>
                  </w:r>
                  <w:r>
                    <w:rPr>
                      <w:sz w:val="21"/>
                    </w:rPr>
                    <w:t>交互黑板左右两侧可提供与教学应用密切相关的快捷键，数量各不少于</w:t>
                  </w:r>
                  <w:r>
                    <w:rPr>
                      <w:sz w:val="21"/>
                    </w:rPr>
                    <w:t>15个，可以双侧同时显示，该快捷键至少具有关闭窗口 ，展台，桌面、多屏互动等常教学常用按键。</w:t>
                  </w:r>
                </w:p>
                <w:p>
                  <w:pPr>
                    <w:jc w:val="left"/>
                  </w:pPr>
                  <w:r>
                    <w:rPr>
                      <w:sz w:val="21"/>
                    </w:rPr>
                    <w:t>19</w:t>
                  </w:r>
                  <w:r>
                    <w:rPr>
                      <w:sz w:val="21"/>
                    </w:rPr>
                    <w:t>.</w:t>
                  </w:r>
                  <w:r>
                    <w:rPr>
                      <w:sz w:val="21"/>
                    </w:rPr>
                    <w:t>交互黑板具有悬浮菜单，两指可快速移动悬浮菜单至按压位置，悬浮菜单可进行自定义分组，可添加</w:t>
                  </w:r>
                  <w:r>
                    <w:rPr>
                      <w:sz w:val="21"/>
                    </w:rPr>
                    <w:t>AI 互动软件等不少于 30 个应用；</w:t>
                  </w:r>
                </w:p>
                <w:p>
                  <w:pPr>
                    <w:jc w:val="left"/>
                  </w:pPr>
                  <w:r>
                    <w:rPr>
                      <w:sz w:val="21"/>
                    </w:rPr>
                    <w:t>20</w:t>
                  </w:r>
                  <w:r>
                    <w:rPr>
                      <w:sz w:val="21"/>
                    </w:rPr>
                    <w:t>.</w:t>
                  </w:r>
                  <w:r>
                    <w:rPr>
                      <w:sz w:val="21"/>
                    </w:rPr>
                    <w:t>交互黑板可一键进行硬件自检，包括对系统内存、存储、触控系统、光感系统、内置电脑、屏体信息、主板型号、</w:t>
                  </w:r>
                  <w:r>
                    <w:rPr>
                      <w:sz w:val="21"/>
                    </w:rPr>
                    <w:t>CPU型号、CPU使用率、设备名称等进行状态提示、及故障提示。</w:t>
                  </w:r>
                </w:p>
                <w:p>
                  <w:pPr>
                    <w:jc w:val="left"/>
                  </w:pPr>
                  <w:r>
                    <w:rPr>
                      <w:sz w:val="21"/>
                    </w:rPr>
                    <w:t>▲21</w:t>
                  </w:r>
                  <w:r>
                    <w:rPr>
                      <w:sz w:val="21"/>
                    </w:rPr>
                    <w:t>.</w:t>
                  </w:r>
                  <w:r>
                    <w:rPr>
                      <w:sz w:val="21"/>
                    </w:rPr>
                    <w:t>交互黑板具备前置电脑还原按键，采用针孔式设计，并有配有中文标识（须提供针对该功能描述</w:t>
                  </w:r>
                  <w:r>
                    <w:rPr>
                      <w:sz w:val="21"/>
                    </w:rPr>
                    <w:t>的</w:t>
                  </w:r>
                  <w:r>
                    <w:rPr>
                      <w:sz w:val="21"/>
                    </w:rPr>
                    <w:t>CMA或CNAS认证测机构出具的检测报告）</w:t>
                  </w:r>
                </w:p>
                <w:p>
                  <w:pPr>
                    <w:jc w:val="left"/>
                  </w:pPr>
                  <w:r>
                    <w:rPr>
                      <w:sz w:val="21"/>
                    </w:rPr>
                    <w:t>22</w:t>
                  </w:r>
                  <w:r>
                    <w:rPr>
                      <w:sz w:val="21"/>
                    </w:rPr>
                    <w:t>.</w:t>
                  </w:r>
                  <w:r>
                    <w:rPr>
                      <w:sz w:val="21"/>
                    </w:rPr>
                    <w:t>在无操作或无信号输入</w:t>
                  </w:r>
                  <w:r>
                    <w:rPr>
                      <w:sz w:val="21"/>
                    </w:rPr>
                    <w:t>15分钟时,出现关机提示倒计时；在无操作或无信号输入30分钟时, 自动关机</w:t>
                  </w:r>
                  <w:r>
                    <w:rPr>
                      <w:sz w:val="21"/>
                    </w:rPr>
                    <w:t>；</w:t>
                  </w:r>
                </w:p>
                <w:p>
                  <w:pPr>
                    <w:jc w:val="left"/>
                  </w:pPr>
                  <w:r>
                    <w:rPr>
                      <w:sz w:val="21"/>
                    </w:rPr>
                    <w:t>23</w:t>
                  </w:r>
                  <w:r>
                    <w:rPr>
                      <w:sz w:val="21"/>
                    </w:rPr>
                    <w:t>.</w:t>
                  </w:r>
                  <w:r>
                    <w:rPr>
                      <w:sz w:val="21"/>
                    </w:rPr>
                    <w:t>通过五指抓取屏幕任意位置可调出多任务处理窗口，并对正在运行的应用进行浏览、快速切换或结束进程</w:t>
                  </w:r>
                  <w:r>
                    <w:rPr>
                      <w:sz w:val="21"/>
                    </w:rPr>
                    <w:t>；</w:t>
                  </w:r>
                </w:p>
                <w:p>
                  <w:pPr>
                    <w:jc w:val="left"/>
                  </w:pPr>
                  <w:r>
                    <w:rPr>
                      <w:sz w:val="21"/>
                    </w:rPr>
                    <w:t>24</w:t>
                  </w:r>
                  <w:r>
                    <w:rPr>
                      <w:sz w:val="21"/>
                    </w:rPr>
                    <w:t>.</w:t>
                  </w:r>
                  <w:r>
                    <w:rPr>
                      <w:sz w:val="21"/>
                    </w:rPr>
                    <w:t>交互黑板处于关机通电状态，外接设备接入交互黑板时，交互黑板可识别到外接设备的输入信号后自动开机</w:t>
                  </w:r>
                  <w:r>
                    <w:rPr>
                      <w:sz w:val="21"/>
                    </w:rPr>
                    <w:t>；</w:t>
                  </w:r>
                </w:p>
                <w:p>
                  <w:pPr>
                    <w:jc w:val="left"/>
                  </w:pPr>
                  <w:r>
                    <w:rPr>
                      <w:sz w:val="21"/>
                    </w:rPr>
                    <w:t>25</w:t>
                  </w:r>
                  <w:r>
                    <w:rPr>
                      <w:sz w:val="21"/>
                    </w:rPr>
                    <w:t>.</w:t>
                  </w:r>
                  <w:r>
                    <w:rPr>
                      <w:sz w:val="21"/>
                    </w:rPr>
                    <w:t>在任意信号源下，从屏幕下方任意位置向上滑动，可调用快捷设置菜单；无需切换系统，可快速调节</w:t>
                  </w:r>
                  <w:r>
                    <w:rPr>
                      <w:sz w:val="21"/>
                    </w:rPr>
                    <w:t>Windows 和Android 的设置</w:t>
                  </w:r>
                  <w:r>
                    <w:rPr>
                      <w:sz w:val="21"/>
                    </w:rPr>
                    <w:t>。</w:t>
                  </w:r>
                </w:p>
              </w:tc>
              <w:tc>
                <w:tcPr>
                  <w:tcW w:type="dxa" w:w="408"/>
                  <w:tcBorders>
                    <w:top w:val="none" w:color="000000" w:sz="4"/>
                    <w:left w:val="single" w:color="000000" w:sz="4"/>
                    <w:bottom w:val="single" w:color="000000" w:sz="4"/>
                    <w:right w:val="single" w:color="000000" w:sz="4"/>
                  </w:tcBorders>
                  <w:vAlign w:val="top"/>
                </w:tcPr>
                <w:p>
                  <w:pPr>
                    <w:jc w:val="center"/>
                  </w:pPr>
                  <w:r>
                    <w:rPr>
                      <w:color w:val="000000"/>
                      <w:sz w:val="20"/>
                    </w:rPr>
                    <w:t>1块</w:t>
                  </w:r>
                </w:p>
              </w:tc>
            </w:tr>
            <w:tr>
              <w:tc>
                <w:tcPr>
                  <w:tcW w:type="dxa" w:w="328"/>
                  <w:tcBorders>
                    <w:top w:val="none" w:color="000000" w:sz="4"/>
                    <w:left w:val="single" w:color="000000" w:sz="4"/>
                    <w:bottom w:val="single" w:color="000000" w:sz="4"/>
                    <w:right w:val="single" w:color="000000" w:sz="4"/>
                  </w:tcBorders>
                  <w:vAlign w:val="top"/>
                </w:tcPr>
                <w:p>
                  <w:pPr>
                    <w:jc w:val="both"/>
                  </w:pPr>
                  <w:r>
                    <w:rPr>
                      <w:sz w:val="21"/>
                    </w:rPr>
                    <w:t>11.</w:t>
                  </w:r>
                </w:p>
              </w:tc>
              <w:tc>
                <w:tcPr>
                  <w:tcW w:type="dxa" w:w="629"/>
                  <w:tcBorders>
                    <w:top w:val="none" w:color="000000" w:sz="4"/>
                    <w:left w:val="single" w:color="000000" w:sz="4"/>
                    <w:bottom w:val="single" w:color="000000" w:sz="4"/>
                    <w:right w:val="single" w:color="000000" w:sz="4"/>
                  </w:tcBorders>
                  <w:vAlign w:val="top"/>
                </w:tcPr>
                <w:p>
                  <w:pPr>
                    <w:jc w:val="center"/>
                  </w:pPr>
                  <w:r>
                    <w:rPr>
                      <w:sz w:val="21"/>
                    </w:rPr>
                    <w:t>多功能教师讲台</w:t>
                  </w:r>
                </w:p>
              </w:tc>
              <w:tc>
                <w:tcPr>
                  <w:tcW w:type="dxa" w:w="4233"/>
                  <w:tcBorders>
                    <w:top w:val="none" w:color="000000" w:sz="4"/>
                    <w:left w:val="single" w:color="000000" w:sz="4"/>
                    <w:bottom w:val="single" w:color="000000" w:sz="4"/>
                    <w:right w:val="single" w:color="000000" w:sz="4"/>
                  </w:tcBorders>
                  <w:vAlign w:val="top"/>
                </w:tcPr>
                <w:p>
                  <w:pPr>
                    <w:jc w:val="both"/>
                  </w:pPr>
                  <w:r>
                    <w:rPr>
                      <w:sz w:val="21"/>
                    </w:rPr>
                    <w:t>▲1</w:t>
                  </w:r>
                  <w:r>
                    <w:rPr>
                      <w:sz w:val="21"/>
                    </w:rPr>
                    <w:t>.</w:t>
                  </w:r>
                  <w:r>
                    <w:rPr>
                      <w:sz w:val="21"/>
                    </w:rPr>
                    <w:t>全钢</w:t>
                  </w:r>
                  <w:r>
                    <w:rPr>
                      <w:sz w:val="21"/>
                    </w:rPr>
                    <w:t>或钢木</w:t>
                  </w:r>
                  <w:r>
                    <w:rPr>
                      <w:sz w:val="21"/>
                    </w:rPr>
                    <w:t>结构一体成型；</w:t>
                  </w:r>
                  <w:r>
                    <w:rPr>
                      <w:sz w:val="21"/>
                    </w:rPr>
                    <w:t>经酸洗、磷化防锈表面喷塑，经久耐用，采用国标冷轧钢板</w:t>
                  </w:r>
                  <w:r>
                    <w:rPr>
                      <w:sz w:val="21"/>
                    </w:rPr>
                    <w:t>；全封闭式结构，保障了多媒体设备的安全性；</w:t>
                  </w:r>
                  <w:r>
                    <w:rPr>
                      <w:sz w:val="21"/>
                    </w:rPr>
                    <w:t>(提供政府质</w:t>
                  </w:r>
                  <w:r>
                    <w:rPr>
                      <w:sz w:val="21"/>
                    </w:rPr>
                    <w:t>监机构</w:t>
                  </w:r>
                  <w:r>
                    <w:rPr>
                      <w:sz w:val="21"/>
                    </w:rPr>
                    <w:t>出具</w:t>
                  </w:r>
                  <w:r>
                    <w:rPr>
                      <w:sz w:val="21"/>
                    </w:rPr>
                    <w:t>具备</w:t>
                  </w:r>
                  <w:r>
                    <w:rPr>
                      <w:sz w:val="21"/>
                    </w:rPr>
                    <w:t>CNAS和</w:t>
                  </w:r>
                  <w:r>
                    <w:rPr>
                      <w:sz w:val="21"/>
                    </w:rPr>
                    <w:t>C</w:t>
                  </w:r>
                  <w:r>
                    <w:rPr>
                      <w:sz w:val="21"/>
                    </w:rPr>
                    <w:t>MA标识的</w:t>
                  </w:r>
                  <w:r>
                    <w:rPr>
                      <w:sz w:val="21"/>
                    </w:rPr>
                    <w:t>《冷轧钢板检测报告》关于</w:t>
                  </w:r>
                  <w:r>
                    <w:rPr>
                      <w:sz w:val="21"/>
                    </w:rPr>
                    <w:t>“金属喷漆（塑）涂层冲击强度”</w:t>
                  </w:r>
                  <w:r>
                    <w:rPr>
                      <w:sz w:val="21"/>
                    </w:rPr>
                    <w:t>检验项目的</w:t>
                  </w:r>
                  <w:r>
                    <w:rPr>
                      <w:sz w:val="21"/>
                    </w:rPr>
                    <w:t>合格检测报告）</w:t>
                  </w:r>
                </w:p>
                <w:p>
                  <w:pPr>
                    <w:jc w:val="both"/>
                  </w:pPr>
                  <w:r>
                    <w:rPr>
                      <w:sz w:val="21"/>
                    </w:rPr>
                    <w:t>2</w:t>
                  </w:r>
                  <w:r>
                    <w:rPr>
                      <w:sz w:val="21"/>
                    </w:rPr>
                    <w:t>.</w:t>
                  </w:r>
                  <w:r>
                    <w:rPr>
                      <w:sz w:val="21"/>
                    </w:rPr>
                    <w:t>合理的尺寸设计，尺寸：长</w:t>
                  </w:r>
                  <w:r>
                    <w:rPr>
                      <w:sz w:val="21"/>
                    </w:rPr>
                    <w:t>1100-1</w:t>
                  </w:r>
                  <w:r>
                    <w:rPr>
                      <w:sz w:val="21"/>
                    </w:rPr>
                    <w:t>8</w:t>
                  </w:r>
                  <w:r>
                    <w:rPr>
                      <w:sz w:val="21"/>
                    </w:rPr>
                    <w:t>00 mm *宽550-780 mm *高750-1000mm。合理的设备安排，真正做到防盗功能；</w:t>
                  </w:r>
                </w:p>
                <w:p>
                  <w:pPr>
                    <w:jc w:val="both"/>
                  </w:pPr>
                  <w:r>
                    <w:rPr>
                      <w:sz w:val="21"/>
                    </w:rPr>
                    <w:t>3</w:t>
                  </w:r>
                  <w:r>
                    <w:rPr>
                      <w:sz w:val="21"/>
                    </w:rPr>
                    <w:t>.</w:t>
                  </w:r>
                  <w:r>
                    <w:rPr>
                      <w:sz w:val="21"/>
                    </w:rPr>
                    <w:t>具有符合国家安全标准的隐藏式组合布线系统，线管直插式进线口，电脑控制盒防盗设计，台体快速紧固放置；</w:t>
                  </w:r>
                </w:p>
                <w:p>
                  <w:pPr>
                    <w:jc w:val="both"/>
                  </w:pPr>
                  <w:r>
                    <w:rPr>
                      <w:sz w:val="21"/>
                    </w:rPr>
                    <w:t>4</w:t>
                  </w:r>
                  <w:r>
                    <w:rPr>
                      <w:sz w:val="21"/>
                    </w:rPr>
                    <w:t>.</w:t>
                  </w:r>
                  <w:r>
                    <w:rPr>
                      <w:sz w:val="21"/>
                    </w:rPr>
                    <w:t>防静电喷涂，确保鼠标使用灵敏，色彩牢固；</w:t>
                  </w:r>
                </w:p>
                <w:p>
                  <w:pPr>
                    <w:jc w:val="both"/>
                  </w:pPr>
                  <w:r>
                    <w:rPr>
                      <w:sz w:val="21"/>
                    </w:rPr>
                    <w:t>5</w:t>
                  </w:r>
                  <w:r>
                    <w:rPr>
                      <w:sz w:val="21"/>
                    </w:rPr>
                    <w:t>.</w:t>
                  </w:r>
                  <w:r>
                    <w:rPr>
                      <w:sz w:val="21"/>
                    </w:rPr>
                    <w:t>键盘采用抽屉式操作，显示器、中央控制系统、键盘互不影响独立操作；</w:t>
                  </w:r>
                </w:p>
                <w:p>
                  <w:pPr>
                    <w:jc w:val="both"/>
                  </w:pPr>
                  <w:r>
                    <w:rPr>
                      <w:sz w:val="21"/>
                    </w:rPr>
                    <w:t>6</w:t>
                  </w:r>
                  <w:r>
                    <w:rPr>
                      <w:sz w:val="21"/>
                    </w:rPr>
                    <w:t>.</w:t>
                  </w:r>
                  <w:r>
                    <w:rPr>
                      <w:sz w:val="21"/>
                    </w:rPr>
                    <w:t>右侧采用隐藏抽拉式设计</w:t>
                  </w:r>
                  <w:r>
                    <w:rPr>
                      <w:sz w:val="21"/>
                    </w:rPr>
                    <w:t>,需钥匙开启；</w:t>
                  </w:r>
                </w:p>
                <w:p>
                  <w:pPr>
                    <w:jc w:val="both"/>
                  </w:pPr>
                  <w:r>
                    <w:rPr>
                      <w:sz w:val="21"/>
                    </w:rPr>
                    <w:t>7</w:t>
                  </w:r>
                  <w:r>
                    <w:rPr>
                      <w:sz w:val="21"/>
                    </w:rPr>
                    <w:t>.</w:t>
                  </w:r>
                  <w:r>
                    <w:rPr>
                      <w:sz w:val="21"/>
                    </w:rPr>
                    <w:t>桌体下层内部采用标准机柜设计，带层板，所有设备可整齐固定；</w:t>
                  </w:r>
                </w:p>
              </w:tc>
              <w:tc>
                <w:tcPr>
                  <w:tcW w:type="dxa" w:w="408"/>
                  <w:tcBorders>
                    <w:top w:val="none" w:color="000000" w:sz="4"/>
                    <w:left w:val="single" w:color="000000" w:sz="4"/>
                    <w:bottom w:val="single" w:color="000000" w:sz="4"/>
                    <w:right w:val="single" w:color="000000" w:sz="4"/>
                  </w:tcBorders>
                  <w:vAlign w:val="top"/>
                </w:tcPr>
                <w:p>
                  <w:pPr>
                    <w:jc w:val="center"/>
                  </w:pPr>
                  <w:r>
                    <w:rPr>
                      <w:color w:val="000000"/>
                      <w:sz w:val="20"/>
                    </w:rPr>
                    <w:t>1 张</w:t>
                  </w:r>
                </w:p>
              </w:tc>
            </w:tr>
            <w:tr>
              <w:tc>
                <w:tcPr>
                  <w:tcW w:type="dxa" w:w="328"/>
                  <w:tcBorders>
                    <w:top w:val="none" w:color="000000" w:sz="4"/>
                    <w:left w:val="single" w:color="000000" w:sz="4"/>
                    <w:bottom w:val="single" w:color="000000" w:sz="4"/>
                    <w:right w:val="single" w:color="000000" w:sz="4"/>
                  </w:tcBorders>
                  <w:vAlign w:val="top"/>
                </w:tcPr>
                <w:p>
                  <w:pPr>
                    <w:jc w:val="both"/>
                  </w:pPr>
                  <w:r>
                    <w:rPr>
                      <w:sz w:val="21"/>
                    </w:rPr>
                    <w:t>12.</w:t>
                  </w:r>
                </w:p>
              </w:tc>
              <w:tc>
                <w:tcPr>
                  <w:tcW w:type="dxa" w:w="629"/>
                  <w:tcBorders>
                    <w:top w:val="none" w:color="000000" w:sz="4"/>
                    <w:left w:val="single" w:color="000000" w:sz="4"/>
                    <w:bottom w:val="single" w:color="000000" w:sz="4"/>
                    <w:right w:val="single" w:color="000000" w:sz="4"/>
                  </w:tcBorders>
                  <w:vAlign w:val="top"/>
                </w:tcPr>
                <w:p>
                  <w:pPr>
                    <w:jc w:val="center"/>
                  </w:pPr>
                  <w:r>
                    <w:rPr>
                      <w:sz w:val="21"/>
                    </w:rPr>
                    <w:t>教师椅</w:t>
                  </w:r>
                </w:p>
              </w:tc>
              <w:tc>
                <w:tcPr>
                  <w:tcW w:type="dxa" w:w="4233"/>
                  <w:tcBorders>
                    <w:top w:val="none" w:color="000000" w:sz="4"/>
                    <w:left w:val="single" w:color="000000" w:sz="4"/>
                    <w:bottom w:val="single" w:color="000000" w:sz="4"/>
                    <w:right w:val="single" w:color="000000" w:sz="4"/>
                  </w:tcBorders>
                  <w:vAlign w:val="top"/>
                </w:tcPr>
                <w:p>
                  <w:pPr>
                    <w:jc w:val="both"/>
                  </w:pPr>
                  <w:r>
                    <w:rPr>
                      <w:sz w:val="21"/>
                    </w:rPr>
                    <w:t>1.符合人体工程学设计，长时间坐着舒适；</w:t>
                  </w:r>
                </w:p>
                <w:p>
                  <w:pPr>
                    <w:jc w:val="both"/>
                  </w:pPr>
                  <w:r>
                    <w:rPr>
                      <w:sz w:val="21"/>
                    </w:rPr>
                    <w:t>2.尺寸：前后椅脚宽5</w:t>
                  </w:r>
                  <w:r>
                    <w:rPr>
                      <w:sz w:val="21"/>
                    </w:rPr>
                    <w:t>00-650</w:t>
                  </w:r>
                  <w:r>
                    <w:rPr>
                      <w:sz w:val="21"/>
                    </w:rPr>
                    <w:t>MM，椅高8</w:t>
                  </w:r>
                  <w:r>
                    <w:rPr>
                      <w:sz w:val="21"/>
                    </w:rPr>
                    <w:t>00-950</w:t>
                  </w:r>
                  <w:r>
                    <w:rPr>
                      <w:sz w:val="21"/>
                    </w:rPr>
                    <w:t>MM，椅座高4</w:t>
                  </w:r>
                  <w:r>
                    <w:rPr>
                      <w:sz w:val="21"/>
                    </w:rPr>
                    <w:t>00-550</w:t>
                  </w:r>
                  <w:r>
                    <w:rPr>
                      <w:sz w:val="21"/>
                    </w:rPr>
                    <w:t>MM</w:t>
                  </w:r>
                  <w:r>
                    <w:rPr>
                      <w:sz w:val="21"/>
                    </w:rPr>
                    <w:t>；</w:t>
                  </w:r>
                </w:p>
                <w:p>
                  <w:pPr>
                    <w:jc w:val="both"/>
                  </w:pPr>
                  <w:r>
                    <w:rPr>
                      <w:sz w:val="21"/>
                    </w:rPr>
                    <w:t>3.椅承重：座面侧向静载力大学用不少于1600N；</w:t>
                  </w:r>
                </w:p>
                <w:p>
                  <w:pPr>
                    <w:jc w:val="both"/>
                  </w:pPr>
                  <w:r>
                    <w:rPr>
                      <w:sz w:val="21"/>
                    </w:rPr>
                    <w:t>4.椅座：采用PP（聚丙烯）多元素复合材料经磨具压铸成型。</w:t>
                  </w:r>
                </w:p>
                <w:p>
                  <w:pPr>
                    <w:jc w:val="both"/>
                  </w:pPr>
                  <w:r>
                    <w:rPr>
                      <w:sz w:val="21"/>
                    </w:rPr>
                    <w:t>▲</w:t>
                  </w:r>
                  <w:r>
                    <w:rPr>
                      <w:sz w:val="21"/>
                    </w:rPr>
                    <w:t>5.椅腿：整支椅腿采用环保铝合金，经模具一体压铸成型，焊接，无拼接，椅脚底部装有防滑塑料脚垫。</w:t>
                  </w:r>
                  <w:r>
                    <w:rPr>
                      <w:sz w:val="21"/>
                    </w:rPr>
                    <w:t>（提供第三方检测机构出具的具备</w:t>
                  </w:r>
                  <w:r>
                    <w:rPr>
                      <w:sz w:val="21"/>
                    </w:rPr>
                    <w:t>CMA或CNAS标识的关于铝合金站脚“椅腿”的合格检测报告）</w:t>
                  </w:r>
                </w:p>
                <w:p>
                  <w:pPr>
                    <w:jc w:val="both"/>
                  </w:pPr>
                  <w:r>
                    <w:rPr>
                      <w:sz w:val="21"/>
                    </w:rPr>
                    <w:t>6.椅背：采用PP工程塑料一体压铸成型，椅背开有椭圆的散热孔。</w:t>
                  </w:r>
                </w:p>
                <w:p>
                  <w:pPr>
                    <w:jc w:val="both"/>
                  </w:pPr>
                  <w:r>
                    <w:rPr>
                      <w:sz w:val="21"/>
                    </w:rPr>
                    <w:t>7.</w:t>
                  </w:r>
                  <w:r>
                    <w:rPr>
                      <w:sz w:val="21"/>
                    </w:rPr>
                    <w:t>安全性：与人体接触的座面、椅背和扶手等边缘倒圆角的半径不少于</w:t>
                  </w:r>
                  <w:r>
                    <w:rPr>
                      <w:sz w:val="21"/>
                    </w:rPr>
                    <w:t>2MM；</w:t>
                  </w:r>
                  <w:r>
                    <w:rPr>
                      <w:sz w:val="21"/>
                    </w:rPr>
                    <w:t xml:space="preserve"> </w:t>
                  </w:r>
                </w:p>
              </w:tc>
              <w:tc>
                <w:tcPr>
                  <w:tcW w:type="dxa" w:w="408"/>
                  <w:tcBorders>
                    <w:top w:val="none" w:color="000000" w:sz="4"/>
                    <w:left w:val="single" w:color="000000" w:sz="4"/>
                    <w:bottom w:val="single" w:color="000000" w:sz="4"/>
                    <w:right w:val="single" w:color="000000" w:sz="4"/>
                  </w:tcBorders>
                  <w:vAlign w:val="top"/>
                </w:tcPr>
                <w:p>
                  <w:pPr>
                    <w:jc w:val="center"/>
                  </w:pPr>
                  <w:r>
                    <w:rPr>
                      <w:color w:val="000000"/>
                      <w:sz w:val="20"/>
                    </w:rPr>
                    <w:t>1 张</w:t>
                  </w:r>
                </w:p>
              </w:tc>
            </w:tr>
            <w:tr>
              <w:tc>
                <w:tcPr>
                  <w:tcW w:type="dxa" w:w="328"/>
                  <w:tcBorders>
                    <w:top w:val="none" w:color="000000" w:sz="4"/>
                    <w:left w:val="single" w:color="000000" w:sz="4"/>
                    <w:bottom w:val="single" w:color="000000" w:sz="4"/>
                    <w:right w:val="single" w:color="000000" w:sz="4"/>
                  </w:tcBorders>
                  <w:vAlign w:val="top"/>
                </w:tcPr>
                <w:p>
                  <w:pPr>
                    <w:jc w:val="both"/>
                  </w:pPr>
                  <w:r>
                    <w:rPr>
                      <w:sz w:val="21"/>
                    </w:rPr>
                    <w:t>13.</w:t>
                  </w:r>
                </w:p>
              </w:tc>
              <w:tc>
                <w:tcPr>
                  <w:tcW w:type="dxa" w:w="629"/>
                  <w:tcBorders>
                    <w:top w:val="none" w:color="000000" w:sz="4"/>
                    <w:left w:val="single" w:color="000000" w:sz="4"/>
                    <w:bottom w:val="single" w:color="000000" w:sz="4"/>
                    <w:right w:val="single" w:color="000000" w:sz="4"/>
                  </w:tcBorders>
                  <w:vAlign w:val="top"/>
                </w:tcPr>
                <w:p>
                  <w:pPr>
                    <w:jc w:val="center"/>
                  </w:pPr>
                  <w:r>
                    <w:rPr>
                      <w:sz w:val="21"/>
                    </w:rPr>
                    <w:t>学生桌（</w:t>
                  </w:r>
                  <w:r>
                    <w:rPr>
                      <w:sz w:val="21"/>
                    </w:rPr>
                    <w:t>定制产品</w:t>
                  </w:r>
                  <w:r>
                    <w:rPr>
                      <w:sz w:val="21"/>
                    </w:rPr>
                    <w:t>）</w:t>
                  </w:r>
                </w:p>
              </w:tc>
              <w:tc>
                <w:tcPr>
                  <w:tcW w:type="dxa" w:w="4233"/>
                  <w:tcBorders>
                    <w:top w:val="none" w:color="000000" w:sz="4"/>
                    <w:left w:val="single" w:color="000000" w:sz="4"/>
                    <w:bottom w:val="single" w:color="000000" w:sz="4"/>
                    <w:right w:val="single" w:color="000000" w:sz="4"/>
                  </w:tcBorders>
                  <w:vAlign w:val="top"/>
                </w:tcPr>
                <w:p>
                  <w:pPr>
                    <w:jc w:val="left"/>
                  </w:pPr>
                  <w:r>
                    <w:rPr>
                      <w:sz w:val="21"/>
                    </w:rPr>
                    <w:t>1</w:t>
                  </w:r>
                  <w:r>
                    <w:rPr>
                      <w:sz w:val="21"/>
                    </w:rPr>
                    <w:t>.</w:t>
                  </w:r>
                  <w:r>
                    <w:rPr>
                      <w:sz w:val="21"/>
                    </w:rPr>
                    <w:t>贴面用材：采用优质富美家防火板，厚度</w:t>
                  </w:r>
                  <w:r>
                    <w:rPr>
                      <w:sz w:val="21"/>
                    </w:rPr>
                    <w:t>0.8mm以上，具有阻燃性能好，机械强度高，不爆、耐水、油、耐化学防腐性强、无毒等特点。</w:t>
                  </w:r>
                </w:p>
                <w:p>
                  <w:pPr>
                    <w:jc w:val="left"/>
                  </w:pPr>
                  <w:r>
                    <w:rPr>
                      <w:sz w:val="21"/>
                    </w:rPr>
                    <w:t>2</w:t>
                  </w:r>
                  <w:r>
                    <w:rPr>
                      <w:sz w:val="21"/>
                    </w:rPr>
                    <w:t>.</w:t>
                  </w:r>
                  <w:r>
                    <w:rPr>
                      <w:sz w:val="21"/>
                    </w:rPr>
                    <w:t>基材：采用</w:t>
                  </w:r>
                  <w:r>
                    <w:rPr>
                      <w:sz w:val="21"/>
                    </w:rPr>
                    <w:t>E1级环保颗粒板，符合国家标准GBl8580-2017《室内装饰装修材料人造板及其制品中甲醛释放限量》的检测，甲醛释放量L≤0.05mg/m³。经防潮、防虫、防腐处理，抗弯力强，不易变形。</w:t>
                  </w:r>
                </w:p>
                <w:p>
                  <w:pPr>
                    <w:jc w:val="left"/>
                  </w:pPr>
                  <w:r>
                    <w:rPr>
                      <w:sz w:val="21"/>
                    </w:rPr>
                    <w:t>▲</w:t>
                  </w:r>
                  <w:r>
                    <w:rPr>
                      <w:sz w:val="21"/>
                    </w:rPr>
                    <w:t>3</w:t>
                  </w:r>
                  <w:r>
                    <w:rPr>
                      <w:sz w:val="21"/>
                    </w:rPr>
                    <w:t>.</w:t>
                  </w:r>
                  <w:r>
                    <w:rPr>
                      <w:sz w:val="21"/>
                    </w:rPr>
                    <w:t>封边条：采用热溶</w:t>
                  </w:r>
                  <w:r>
                    <w:rPr>
                      <w:sz w:val="21"/>
                    </w:rPr>
                    <w:t>PVC封边。（提供政府家具质监机构出具的具备CNAS和MA标识的关于“</w:t>
                  </w:r>
                  <w:r>
                    <w:rPr>
                      <w:sz w:val="21"/>
                    </w:rPr>
                    <w:t xml:space="preserve"> </w:t>
                  </w:r>
                  <w:r>
                    <w:rPr>
                      <w:sz w:val="21"/>
                    </w:rPr>
                    <w:t>台面板</w:t>
                  </w:r>
                  <w:r>
                    <w:rPr>
                      <w:sz w:val="21"/>
                    </w:rPr>
                    <w:t>”和“</w:t>
                  </w:r>
                  <w:r>
                    <w:rPr>
                      <w:sz w:val="21"/>
                    </w:rPr>
                    <w:t xml:space="preserve"> </w:t>
                  </w:r>
                  <w:r>
                    <w:rPr>
                      <w:sz w:val="21"/>
                    </w:rPr>
                    <w:t>封边条</w:t>
                  </w:r>
                  <w:r>
                    <w:rPr>
                      <w:sz w:val="21"/>
                    </w:rPr>
                    <w:t>”合格检测报告）</w:t>
                  </w:r>
                </w:p>
                <w:p>
                  <w:pPr>
                    <w:jc w:val="both"/>
                  </w:pPr>
                  <w:r>
                    <w:rPr>
                      <w:sz w:val="21"/>
                    </w:rPr>
                    <w:t>4</w:t>
                  </w:r>
                  <w:r>
                    <w:rPr>
                      <w:sz w:val="21"/>
                    </w:rPr>
                    <w:t>.</w:t>
                  </w:r>
                  <w:r>
                    <w:rPr>
                      <w:sz w:val="21"/>
                    </w:rPr>
                    <w:t>五金：五金件。</w:t>
                  </w:r>
                  <w:r>
                    <w:rPr>
                      <w:sz w:val="21"/>
                    </w:rPr>
                    <w:t xml:space="preserve"> </w:t>
                  </w:r>
                </w:p>
                <w:p>
                  <w:pPr>
                    <w:jc w:val="left"/>
                  </w:pPr>
                  <w:r>
                    <w:rPr>
                      <w:sz w:val="21"/>
                    </w:rPr>
                    <w:t>5</w:t>
                  </w:r>
                  <w:r>
                    <w:rPr>
                      <w:sz w:val="21"/>
                    </w:rPr>
                    <w:t>.</w:t>
                  </w:r>
                  <w:r>
                    <w:rPr>
                      <w:sz w:val="21"/>
                    </w:rPr>
                    <w:t>边角经精心倒角或圆角处理。</w:t>
                  </w:r>
                </w:p>
                <w:p>
                  <w:pPr>
                    <w:jc w:val="left"/>
                  </w:pPr>
                  <w:r>
                    <w:rPr>
                      <w:sz w:val="21"/>
                    </w:rPr>
                    <w:t>6</w:t>
                  </w:r>
                  <w:r>
                    <w:rPr>
                      <w:sz w:val="21"/>
                    </w:rPr>
                    <w:t>.</w:t>
                  </w:r>
                  <w:r>
                    <w:rPr>
                      <w:sz w:val="21"/>
                    </w:rPr>
                    <w:t>总体规格：约</w:t>
                  </w:r>
                  <w:r>
                    <w:rPr>
                      <w:sz w:val="21"/>
                    </w:rPr>
                    <w:t>1350mm*650mm*850mm，允许</w:t>
                  </w:r>
                  <w:r>
                    <w:rPr>
                      <w:sz w:val="21"/>
                    </w:rPr>
                    <w:t>±</w:t>
                  </w:r>
                  <w:r>
                    <w:rPr>
                      <w:sz w:val="21"/>
                    </w:rPr>
                    <w:t>5%</w:t>
                  </w:r>
                  <w:r>
                    <w:rPr>
                      <w:sz w:val="21"/>
                    </w:rPr>
                    <w:t>偏差。</w:t>
                  </w:r>
                </w:p>
                <w:p>
                  <w:pPr>
                    <w:jc w:val="left"/>
                  </w:pPr>
                  <w:r>
                    <w:rPr>
                      <w:sz w:val="21"/>
                    </w:rPr>
                    <w:t>7</w:t>
                  </w:r>
                  <w:r>
                    <w:rPr>
                      <w:sz w:val="21"/>
                    </w:rPr>
                    <w:t>.</w:t>
                  </w:r>
                  <w:r>
                    <w:rPr>
                      <w:sz w:val="21"/>
                    </w:rPr>
                    <w:t>板材规格：桌面层板厚度</w:t>
                  </w:r>
                  <w:r>
                    <w:rPr>
                      <w:sz w:val="21"/>
                    </w:rPr>
                    <w:t>≥25.8mm，侧板、背板厚度≥16mm。</w:t>
                  </w:r>
                </w:p>
                <w:p>
                  <w:pPr>
                    <w:jc w:val="left"/>
                  </w:pPr>
                  <w:r>
                    <w:rPr>
                      <w:sz w:val="21"/>
                    </w:rPr>
                    <w:t>8.</w:t>
                  </w:r>
                  <w:r>
                    <w:rPr>
                      <w:sz w:val="21"/>
                    </w:rPr>
                    <w:t>其它配置要求：桌面设计成三面围边</w:t>
                  </w:r>
                  <w:r>
                    <w:rPr>
                      <w:sz w:val="21"/>
                    </w:rPr>
                    <w:t>,高度100mm,防止桌面设备掉落，桌子每个位配备定制的固定式木制主机架；桌子要求结构结实，质量可靠，有一定的承重能力。</w:t>
                  </w:r>
                </w:p>
                <w:p>
                  <w:pPr>
                    <w:jc w:val="left"/>
                  </w:pPr>
                  <w:r>
                    <w:rPr>
                      <w:sz w:val="21"/>
                    </w:rPr>
                    <w:t>9.</w:t>
                  </w:r>
                  <w:r>
                    <w:rPr>
                      <w:sz w:val="21"/>
                    </w:rPr>
                    <w:t>结合本项目的</w:t>
                  </w:r>
                  <w:r>
                    <w:rPr>
                      <w:sz w:val="21"/>
                    </w:rPr>
                    <w:t>综合</w:t>
                  </w:r>
                  <w:r>
                    <w:rPr>
                      <w:sz w:val="21"/>
                    </w:rPr>
                    <w:t>布线工程，合理设置走线槽位，确保电源面板安装位置合理，不会在使用中被腿脚碰脱落或碰歪而造成故障。</w:t>
                  </w:r>
                </w:p>
                <w:p>
                  <w:pPr>
                    <w:jc w:val="left"/>
                  </w:pPr>
                  <w:r>
                    <w:rPr>
                      <w:sz w:val="21"/>
                    </w:rPr>
                    <w:t>1</w:t>
                  </w:r>
                  <w:r>
                    <w:rPr>
                      <w:sz w:val="21"/>
                    </w:rPr>
                    <w:t>0.</w:t>
                  </w:r>
                  <w:r>
                    <w:rPr>
                      <w:sz w:val="21"/>
                    </w:rPr>
                    <w:t>款式要求</w:t>
                  </w:r>
                </w:p>
                <w:p>
                  <w:pPr>
                    <w:jc w:val="left"/>
                  </w:pPr>
                  <w:r>
                    <w:drawing>
                      <wp:inline distT="0" distR="0" distB="0" distL="0">
                        <wp:extent cx="1928401" cy="1358764"/>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1928401" cy="1358764"/>
                                </a:xfrm>
                                <a:prstGeom prst="rect">
                                  <a:avLst/>
                                </a:prstGeom>
                              </pic:spPr>
                            </pic:pic>
                          </a:graphicData>
                        </a:graphic>
                      </wp:inline>
                    </w:drawing>
                  </w:r>
                </w:p>
              </w:tc>
              <w:tc>
                <w:tcPr>
                  <w:tcW w:type="dxa" w:w="408"/>
                  <w:tcBorders>
                    <w:top w:val="none" w:color="000000" w:sz="4"/>
                    <w:left w:val="single" w:color="000000" w:sz="4"/>
                    <w:bottom w:val="single" w:color="000000" w:sz="4"/>
                    <w:right w:val="single" w:color="000000" w:sz="4"/>
                  </w:tcBorders>
                  <w:vAlign w:val="top"/>
                </w:tcPr>
                <w:p>
                  <w:pPr>
                    <w:jc w:val="center"/>
                  </w:pPr>
                  <w:r>
                    <w:rPr>
                      <w:color w:val="000000"/>
                      <w:sz w:val="20"/>
                    </w:rPr>
                    <w:t>70 张</w:t>
                  </w:r>
                </w:p>
              </w:tc>
            </w:tr>
            <w:tr>
              <w:tc>
                <w:tcPr>
                  <w:tcW w:type="dxa" w:w="328"/>
                  <w:tcBorders>
                    <w:top w:val="none" w:color="000000" w:sz="4"/>
                    <w:left w:val="single" w:color="000000" w:sz="4"/>
                    <w:bottom w:val="single" w:color="000000" w:sz="4"/>
                    <w:right w:val="single" w:color="000000" w:sz="4"/>
                  </w:tcBorders>
                  <w:vAlign w:val="top"/>
                </w:tcPr>
                <w:p>
                  <w:pPr>
                    <w:jc w:val="both"/>
                  </w:pPr>
                  <w:r>
                    <w:rPr>
                      <w:sz w:val="21"/>
                    </w:rPr>
                    <w:t>14.</w:t>
                  </w:r>
                </w:p>
              </w:tc>
              <w:tc>
                <w:tcPr>
                  <w:tcW w:type="dxa" w:w="629"/>
                  <w:tcBorders>
                    <w:top w:val="none" w:color="000000" w:sz="4"/>
                    <w:left w:val="single" w:color="000000" w:sz="4"/>
                    <w:bottom w:val="single" w:color="000000" w:sz="4"/>
                    <w:right w:val="single" w:color="000000" w:sz="4"/>
                  </w:tcBorders>
                  <w:vAlign w:val="top"/>
                </w:tcPr>
                <w:p>
                  <w:pPr>
                    <w:jc w:val="center"/>
                  </w:pPr>
                  <w:r>
                    <w:rPr>
                      <w:sz w:val="21"/>
                    </w:rPr>
                    <w:t>学生椅</w:t>
                  </w:r>
                </w:p>
              </w:tc>
              <w:tc>
                <w:tcPr>
                  <w:tcW w:type="dxa" w:w="4233"/>
                  <w:tcBorders>
                    <w:top w:val="none" w:color="000000" w:sz="4"/>
                    <w:left w:val="single" w:color="000000" w:sz="4"/>
                    <w:bottom w:val="single" w:color="000000" w:sz="4"/>
                    <w:right w:val="single" w:color="000000" w:sz="4"/>
                  </w:tcBorders>
                  <w:vAlign w:val="top"/>
                </w:tcPr>
                <w:p>
                  <w:pPr>
                    <w:jc w:val="left"/>
                  </w:pPr>
                  <w:r>
                    <w:rPr>
                      <w:sz w:val="21"/>
                    </w:rPr>
                    <w:t>1.款式、颜色见如图1，尺寸见图2。</w:t>
                  </w:r>
                </w:p>
                <w:p>
                  <w:pPr>
                    <w:jc w:val="left"/>
                  </w:pPr>
                  <w:r>
                    <w:rPr>
                      <w:sz w:val="21"/>
                    </w:rPr>
                    <w:t>2.靠背和坐垫采用加厚PP材质，如图1；</w:t>
                  </w:r>
                </w:p>
                <w:p>
                  <w:pPr>
                    <w:jc w:val="left"/>
                  </w:pPr>
                  <w:r>
                    <w:rPr>
                      <w:sz w:val="21"/>
                    </w:rPr>
                    <w:t>2.烤漆金属加粗椅体，防滑痕脚垫。</w:t>
                  </w:r>
                </w:p>
                <w:p>
                  <w:pPr>
                    <w:jc w:val="both"/>
                  </w:pPr>
                  <w:r>
                    <w:rPr>
                      <w:color w:val="000000"/>
                      <w:sz w:val="21"/>
                    </w:rPr>
                    <w:t>图</w:t>
                  </w:r>
                  <w:r>
                    <w:rPr>
                      <w:color w:val="000000"/>
                      <w:sz w:val="21"/>
                    </w:rPr>
                    <w:t>1</w:t>
                  </w:r>
                  <w:r>
                    <w:drawing>
                      <wp:inline distT="0" distR="0" distB="0" distL="0">
                        <wp:extent cx="1928401" cy="2577760"/>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7"/>
                                <a:stretch>
                                  <a:fillRect/>
                                </a:stretch>
                              </pic:blipFill>
                              <pic:spPr>
                                <a:xfrm>
                                  <a:off x="0" y="0"/>
                                  <a:ext cx="1928401" cy="2577760"/>
                                </a:xfrm>
                                <a:prstGeom prst="rect">
                                  <a:avLst/>
                                </a:prstGeom>
                              </pic:spPr>
                            </pic:pic>
                          </a:graphicData>
                        </a:graphic>
                      </wp:inline>
                    </w:drawing>
                  </w:r>
                  <w:r>
                    <w:rPr>
                      <w:color w:val="000000"/>
                      <w:sz w:val="21"/>
                    </w:rPr>
                    <w:t>图</w:t>
                  </w:r>
                  <w:r>
                    <w:rPr>
                      <w:color w:val="000000"/>
                      <w:sz w:val="21"/>
                    </w:rPr>
                    <w:t>2</w:t>
                  </w:r>
                  <w:r>
                    <w:drawing>
                      <wp:inline distT="0" distR="0" distB="0" distL="0">
                        <wp:extent cx="1928401" cy="2674878"/>
                        <wp:docPr id="3" name="Drawing 3" descr="img"/>
                        <a:graphic xmlns:a="http://schemas.openxmlformats.org/drawingml/2006/main">
                          <a:graphicData uri="http://schemas.openxmlformats.org/drawingml/2006/picture">
                            <pic:pic xmlns:pic="http://schemas.openxmlformats.org/drawingml/2006/picture">
                              <pic:nvPicPr>
                                <pic:cNvPr id="0" name="Picture 3" descr="img"/>
                                <pic:cNvPicPr>
                                  <a:picLocks noChangeAspect="true"/>
                                </pic:cNvPicPr>
                              </pic:nvPicPr>
                              <pic:blipFill>
                                <a:blip r:embed="rId8"/>
                                <a:stretch>
                                  <a:fillRect/>
                                </a:stretch>
                              </pic:blipFill>
                              <pic:spPr>
                                <a:xfrm>
                                  <a:off x="0" y="0"/>
                                  <a:ext cx="1928401" cy="2674878"/>
                                </a:xfrm>
                                <a:prstGeom prst="rect">
                                  <a:avLst/>
                                </a:prstGeom>
                              </pic:spPr>
                            </pic:pic>
                          </a:graphicData>
                        </a:graphic>
                      </wp:inline>
                    </w:drawing>
                  </w:r>
                </w:p>
              </w:tc>
              <w:tc>
                <w:tcPr>
                  <w:tcW w:type="dxa" w:w="408"/>
                  <w:tcBorders>
                    <w:top w:val="none" w:color="000000" w:sz="4"/>
                    <w:left w:val="single" w:color="000000" w:sz="4"/>
                    <w:bottom w:val="single" w:color="000000" w:sz="4"/>
                    <w:right w:val="single" w:color="000000" w:sz="4"/>
                  </w:tcBorders>
                  <w:vAlign w:val="top"/>
                </w:tcPr>
                <w:p>
                  <w:pPr>
                    <w:jc w:val="center"/>
                  </w:pPr>
                  <w:r>
                    <w:rPr>
                      <w:color w:val="000000"/>
                      <w:sz w:val="20"/>
                    </w:rPr>
                    <w:t>70张</w:t>
                  </w:r>
                </w:p>
              </w:tc>
            </w:tr>
            <w:tr>
              <w:tc>
                <w:tcPr>
                  <w:tcW w:type="dxa" w:w="328"/>
                  <w:tcBorders>
                    <w:top w:val="none" w:color="000000" w:sz="4"/>
                    <w:left w:val="single" w:color="000000" w:sz="4"/>
                    <w:bottom w:val="single" w:color="000000" w:sz="4"/>
                    <w:right w:val="single" w:color="000000" w:sz="4"/>
                  </w:tcBorders>
                  <w:vAlign w:val="top"/>
                </w:tcPr>
                <w:p>
                  <w:pPr>
                    <w:jc w:val="both"/>
                  </w:pPr>
                  <w:r>
                    <w:rPr>
                      <w:sz w:val="21"/>
                    </w:rPr>
                    <w:t>15.</w:t>
                  </w:r>
                </w:p>
              </w:tc>
              <w:tc>
                <w:tcPr>
                  <w:tcW w:type="dxa" w:w="629"/>
                  <w:tcBorders>
                    <w:top w:val="none" w:color="000000" w:sz="4"/>
                    <w:left w:val="single" w:color="000000" w:sz="4"/>
                    <w:bottom w:val="single" w:color="000000" w:sz="4"/>
                    <w:right w:val="single" w:color="000000" w:sz="4"/>
                  </w:tcBorders>
                  <w:vAlign w:val="top"/>
                </w:tcPr>
                <w:p>
                  <w:pPr>
                    <w:jc w:val="center"/>
                  </w:pPr>
                  <w:r>
                    <w:rPr>
                      <w:sz w:val="21"/>
                    </w:rPr>
                    <w:t>机柜（</w:t>
                  </w:r>
                  <w:r>
                    <w:rPr>
                      <w:sz w:val="21"/>
                    </w:rPr>
                    <w:t>定制产品</w:t>
                  </w:r>
                  <w:r>
                    <w:rPr>
                      <w:sz w:val="21"/>
                    </w:rPr>
                    <w:t>）</w:t>
                  </w:r>
                </w:p>
              </w:tc>
              <w:tc>
                <w:tcPr>
                  <w:tcW w:type="dxa" w:w="4233"/>
                  <w:tcBorders>
                    <w:top w:val="none" w:color="000000" w:sz="4"/>
                    <w:left w:val="single" w:color="000000" w:sz="4"/>
                    <w:bottom w:val="single" w:color="000000" w:sz="4"/>
                    <w:right w:val="single" w:color="000000" w:sz="4"/>
                  </w:tcBorders>
                  <w:vAlign w:val="top"/>
                </w:tcPr>
                <w:p>
                  <w:pPr>
                    <w:jc w:val="left"/>
                  </w:pPr>
                  <w:r>
                    <w:rPr>
                      <w:sz w:val="21"/>
                    </w:rPr>
                    <w:t>1.42U，机柜支持19英寸标准的</w:t>
                  </w:r>
                  <w:r>
                    <w:rPr>
                      <w:sz w:val="21"/>
                    </w:rPr>
                    <w:t>工控机</w:t>
                  </w:r>
                  <w:r>
                    <w:rPr>
                      <w:sz w:val="21"/>
                    </w:rPr>
                    <w:t>、存储及网络设备装；</w:t>
                  </w:r>
                </w:p>
                <w:p>
                  <w:pPr>
                    <w:jc w:val="left"/>
                  </w:pPr>
                  <w:r>
                    <w:rPr>
                      <w:sz w:val="21"/>
                    </w:rPr>
                    <w:t>2.机柜标配2个国标PDU，规格为单相32A(7.3KVA)输入，20位10A+4位16A输出的PDU单元；</w:t>
                  </w:r>
                </w:p>
                <w:p>
                  <w:pPr>
                    <w:jc w:val="left"/>
                  </w:pPr>
                  <w:r>
                    <w:rPr>
                      <w:sz w:val="21"/>
                    </w:rPr>
                    <w:t>3.单机柜四块侧板，侧板分为上下两块，方便拆卸，以满足便于安装维护要求,前后门开启角度不小于120°；</w:t>
                  </w:r>
                </w:p>
                <w:p>
                  <w:pPr>
                    <w:jc w:val="left"/>
                  </w:pPr>
                  <w:r>
                    <w:rPr>
                      <w:sz w:val="21"/>
                    </w:rPr>
                    <w:t>4.机柜采用前后网孔门设计，前门单开，后门双开，机柜前后均为通风网孔门。</w:t>
                  </w:r>
                </w:p>
              </w:tc>
              <w:tc>
                <w:tcPr>
                  <w:tcW w:type="dxa" w:w="408"/>
                  <w:tcBorders>
                    <w:top w:val="none" w:color="000000" w:sz="4"/>
                    <w:left w:val="single" w:color="000000" w:sz="4"/>
                    <w:bottom w:val="single" w:color="000000" w:sz="4"/>
                    <w:right w:val="single" w:color="000000" w:sz="4"/>
                  </w:tcBorders>
                  <w:vAlign w:val="top"/>
                </w:tcPr>
                <w:p>
                  <w:pPr>
                    <w:jc w:val="center"/>
                  </w:pPr>
                  <w:r>
                    <w:rPr>
                      <w:color w:val="000000"/>
                      <w:sz w:val="20"/>
                    </w:rPr>
                    <w:t>1 个</w:t>
                  </w:r>
                </w:p>
              </w:tc>
            </w:tr>
            <w:tr>
              <w:tc>
                <w:tcPr>
                  <w:tcW w:type="dxa" w:w="328"/>
                  <w:tcBorders>
                    <w:top w:val="none" w:color="000000" w:sz="4"/>
                    <w:left w:val="single" w:color="000000" w:sz="4"/>
                    <w:bottom w:val="single" w:color="000000" w:sz="4"/>
                    <w:right w:val="single" w:color="000000" w:sz="4"/>
                  </w:tcBorders>
                  <w:vAlign w:val="top"/>
                </w:tcPr>
                <w:p>
                  <w:pPr>
                    <w:jc w:val="both"/>
                  </w:pPr>
                  <w:r>
                    <w:rPr>
                      <w:sz w:val="21"/>
                    </w:rPr>
                    <w:t>16.</w:t>
                  </w:r>
                </w:p>
              </w:tc>
              <w:tc>
                <w:tcPr>
                  <w:tcW w:type="dxa" w:w="629"/>
                  <w:tcBorders>
                    <w:top w:val="none" w:color="000000" w:sz="4"/>
                    <w:left w:val="single" w:color="000000" w:sz="4"/>
                    <w:bottom w:val="single" w:color="000000" w:sz="4"/>
                    <w:right w:val="single" w:color="000000" w:sz="4"/>
                  </w:tcBorders>
                  <w:vAlign w:val="top"/>
                </w:tcPr>
                <w:p>
                  <w:pPr>
                    <w:jc w:val="center"/>
                  </w:pPr>
                  <w:r>
                    <w:rPr>
                      <w:sz w:val="21"/>
                    </w:rPr>
                    <w:t>音响套装</w:t>
                  </w:r>
                </w:p>
              </w:tc>
              <w:tc>
                <w:tcPr>
                  <w:tcW w:type="dxa" w:w="4233"/>
                  <w:tcBorders>
                    <w:top w:val="none" w:color="000000" w:sz="4"/>
                    <w:left w:val="single" w:color="000000" w:sz="4"/>
                    <w:bottom w:val="single" w:color="000000" w:sz="4"/>
                    <w:right w:val="single" w:color="000000" w:sz="4"/>
                  </w:tcBorders>
                  <w:vAlign w:val="top"/>
                </w:tcPr>
                <w:p>
                  <w:pPr>
                    <w:jc w:val="left"/>
                  </w:pPr>
                  <w:r>
                    <w:rPr>
                      <w:sz w:val="21"/>
                    </w:rPr>
                    <w:t>一、音响：</w:t>
                  </w:r>
                </w:p>
                <w:p>
                  <w:pPr>
                    <w:jc w:val="left"/>
                  </w:pPr>
                  <w:r>
                    <w:rPr>
                      <w:sz w:val="21"/>
                    </w:rPr>
                    <w:t>1.低音单元：≥1×8″；</w:t>
                  </w:r>
                </w:p>
                <w:p>
                  <w:pPr>
                    <w:jc w:val="left"/>
                  </w:pPr>
                  <w:r>
                    <w:rPr>
                      <w:sz w:val="21"/>
                    </w:rPr>
                    <w:t>2.高音单元：≥1×1″；</w:t>
                  </w:r>
                </w:p>
                <w:p>
                  <w:pPr>
                    <w:jc w:val="left"/>
                  </w:pPr>
                  <w:r>
                    <w:rPr>
                      <w:sz w:val="21"/>
                    </w:rPr>
                    <w:t>3.额定阻抗：</w:t>
                  </w:r>
                  <w:r>
                    <w:rPr>
                      <w:sz w:val="21"/>
                    </w:rPr>
                    <w:t>≥</w:t>
                  </w:r>
                  <w:r>
                    <w:rPr>
                      <w:sz w:val="21"/>
                    </w:rPr>
                    <w:t>8Ω；</w:t>
                  </w:r>
                </w:p>
                <w:p>
                  <w:pPr>
                    <w:jc w:val="left"/>
                  </w:pPr>
                  <w:r>
                    <w:rPr>
                      <w:sz w:val="21"/>
                    </w:rPr>
                    <w:t>4.额定功率：≥150W；</w:t>
                  </w:r>
                </w:p>
                <w:p>
                  <w:pPr>
                    <w:jc w:val="left"/>
                  </w:pPr>
                  <w:r>
                    <w:rPr>
                      <w:sz w:val="21"/>
                    </w:rPr>
                    <w:t>5.灵敏度：≥93dB 1w/1m；</w:t>
                  </w:r>
                </w:p>
                <w:p>
                  <w:pPr>
                    <w:jc w:val="left"/>
                  </w:pPr>
                  <w:r>
                    <w:rPr>
                      <w:sz w:val="21"/>
                    </w:rPr>
                    <w:t>6.最大声压：≥114dB；</w:t>
                  </w:r>
                </w:p>
                <w:p>
                  <w:pPr>
                    <w:jc w:val="left"/>
                  </w:pPr>
                  <w:r>
                    <w:rPr>
                      <w:sz w:val="21"/>
                    </w:rPr>
                    <w:t>7.频率响应：50Hz-20KHz；</w:t>
                  </w:r>
                </w:p>
                <w:p>
                  <w:pPr>
                    <w:jc w:val="left"/>
                  </w:pPr>
                  <w:r>
                    <w:rPr>
                      <w:sz w:val="21"/>
                    </w:rPr>
                    <w:t>二、无线麦克风：</w:t>
                  </w:r>
                </w:p>
                <w:p>
                  <w:pPr>
                    <w:jc w:val="left"/>
                  </w:pPr>
                  <w:r>
                    <w:rPr>
                      <w:sz w:val="21"/>
                    </w:rPr>
                    <w:t>1</w:t>
                  </w:r>
                  <w:r>
                    <w:rPr>
                      <w:sz w:val="21"/>
                    </w:rPr>
                    <w:t>、灵敏度：</w:t>
                  </w:r>
                  <w:r>
                    <w:rPr>
                      <w:sz w:val="21"/>
                    </w:rPr>
                    <w:t>≥</w:t>
                  </w:r>
                  <w:r>
                    <w:rPr>
                      <w:sz w:val="21"/>
                    </w:rPr>
                    <w:t>12dBuV (80dBS/N)；</w:t>
                  </w:r>
                </w:p>
                <w:p>
                  <w:pPr>
                    <w:jc w:val="left"/>
                  </w:pPr>
                  <w:r>
                    <w:rPr>
                      <w:sz w:val="21"/>
                    </w:rPr>
                    <w:t>2</w:t>
                  </w:r>
                  <w:r>
                    <w:rPr>
                      <w:sz w:val="21"/>
                    </w:rPr>
                    <w:t>、信噪比：</w:t>
                  </w:r>
                  <w:r>
                    <w:rPr>
                      <w:sz w:val="21"/>
                    </w:rPr>
                    <w:t>≥</w:t>
                  </w:r>
                  <w:r>
                    <w:rPr>
                      <w:sz w:val="21"/>
                    </w:rPr>
                    <w:t>100dB；</w:t>
                  </w:r>
                </w:p>
                <w:p>
                  <w:pPr>
                    <w:jc w:val="left"/>
                  </w:pPr>
                  <w:r>
                    <w:rPr>
                      <w:sz w:val="21"/>
                    </w:rPr>
                    <w:t>3</w:t>
                  </w:r>
                  <w:r>
                    <w:rPr>
                      <w:sz w:val="21"/>
                    </w:rPr>
                    <w:t>、频率响应：</w:t>
                  </w:r>
                  <w:r>
                    <w:rPr>
                      <w:sz w:val="21"/>
                    </w:rPr>
                    <w:t>470～960 MHz(分段设计）；</w:t>
                  </w:r>
                </w:p>
                <w:p>
                  <w:pPr>
                    <w:jc w:val="left"/>
                  </w:pPr>
                  <w:r>
                    <w:rPr>
                      <w:sz w:val="21"/>
                    </w:rPr>
                    <w:t>4</w:t>
                  </w:r>
                  <w:r>
                    <w:rPr>
                      <w:sz w:val="21"/>
                    </w:rPr>
                    <w:t>、音频响应：</w:t>
                  </w:r>
                  <w:r>
                    <w:rPr>
                      <w:sz w:val="21"/>
                    </w:rPr>
                    <w:t>80H</w:t>
                  </w:r>
                  <w:r>
                    <w:rPr>
                      <w:sz w:val="21"/>
                    </w:rPr>
                    <w:t>z</w:t>
                  </w:r>
                  <w:r>
                    <w:rPr>
                      <w:sz w:val="21"/>
                    </w:rPr>
                    <w:t>-18KHz(-3dB)</w:t>
                  </w:r>
                  <w:r>
                    <w:rPr>
                      <w:sz w:val="21"/>
                    </w:rPr>
                    <w:t>；</w:t>
                  </w:r>
                </w:p>
                <w:p>
                  <w:pPr>
                    <w:jc w:val="left"/>
                  </w:pPr>
                  <w:r>
                    <w:rPr>
                      <w:sz w:val="21"/>
                    </w:rPr>
                    <w:t>5</w:t>
                  </w:r>
                  <w:r>
                    <w:rPr>
                      <w:sz w:val="21"/>
                    </w:rPr>
                    <w:t>、动态范围：</w:t>
                  </w:r>
                  <w:r>
                    <w:rPr>
                      <w:sz w:val="21"/>
                    </w:rPr>
                    <w:t>≥</w:t>
                  </w:r>
                  <w:r>
                    <w:rPr>
                      <w:sz w:val="21"/>
                    </w:rPr>
                    <w:t>90</w:t>
                  </w:r>
                  <w:r>
                    <w:rPr>
                      <w:sz w:val="21"/>
                    </w:rPr>
                    <w:t>db；</w:t>
                  </w:r>
                </w:p>
                <w:p>
                  <w:pPr>
                    <w:jc w:val="left"/>
                  </w:pPr>
                  <w:r>
                    <w:rPr>
                      <w:sz w:val="21"/>
                    </w:rPr>
                    <w:t>三、功放：</w:t>
                  </w:r>
                </w:p>
                <w:p>
                  <w:pPr>
                    <w:jc w:val="left"/>
                  </w:pPr>
                  <w:r>
                    <w:rPr>
                      <w:sz w:val="21"/>
                    </w:rPr>
                    <w:t>1.黑色拉丝铝面板外观，3U机型；</w:t>
                  </w:r>
                </w:p>
                <w:p>
                  <w:pPr>
                    <w:jc w:val="left"/>
                  </w:pPr>
                  <w:r>
                    <w:rPr>
                      <w:sz w:val="21"/>
                    </w:rPr>
                    <w:t>2.支持对话筒的混响效果、高低音均衡和音乐的高低音进行调节；</w:t>
                  </w:r>
                </w:p>
                <w:p>
                  <w:pPr>
                    <w:jc w:val="left"/>
                  </w:pPr>
                  <w:r>
                    <w:rPr>
                      <w:sz w:val="21"/>
                    </w:rPr>
                    <w:t>3.支持USB/蓝牙播放,带有数码管显示和语音可以关闭的语音提示音；</w:t>
                  </w:r>
                </w:p>
                <w:p>
                  <w:pPr>
                    <w:jc w:val="left"/>
                  </w:pPr>
                  <w:r>
                    <w:rPr>
                      <w:sz w:val="21"/>
                    </w:rPr>
                    <w:t>4.支持不少于三路为6.35插座话筒输入,支持不少于两路为卡农平衡输入,并具有48V幻象供电；</w:t>
                  </w:r>
                </w:p>
                <w:p>
                  <w:pPr>
                    <w:jc w:val="left"/>
                  </w:pPr>
                  <w:r>
                    <w:rPr>
                      <w:sz w:val="21"/>
                    </w:rPr>
                    <w:t>5.支持不少于四路音乐信号输入和两路录音输出；</w:t>
                  </w:r>
                </w:p>
                <w:p>
                  <w:pPr>
                    <w:jc w:val="left"/>
                  </w:pPr>
                  <w:r>
                    <w:rPr>
                      <w:sz w:val="21"/>
                    </w:rPr>
                    <w:t>6.</w:t>
                  </w:r>
                  <w:r>
                    <w:rPr>
                      <w:sz w:val="21"/>
                    </w:rPr>
                    <w:t xml:space="preserve"> </w:t>
                  </w:r>
                  <w:r>
                    <w:rPr>
                      <w:sz w:val="21"/>
                    </w:rPr>
                    <w:t>8欧功率≥250W，输入阻抗≥20KOHM，总谐波失真≤0.05%</w:t>
                  </w:r>
                  <w:r>
                    <w:rPr>
                      <w:sz w:val="21"/>
                    </w:rPr>
                    <w:t>；</w:t>
                  </w:r>
                </w:p>
                <w:p>
                  <w:pPr>
                    <w:jc w:val="left"/>
                  </w:pPr>
                  <w:r>
                    <w:rPr>
                      <w:sz w:val="21"/>
                    </w:rPr>
                    <w:t>7</w:t>
                  </w:r>
                  <w:r>
                    <w:rPr>
                      <w:sz w:val="21"/>
                    </w:rPr>
                    <w:t>.</w:t>
                  </w:r>
                  <w:r>
                    <w:rPr>
                      <w:sz w:val="21"/>
                    </w:rPr>
                    <w:t>频率响应：</w:t>
                  </w:r>
                  <w:r>
                    <w:rPr>
                      <w:sz w:val="21"/>
                    </w:rPr>
                    <w:t>20HZ-20KHZ，信噪比≥82DB，输入灵敏度≥0.25V；</w:t>
                  </w:r>
                </w:p>
                <w:p>
                  <w:pPr>
                    <w:jc w:val="left"/>
                  </w:pPr>
                  <w:r>
                    <w:rPr>
                      <w:sz w:val="21"/>
                    </w:rPr>
                    <w:t>四、话筒：</w:t>
                  </w:r>
                </w:p>
                <w:p>
                  <w:pPr>
                    <w:jc w:val="left"/>
                  </w:pPr>
                  <w:r>
                    <w:rPr>
                      <w:sz w:val="21"/>
                    </w:rPr>
                    <w:t>1.具有电子轻触开关和指示的桌面式鹅颈话筒；</w:t>
                  </w:r>
                </w:p>
                <w:p>
                  <w:pPr>
                    <w:jc w:val="left"/>
                  </w:pPr>
                  <w:r>
                    <w:rPr>
                      <w:sz w:val="21"/>
                    </w:rPr>
                    <w:t>2</w:t>
                  </w:r>
                  <w:r>
                    <w:rPr>
                      <w:sz w:val="21"/>
                    </w:rPr>
                    <w:t>.配置单指向性、永久极性电容收音头；</w:t>
                  </w:r>
                </w:p>
                <w:p>
                  <w:pPr>
                    <w:jc w:val="left"/>
                  </w:pPr>
                  <w:r>
                    <w:rPr>
                      <w:sz w:val="21"/>
                    </w:rPr>
                    <w:t>3</w:t>
                  </w:r>
                  <w:r>
                    <w:rPr>
                      <w:sz w:val="21"/>
                    </w:rPr>
                    <w:t>.具有不低于130dB声压的最高输入音量；</w:t>
                  </w:r>
                </w:p>
                <w:p>
                  <w:pPr>
                    <w:jc w:val="left"/>
                  </w:pPr>
                  <w:r>
                    <w:rPr>
                      <w:sz w:val="21"/>
                    </w:rPr>
                    <w:t>4</w:t>
                  </w:r>
                  <w:r>
                    <w:rPr>
                      <w:sz w:val="21"/>
                    </w:rPr>
                    <w:t>.频率响应：40Hz-18KHz，动态范围≥106dB；</w:t>
                  </w:r>
                </w:p>
                <w:p>
                  <w:pPr>
                    <w:jc w:val="left"/>
                  </w:pPr>
                  <w:r>
                    <w:rPr>
                      <w:sz w:val="21"/>
                    </w:rPr>
                    <w:t>5</w:t>
                  </w:r>
                  <w:r>
                    <w:rPr>
                      <w:sz w:val="21"/>
                    </w:rPr>
                    <w:t>.灵敏度≥-40dB，讯噪比≥66dB。</w:t>
                  </w:r>
                </w:p>
              </w:tc>
              <w:tc>
                <w:tcPr>
                  <w:tcW w:type="dxa" w:w="408"/>
                  <w:tcBorders>
                    <w:top w:val="none" w:color="000000" w:sz="4"/>
                    <w:left w:val="single" w:color="000000" w:sz="4"/>
                    <w:bottom w:val="single" w:color="000000" w:sz="4"/>
                    <w:right w:val="single" w:color="000000" w:sz="4"/>
                  </w:tcBorders>
                  <w:vAlign w:val="top"/>
                </w:tcPr>
                <w:p>
                  <w:pPr>
                    <w:jc w:val="center"/>
                  </w:pPr>
                  <w:r>
                    <w:rPr>
                      <w:color w:val="000000"/>
                      <w:sz w:val="20"/>
                    </w:rPr>
                    <w:t>1 套</w:t>
                  </w:r>
                </w:p>
              </w:tc>
            </w:tr>
            <w:tr>
              <w:tc>
                <w:tcPr>
                  <w:tcW w:type="dxa" w:w="328"/>
                  <w:tcBorders>
                    <w:top w:val="none" w:color="000000" w:sz="4"/>
                    <w:left w:val="single" w:color="000000" w:sz="4"/>
                    <w:bottom w:val="single" w:color="000000" w:sz="4"/>
                    <w:right w:val="single" w:color="000000" w:sz="4"/>
                  </w:tcBorders>
                  <w:vAlign w:val="top"/>
                </w:tcPr>
                <w:p>
                  <w:pPr>
                    <w:jc w:val="both"/>
                  </w:pPr>
                  <w:r>
                    <w:rPr>
                      <w:sz w:val="21"/>
                    </w:rPr>
                    <w:t>17.</w:t>
                  </w:r>
                </w:p>
              </w:tc>
              <w:tc>
                <w:tcPr>
                  <w:tcW w:type="dxa" w:w="629"/>
                  <w:tcBorders>
                    <w:top w:val="none" w:color="000000" w:sz="4"/>
                    <w:left w:val="single" w:color="000000" w:sz="4"/>
                    <w:bottom w:val="single" w:color="000000" w:sz="4"/>
                    <w:right w:val="single" w:color="000000" w:sz="4"/>
                  </w:tcBorders>
                  <w:vAlign w:val="top"/>
                </w:tcPr>
                <w:p>
                  <w:pPr>
                    <w:jc w:val="center"/>
                  </w:pPr>
                  <w:r>
                    <w:rPr>
                      <w:sz w:val="21"/>
                    </w:rPr>
                    <w:t>综合</w:t>
                  </w:r>
                  <w:r>
                    <w:rPr>
                      <w:sz w:val="21"/>
                    </w:rPr>
                    <w:t>布线及系统集成</w:t>
                  </w:r>
                </w:p>
              </w:tc>
              <w:tc>
                <w:tcPr>
                  <w:tcW w:type="dxa" w:w="4233"/>
                  <w:tcBorders>
                    <w:top w:val="none" w:color="000000" w:sz="4"/>
                    <w:left w:val="single" w:color="000000" w:sz="4"/>
                    <w:bottom w:val="single" w:color="000000" w:sz="4"/>
                    <w:right w:val="single" w:color="000000" w:sz="4"/>
                  </w:tcBorders>
                  <w:vAlign w:val="top"/>
                </w:tcPr>
                <w:p>
                  <w:pPr>
                    <w:jc w:val="left"/>
                  </w:pPr>
                  <w:r>
                    <w:rPr>
                      <w:sz w:val="21"/>
                    </w:rPr>
                    <w:t>实验室面积约</w:t>
                  </w:r>
                  <w:r>
                    <w:rPr>
                      <w:sz w:val="21"/>
                    </w:rPr>
                    <w:t>1</w:t>
                  </w:r>
                  <w:r>
                    <w:rPr>
                      <w:sz w:val="21"/>
                    </w:rPr>
                    <w:t>23</w:t>
                  </w:r>
                  <w:r>
                    <w:rPr>
                      <w:sz w:val="21"/>
                    </w:rPr>
                    <w:t>M</w:t>
                  </w:r>
                  <w:r>
                    <w:rPr>
                      <w:sz w:val="21"/>
                      <w:vertAlign w:val="superscript"/>
                    </w:rPr>
                    <w:t>2</w:t>
                  </w:r>
                  <w:r>
                    <w:rPr>
                      <w:sz w:val="21"/>
                    </w:rPr>
                    <w:t>。服务器及机柜放置在独立的服务器室。平面图如下：</w:t>
                  </w:r>
                </w:p>
                <w:p>
                  <w:pPr>
                    <w:jc w:val="both"/>
                  </w:pPr>
                  <w:r>
                    <w:drawing>
                      <wp:inline distT="0" distR="0" distB="0" distL="0">
                        <wp:extent cx="1928401" cy="1907754"/>
                        <wp:docPr id="4" name="Drawing 4" descr="img"/>
                        <a:graphic xmlns:a="http://schemas.openxmlformats.org/drawingml/2006/main">
                          <a:graphicData uri="http://schemas.openxmlformats.org/drawingml/2006/picture">
                            <pic:pic xmlns:pic="http://schemas.openxmlformats.org/drawingml/2006/picture">
                              <pic:nvPicPr>
                                <pic:cNvPr id="0" name="Picture 4" descr="img"/>
                                <pic:cNvPicPr>
                                  <a:picLocks noChangeAspect="true"/>
                                </pic:cNvPicPr>
                              </pic:nvPicPr>
                              <pic:blipFill>
                                <a:blip r:embed="rId9"/>
                                <a:stretch>
                                  <a:fillRect/>
                                </a:stretch>
                              </pic:blipFill>
                              <pic:spPr>
                                <a:xfrm>
                                  <a:off x="0" y="0"/>
                                  <a:ext cx="1928401" cy="1907754"/>
                                </a:xfrm>
                                <a:prstGeom prst="rect">
                                  <a:avLst/>
                                </a:prstGeom>
                              </pic:spPr>
                            </pic:pic>
                          </a:graphicData>
                        </a:graphic>
                      </wp:inline>
                    </w:drawing>
                  </w:r>
                </w:p>
                <w:p>
                  <w:pPr>
                    <w:jc w:val="left"/>
                  </w:pPr>
                  <w:r>
                    <w:rPr>
                      <w:sz w:val="21"/>
                    </w:rPr>
                    <w:t>1.天花喷涂白色环保乳胶漆</w:t>
                  </w:r>
                  <w:r>
                    <w:rPr>
                      <w:sz w:val="21"/>
                    </w:rPr>
                    <w:t>；</w:t>
                  </w:r>
                </w:p>
                <w:p>
                  <w:pPr>
                    <w:jc w:val="left"/>
                  </w:pPr>
                  <w:r>
                    <w:rPr>
                      <w:sz w:val="21"/>
                    </w:rPr>
                    <w:t>2.室内弱电布线：</w:t>
                  </w:r>
                </w:p>
                <w:p>
                  <w:pPr>
                    <w:ind w:firstLine="420"/>
                    <w:jc w:val="left"/>
                  </w:pPr>
                  <w:r>
                    <w:rPr>
                      <w:sz w:val="21"/>
                    </w:rPr>
                    <w:t>从五楼服务器机房拉光纤到五楼实验室交换机，从交换机部署网线到各个信息点（学生机位</w:t>
                  </w:r>
                  <w:r>
                    <w:rPr>
                      <w:sz w:val="21"/>
                    </w:rPr>
                    <w:t>7</w:t>
                  </w:r>
                  <w:r>
                    <w:rPr>
                      <w:sz w:val="21"/>
                    </w:rPr>
                    <w:t>0</w:t>
                  </w:r>
                  <w:r>
                    <w:rPr>
                      <w:sz w:val="21"/>
                    </w:rPr>
                    <w:t>个</w:t>
                  </w:r>
                  <w:r>
                    <w:rPr>
                      <w:sz w:val="21"/>
                    </w:rPr>
                    <w:t>+教师位2个+触摸屏1个+wifi</w:t>
                  </w:r>
                  <w:r>
                    <w:rPr>
                      <w:sz w:val="21"/>
                    </w:rPr>
                    <w:t>+</w:t>
                  </w:r>
                  <w:r>
                    <w:rPr>
                      <w:sz w:val="21"/>
                    </w:rPr>
                    <w:t>其他，共约</w:t>
                  </w:r>
                  <w:r>
                    <w:rPr>
                      <w:sz w:val="21"/>
                    </w:rPr>
                    <w:t>80</w:t>
                  </w:r>
                  <w:r>
                    <w:rPr>
                      <w:sz w:val="21"/>
                    </w:rPr>
                    <w:t>个信息点），教师机与触摸屏之间用</w:t>
                  </w:r>
                  <w:r>
                    <w:rPr>
                      <w:sz w:val="21"/>
                    </w:rPr>
                    <w:t>HDMI高清线连接。PVC</w:t>
                  </w:r>
                  <w:r>
                    <w:rPr>
                      <w:sz w:val="21"/>
                    </w:rPr>
                    <w:t>线盒</w:t>
                  </w:r>
                  <w:r>
                    <w:rPr>
                      <w:sz w:val="21"/>
                    </w:rPr>
                    <w:t>走明线</w:t>
                  </w:r>
                  <w:r>
                    <w:rPr>
                      <w:sz w:val="21"/>
                    </w:rPr>
                    <w:t>，</w:t>
                  </w:r>
                  <w:r>
                    <w:rPr>
                      <w:sz w:val="21"/>
                    </w:rPr>
                    <w:t>HDMI线走地槽，不锈钢覆盖</w:t>
                  </w:r>
                  <w:r>
                    <w:rPr>
                      <w:sz w:val="21"/>
                    </w:rPr>
                    <w:t>。网线两头打标签。</w:t>
                  </w:r>
                </w:p>
                <w:p>
                  <w:pPr>
                    <w:ind w:firstLine="420"/>
                    <w:jc w:val="left"/>
                  </w:pPr>
                  <w:r>
                    <w:rPr>
                      <w:sz w:val="21"/>
                    </w:rPr>
                    <w:t>机柜：配置约</w:t>
                  </w:r>
                  <w:r>
                    <w:rPr>
                      <w:sz w:val="21"/>
                    </w:rPr>
                    <w:t>5</w:t>
                  </w:r>
                  <w:r>
                    <w:rPr>
                      <w:sz w:val="21"/>
                    </w:rPr>
                    <w:t>0</w:t>
                  </w:r>
                  <w:r>
                    <w:rPr>
                      <w:sz w:val="21"/>
                    </w:rPr>
                    <w:t>cm高的机柜，放置室内交换机。</w:t>
                  </w:r>
                </w:p>
                <w:p>
                  <w:pPr>
                    <w:ind w:firstLine="420"/>
                    <w:jc w:val="both"/>
                  </w:pPr>
                  <w:r>
                    <w:rPr>
                      <w:sz w:val="21"/>
                    </w:rPr>
                    <w:t>光纤：</w:t>
                  </w:r>
                  <w:r>
                    <w:rPr>
                      <w:sz w:val="21"/>
                    </w:rPr>
                    <w:t>用</w:t>
                  </w:r>
                  <w:r>
                    <w:rPr>
                      <w:sz w:val="21"/>
                    </w:rPr>
                    <w:t>优普连</w:t>
                  </w:r>
                  <w:r>
                    <w:rPr>
                      <w:sz w:val="21"/>
                    </w:rPr>
                    <w:t>凯装单模</w:t>
                  </w:r>
                  <w:r>
                    <w:rPr>
                      <w:sz w:val="21"/>
                    </w:rPr>
                    <w:t>4芯</w:t>
                  </w:r>
                  <w:r>
                    <w:rPr>
                      <w:sz w:val="21"/>
                    </w:rPr>
                    <w:t>。</w:t>
                  </w:r>
                </w:p>
                <w:p>
                  <w:pPr>
                    <w:ind w:firstLine="420"/>
                    <w:jc w:val="both"/>
                  </w:pPr>
                  <w:r>
                    <w:rPr>
                      <w:sz w:val="21"/>
                    </w:rPr>
                    <w:t>网线、水晶头：</w:t>
                  </w:r>
                  <w:r>
                    <w:rPr>
                      <w:sz w:val="21"/>
                    </w:rPr>
                    <w:t>使用符合中华人民共和国通信行业标准</w:t>
                  </w:r>
                  <w:r>
                    <w:rPr>
                      <w:sz w:val="21"/>
                    </w:rPr>
                    <w:t>YD/T838.4-2016规定的的六类双绞网线；</w:t>
                  </w:r>
                  <w:r>
                    <w:rPr>
                      <w:sz w:val="21"/>
                    </w:rPr>
                    <w:t>使用</w:t>
                  </w:r>
                  <w:r>
                    <w:rPr>
                      <w:sz w:val="21"/>
                    </w:rPr>
                    <w:t>符合国家标准</w:t>
                  </w:r>
                  <w:r>
                    <w:rPr>
                      <w:sz w:val="21"/>
                    </w:rPr>
                    <w:t>GB50311–2016规定的水晶头；具体规格如下：</w:t>
                  </w:r>
                </w:p>
                <w:p>
                  <w:pPr>
                    <w:jc w:val="both"/>
                  </w:pPr>
                  <w:r>
                    <w:rPr>
                      <w:sz w:val="21"/>
                    </w:rPr>
                    <w:t>（</w:t>
                  </w:r>
                  <w:r>
                    <w:rPr>
                      <w:sz w:val="21"/>
                    </w:rPr>
                    <w:t>1）非屏蔽带十字骨架双绞线。兼容所有Cat.6非屏蔽系统，依照YD/T838.4-2016；</w:t>
                  </w:r>
                </w:p>
                <w:p>
                  <w:pPr>
                    <w:jc w:val="both"/>
                  </w:pPr>
                  <w:r>
                    <w:rPr>
                      <w:sz w:val="21"/>
                    </w:rPr>
                    <w:t>（</w:t>
                  </w:r>
                  <w:r>
                    <w:rPr>
                      <w:sz w:val="21"/>
                    </w:rPr>
                    <w:t>2）环路电阻（20℃时）：</w:t>
                  </w:r>
                  <w:r>
                    <w:rPr>
                      <w:sz w:val="21"/>
                    </w:rPr>
                    <w:t>＜</w:t>
                  </w:r>
                  <w:r>
                    <w:rPr>
                      <w:sz w:val="21"/>
                    </w:rPr>
                    <w:t>1</w:t>
                  </w:r>
                  <w:r>
                    <w:rPr>
                      <w:sz w:val="21"/>
                    </w:rPr>
                    <w:t>76Ω/km  容抗：54nF/100m  阻抗：100±15Ω；</w:t>
                  </w:r>
                </w:p>
                <w:p>
                  <w:pPr>
                    <w:jc w:val="both"/>
                  </w:pPr>
                  <w:r>
                    <w:rPr>
                      <w:sz w:val="21"/>
                    </w:rPr>
                    <w:t>(3)线缆带宽要求达到≥350Mhz，为将来拓展应用留下空间；</w:t>
                  </w:r>
                </w:p>
                <w:p>
                  <w:pPr>
                    <w:jc w:val="both"/>
                  </w:pPr>
                  <w:r>
                    <w:rPr>
                      <w:sz w:val="21"/>
                    </w:rPr>
                    <w:t>(4)弯曲半径：固定时≥48mm，牵引时≥22.5mm，拉伸强度≤93N；</w:t>
                  </w:r>
                </w:p>
                <w:p>
                  <w:pPr>
                    <w:jc w:val="both"/>
                  </w:pPr>
                  <w:r>
                    <w:rPr>
                      <w:sz w:val="21"/>
                    </w:rPr>
                    <w:t>(5)烟密度：达到GB 8624-2012《建筑材料及制品燃烧性能分级》规定的烟密度等级SDR≤75 ， 燃烧性能：达到GB 8624-2012《建筑材料及制品燃烧性能分级》 规定的V-0级；</w:t>
                  </w:r>
                </w:p>
                <w:p>
                  <w:pPr>
                    <w:jc w:val="both"/>
                  </w:pPr>
                  <w:r>
                    <w:rPr>
                      <w:sz w:val="21"/>
                    </w:rPr>
                    <w:t>(6)温度范围：安装时：0℃ 至+50℃，工作时：-20℃至+60℃；</w:t>
                  </w:r>
                </w:p>
                <w:p>
                  <w:pPr>
                    <w:jc w:val="both"/>
                  </w:pPr>
                  <w:r>
                    <w:rPr>
                      <w:sz w:val="21"/>
                    </w:rPr>
                    <w:t>(7)导线尺寸要求：(n*n*AWG) 4×2×23AWG，环路电阻（20oC时）：155Ω/km，容抗：50pF/m ，阻抗：100±15Ω；</w:t>
                  </w:r>
                </w:p>
                <w:p>
                  <w:pPr>
                    <w:jc w:val="both"/>
                  </w:pPr>
                  <w:r>
                    <w:rPr>
                      <w:sz w:val="21"/>
                    </w:rPr>
                    <w:t>(8)芯线：纯铜，直径≥0.56mm，外径≥6.3mm。</w:t>
                  </w:r>
                </w:p>
                <w:p>
                  <w:pPr>
                    <w:jc w:val="both"/>
                  </w:pPr>
                  <w:r>
                    <w:rPr>
                      <w:sz w:val="21"/>
                    </w:rPr>
                    <w:t>3</w:t>
                  </w:r>
                  <w:r>
                    <w:rPr>
                      <w:sz w:val="21"/>
                    </w:rPr>
                    <w:t>.强电布线：</w:t>
                  </w:r>
                </w:p>
                <w:p>
                  <w:pPr>
                    <w:ind w:firstLine="420"/>
                    <w:jc w:val="left"/>
                  </w:pPr>
                  <w:r>
                    <w:rPr>
                      <w:sz w:val="21"/>
                    </w:rPr>
                    <w:t>服务器室</w:t>
                  </w:r>
                  <w:r>
                    <w:rPr>
                      <w:sz w:val="21"/>
                    </w:rPr>
                    <w:t>:</w:t>
                  </w:r>
                  <w:r>
                    <w:rPr>
                      <w:sz w:val="21"/>
                    </w:rPr>
                    <w:t>从配电箱部署服务器供电电缆及相应电闸。</w:t>
                  </w:r>
                </w:p>
                <w:p>
                  <w:pPr>
                    <w:ind w:firstLine="420"/>
                    <w:jc w:val="left"/>
                  </w:pPr>
                  <w:r>
                    <w:rPr>
                      <w:sz w:val="21"/>
                    </w:rPr>
                    <w:t>实验室：从配电箱到各电脑终端、教师机、触摸屏、小机柜等用电设备进行电源布线，</w:t>
                  </w:r>
                  <w:r>
                    <w:rPr>
                      <w:sz w:val="21"/>
                    </w:rPr>
                    <w:t>PVC</w:t>
                  </w:r>
                  <w:r>
                    <w:rPr>
                      <w:sz w:val="21"/>
                    </w:rPr>
                    <w:t>线盒</w:t>
                  </w:r>
                  <w:r>
                    <w:rPr>
                      <w:sz w:val="21"/>
                    </w:rPr>
                    <w:t>走明线</w:t>
                  </w:r>
                  <w:r>
                    <w:rPr>
                      <w:sz w:val="21"/>
                    </w:rPr>
                    <w:t>，插座固定在电脑桌（可拆卸更换）；每个工位提供</w:t>
                  </w:r>
                  <w:r>
                    <w:rPr>
                      <w:sz w:val="21"/>
                    </w:rPr>
                    <w:t>1个15孔插座</w:t>
                  </w:r>
                  <w:r>
                    <w:rPr>
                      <w:sz w:val="21"/>
                    </w:rPr>
                    <w:t>；</w:t>
                  </w:r>
                  <w:r>
                    <w:rPr>
                      <w:sz w:val="21"/>
                    </w:rPr>
                    <w:t>主线要求</w:t>
                  </w:r>
                  <w:r>
                    <w:rPr>
                      <w:sz w:val="21"/>
                    </w:rPr>
                    <w:t>4平方，支线要求2.5平方。大约1</w:t>
                  </w:r>
                  <w:r>
                    <w:rPr>
                      <w:sz w:val="21"/>
                    </w:rPr>
                    <w:t>0-12</w:t>
                  </w:r>
                  <w:r>
                    <w:rPr>
                      <w:sz w:val="21"/>
                    </w:rPr>
                    <w:t>台计算机为一组，每组一个双极电闸开关控制，严格按规范、标准进行综合布线施工。</w:t>
                  </w:r>
                </w:p>
                <w:p>
                  <w:pPr>
                    <w:ind w:firstLine="420"/>
                    <w:jc w:val="left"/>
                  </w:pPr>
                  <w:r>
                    <w:rPr>
                      <w:sz w:val="21"/>
                    </w:rPr>
                    <w:t>电源线使用符合国标</w:t>
                  </w:r>
                  <w:r>
                    <w:rPr>
                      <w:sz w:val="21"/>
                    </w:rPr>
                    <w:t>GB/T 5013.1-2008的线缆；所配插座为符合国家标准。</w:t>
                  </w:r>
                </w:p>
                <w:p>
                  <w:pPr>
                    <w:ind w:firstLine="420"/>
                    <w:jc w:val="left"/>
                  </w:pPr>
                  <w:r>
                    <w:rPr>
                      <w:sz w:val="21"/>
                    </w:rPr>
                    <w:t>设备安装所使用的其他配件，必须符合相应的国家标准要求；各类器材接头等杂件应使用有安全保障的产品；合同内施工材料包干。</w:t>
                  </w:r>
                </w:p>
                <w:p>
                  <w:pPr>
                    <w:jc w:val="left"/>
                  </w:pPr>
                  <w:r>
                    <w:rPr>
                      <w:sz w:val="21"/>
                    </w:rPr>
                    <w:t>4</w:t>
                  </w:r>
                  <w:r>
                    <w:rPr>
                      <w:sz w:val="21"/>
                    </w:rPr>
                    <w:t>.窗帘：根据教室窗户尺寸，定制窗帘，窗帘和窗户宽度比例1：1.5； 窗帘高度2000mm。</w:t>
                  </w:r>
                </w:p>
                <w:p>
                  <w:pPr>
                    <w:jc w:val="left"/>
                  </w:pPr>
                  <w:r>
                    <w:rPr>
                      <w:sz w:val="21"/>
                    </w:rPr>
                    <w:t>（</w:t>
                  </w:r>
                  <w:r>
                    <w:rPr>
                      <w:sz w:val="21"/>
                    </w:rPr>
                    <w:t>2）涤纶面料，良好的遮光效果；</w:t>
                  </w:r>
                </w:p>
                <w:p>
                  <w:pPr>
                    <w:jc w:val="left"/>
                  </w:pPr>
                  <w:r>
                    <w:rPr>
                      <w:sz w:val="21"/>
                    </w:rPr>
                    <w:t>（</w:t>
                  </w:r>
                  <w:r>
                    <w:rPr>
                      <w:sz w:val="21"/>
                    </w:rPr>
                    <w:t>3）导轨：铝合金窗帘导轨，高光电泳工艺；</w:t>
                  </w:r>
                </w:p>
                <w:p>
                  <w:pPr>
                    <w:jc w:val="left"/>
                  </w:pPr>
                  <w:r>
                    <w:rPr>
                      <w:sz w:val="21"/>
                    </w:rPr>
                    <w:t>（</w:t>
                  </w:r>
                  <w:r>
                    <w:rPr>
                      <w:sz w:val="21"/>
                    </w:rPr>
                    <w:t>4）</w:t>
                  </w:r>
                  <w:r>
                    <w:rPr>
                      <w:sz w:val="21"/>
                    </w:rPr>
                    <w:t>4</w:t>
                  </w:r>
                  <w:r>
                    <w:rPr>
                      <w:sz w:val="21"/>
                    </w:rPr>
                    <w:t>个窗户尺寸</w:t>
                  </w:r>
                  <w:r>
                    <w:rPr>
                      <w:sz w:val="21"/>
                    </w:rPr>
                    <w:t>(高*宽)：1</w:t>
                  </w:r>
                  <w:r>
                    <w:rPr>
                      <w:sz w:val="21"/>
                    </w:rPr>
                    <w:t>60</w:t>
                  </w:r>
                  <w:r>
                    <w:rPr>
                      <w:sz w:val="21"/>
                    </w:rPr>
                    <w:t>0mm*4130mm；1</w:t>
                  </w:r>
                  <w:r>
                    <w:rPr>
                      <w:sz w:val="21"/>
                    </w:rPr>
                    <w:t>60</w:t>
                  </w:r>
                  <w:r>
                    <w:rPr>
                      <w:sz w:val="21"/>
                    </w:rPr>
                    <w:t>0mm*4130mm；15</w:t>
                  </w:r>
                  <w:r>
                    <w:rPr>
                      <w:sz w:val="21"/>
                    </w:rPr>
                    <w:t>8</w:t>
                  </w:r>
                  <w:r>
                    <w:rPr>
                      <w:sz w:val="21"/>
                    </w:rPr>
                    <w:t>0mm*2</w:t>
                  </w:r>
                  <w:r>
                    <w:rPr>
                      <w:sz w:val="21"/>
                    </w:rPr>
                    <w:t>1</w:t>
                  </w:r>
                  <w:r>
                    <w:rPr>
                      <w:sz w:val="21"/>
                    </w:rPr>
                    <w:t>30mm；15</w:t>
                  </w:r>
                  <w:r>
                    <w:rPr>
                      <w:sz w:val="21"/>
                    </w:rPr>
                    <w:t>8</w:t>
                  </w:r>
                  <w:r>
                    <w:rPr>
                      <w:sz w:val="21"/>
                    </w:rPr>
                    <w:t>0mm*23</w:t>
                  </w:r>
                  <w:r>
                    <w:rPr>
                      <w:sz w:val="21"/>
                    </w:rPr>
                    <w:t>6</w:t>
                  </w:r>
                  <w:r>
                    <w:rPr>
                      <w:sz w:val="21"/>
                    </w:rPr>
                    <w:t>0mm</w:t>
                  </w:r>
                </w:p>
                <w:p>
                  <w:pPr>
                    <w:jc w:val="left"/>
                  </w:pPr>
                  <w:r>
                    <w:rPr>
                      <w:sz w:val="21"/>
                    </w:rPr>
                    <w:t>5</w:t>
                  </w:r>
                  <w:r>
                    <w:rPr>
                      <w:sz w:val="21"/>
                    </w:rPr>
                    <w:t>.</w:t>
                  </w:r>
                  <w:r>
                    <w:rPr>
                      <w:sz w:val="21"/>
                    </w:rPr>
                    <w:t>防盗网：</w:t>
                  </w:r>
                  <w:r>
                    <w:rPr>
                      <w:sz w:val="21"/>
                    </w:rPr>
                    <w:t>3</w:t>
                  </w:r>
                  <w:r>
                    <w:rPr>
                      <w:sz w:val="21"/>
                    </w:rPr>
                    <w:t>04</w:t>
                  </w:r>
                  <w:r>
                    <w:rPr>
                      <w:sz w:val="21"/>
                    </w:rPr>
                    <w:t>不锈钢防盗网，</w:t>
                  </w:r>
                  <w:r>
                    <w:rPr>
                      <w:sz w:val="21"/>
                    </w:rPr>
                    <w:t>4</w:t>
                  </w:r>
                  <w:r>
                    <w:rPr>
                      <w:sz w:val="21"/>
                    </w:rPr>
                    <w:t>个窗户尺寸</w:t>
                  </w:r>
                  <w:r>
                    <w:rPr>
                      <w:sz w:val="21"/>
                    </w:rPr>
                    <w:t>(高*宽)：1</w:t>
                  </w:r>
                  <w:r>
                    <w:rPr>
                      <w:sz w:val="21"/>
                    </w:rPr>
                    <w:t>60</w:t>
                  </w:r>
                  <w:r>
                    <w:rPr>
                      <w:sz w:val="21"/>
                    </w:rPr>
                    <w:t>0mm*4130mm；1</w:t>
                  </w:r>
                  <w:r>
                    <w:rPr>
                      <w:sz w:val="21"/>
                    </w:rPr>
                    <w:t>60</w:t>
                  </w:r>
                  <w:r>
                    <w:rPr>
                      <w:sz w:val="21"/>
                    </w:rPr>
                    <w:t>0mm*4130mm；15</w:t>
                  </w:r>
                  <w:r>
                    <w:rPr>
                      <w:sz w:val="21"/>
                    </w:rPr>
                    <w:t>8</w:t>
                  </w:r>
                  <w:r>
                    <w:rPr>
                      <w:sz w:val="21"/>
                    </w:rPr>
                    <w:t>0mm*2</w:t>
                  </w:r>
                  <w:r>
                    <w:rPr>
                      <w:sz w:val="21"/>
                    </w:rPr>
                    <w:t>1</w:t>
                  </w:r>
                  <w:r>
                    <w:rPr>
                      <w:sz w:val="21"/>
                    </w:rPr>
                    <w:t>30mm；15</w:t>
                  </w:r>
                  <w:r>
                    <w:rPr>
                      <w:sz w:val="21"/>
                    </w:rPr>
                    <w:t>8</w:t>
                  </w:r>
                  <w:r>
                    <w:rPr>
                      <w:sz w:val="21"/>
                    </w:rPr>
                    <w:t>0mm*23</w:t>
                  </w:r>
                  <w:r>
                    <w:rPr>
                      <w:sz w:val="21"/>
                    </w:rPr>
                    <w:t>6</w:t>
                  </w:r>
                  <w:r>
                    <w:rPr>
                      <w:sz w:val="21"/>
                    </w:rPr>
                    <w:t>0mm 。</w:t>
                  </w:r>
                </w:p>
                <w:p>
                  <w:pPr>
                    <w:jc w:val="left"/>
                  </w:pPr>
                  <w:r>
                    <w:rPr>
                      <w:sz w:val="21"/>
                    </w:rPr>
                    <w:t>6.排气扇：安装4个排气扇，规格：功率≥35W，静音，带防虫珊。</w:t>
                  </w:r>
                </w:p>
                <w:p>
                  <w:pPr>
                    <w:jc w:val="left"/>
                  </w:pPr>
                  <w:r>
                    <w:rPr>
                      <w:sz w:val="21"/>
                    </w:rPr>
                    <w:t>7.照明：在教师机上方安装一个led光管盒（2支灯管），独立开关控制。</w:t>
                  </w:r>
                </w:p>
                <w:p>
                  <w:pPr>
                    <w:jc w:val="left"/>
                  </w:pPr>
                  <w:r>
                    <w:rPr>
                      <w:sz w:val="21"/>
                    </w:rPr>
                    <w:t>8.地台：长4400mm*宽1000mm*高25mm</w:t>
                  </w:r>
                </w:p>
                <w:p>
                  <w:pPr>
                    <w:jc w:val="left"/>
                  </w:pPr>
                  <w:r>
                    <w:rPr>
                      <w:sz w:val="21"/>
                    </w:rPr>
                    <w:t>9.配电箱</w:t>
                  </w:r>
                  <w:r>
                    <w:rPr>
                      <w:sz w:val="21"/>
                    </w:rPr>
                    <w:t>：</w:t>
                  </w:r>
                </w:p>
                <w:p>
                  <w:pPr>
                    <w:jc w:val="left"/>
                  </w:pPr>
                  <w:r>
                    <w:rPr>
                      <w:sz w:val="21"/>
                    </w:rPr>
                    <w:t>1）一路主开关64A；2）三路空调开关32A；3）10路32A常用开关；4）24位电箱一个。</w:t>
                  </w:r>
                </w:p>
                <w:p>
                  <w:pPr>
                    <w:jc w:val="left"/>
                  </w:pPr>
                  <w:r>
                    <w:rPr>
                      <w:sz w:val="21"/>
                    </w:rPr>
                    <w:t>10.服务器、云终端设备、多媒体教学设备、网络等设备的安装、连接与调试等集成服务。</w:t>
                  </w:r>
                </w:p>
              </w:tc>
              <w:tc>
                <w:tcPr>
                  <w:tcW w:type="dxa" w:w="408"/>
                  <w:tcBorders>
                    <w:top w:val="none" w:color="000000" w:sz="4"/>
                    <w:left w:val="single" w:color="000000" w:sz="4"/>
                    <w:bottom w:val="single" w:color="000000" w:sz="4"/>
                    <w:right w:val="single" w:color="000000" w:sz="4"/>
                  </w:tcBorders>
                  <w:vAlign w:val="top"/>
                </w:tcPr>
                <w:p>
                  <w:pPr>
                    <w:jc w:val="center"/>
                  </w:pPr>
                  <w:r>
                    <w:rPr>
                      <w:color w:val="000000"/>
                      <w:sz w:val="20"/>
                    </w:rPr>
                    <w:t>1项</w:t>
                  </w:r>
                </w:p>
              </w:tc>
            </w:tr>
          </w:tbl>
          <w:p>
            <w:r>
              <w:rPr/>
              <w:t xml:space="preserve"> </w:t>
            </w:r>
          </w:p>
          <w:p>
            <w:r>
              <w:rPr/>
              <w:t xml:space="preserve"> </w:t>
            </w:r>
          </w:p>
          <w:p>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云桌面管理系统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tbl>
            <w:tblPr>
              <w:tblBorders>
                <w:top w:val="none" w:color="000000" w:sz="4"/>
                <w:left w:val="none" w:color="000000" w:sz="4"/>
                <w:bottom w:val="none" w:color="000000" w:sz="4"/>
                <w:right w:val="none" w:color="000000" w:sz="4"/>
                <w:insideH w:val="none"/>
                <w:insideV w:val="none"/>
              </w:tblBorders>
            </w:tblPr>
            <w:tblGrid>
              <w:gridCol w:w="340"/>
              <w:gridCol w:w="643"/>
              <w:gridCol w:w="4192"/>
              <w:gridCol w:w="422"/>
            </w:tblGrid>
            <w:tr>
              <w:tc>
                <w:tcPr>
                  <w:tcW w:type="dxa" w:w="340"/>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643"/>
                  <w:tcBorders>
                    <w:top w:val="single" w:color="000000" w:sz="4"/>
                    <w:left w:val="none" w:color="000000" w:sz="4"/>
                    <w:bottom w:val="single" w:color="000000" w:sz="4"/>
                    <w:right w:val="single" w:color="000000" w:sz="4"/>
                  </w:tcBorders>
                  <w:vAlign w:val="top"/>
                </w:tcPr>
                <w:p>
                  <w:pPr>
                    <w:jc w:val="center"/>
                  </w:pPr>
                  <w:r>
                    <w:rPr>
                      <w:b/>
                      <w:sz w:val="21"/>
                    </w:rPr>
                    <w:t>货物名称</w:t>
                  </w:r>
                </w:p>
              </w:tc>
              <w:tc>
                <w:tcPr>
                  <w:tcW w:type="dxa" w:w="4192"/>
                  <w:tcBorders>
                    <w:top w:val="single" w:color="000000" w:sz="4"/>
                    <w:left w:val="none" w:color="000000" w:sz="4"/>
                    <w:bottom w:val="single" w:color="000000" w:sz="4"/>
                    <w:right w:val="single" w:color="000000" w:sz="4"/>
                  </w:tcBorders>
                  <w:vAlign w:val="top"/>
                </w:tcPr>
                <w:p>
                  <w:pPr>
                    <w:jc w:val="center"/>
                  </w:pPr>
                  <w:r>
                    <w:rPr>
                      <w:b/>
                      <w:sz w:val="21"/>
                    </w:rPr>
                    <w:t>技术参数要求</w:t>
                  </w:r>
                </w:p>
              </w:tc>
              <w:tc>
                <w:tcPr>
                  <w:tcW w:type="dxa" w:w="422"/>
                  <w:tcBorders>
                    <w:top w:val="single" w:color="000000" w:sz="4"/>
                    <w:left w:val="none" w:color="000000" w:sz="4"/>
                    <w:bottom w:val="single" w:color="000000" w:sz="4"/>
                    <w:right w:val="single" w:color="000000" w:sz="4"/>
                  </w:tcBorders>
                  <w:vAlign w:val="top"/>
                </w:tcPr>
                <w:p>
                  <w:pPr>
                    <w:jc w:val="center"/>
                  </w:pPr>
                  <w:r>
                    <w:rPr>
                      <w:b/>
                      <w:color w:val="000000"/>
                      <w:sz w:val="20"/>
                    </w:rPr>
                    <w:t>数量</w:t>
                  </w:r>
                </w:p>
              </w:tc>
            </w:tr>
            <w:tr>
              <w:tc>
                <w:tcPr>
                  <w:tcW w:type="dxa" w:w="340"/>
                  <w:tcBorders>
                    <w:top w:val="none" w:color="000000" w:sz="4"/>
                    <w:left w:val="single" w:color="000000" w:sz="4"/>
                    <w:bottom w:val="single" w:color="000000" w:sz="4"/>
                    <w:right w:val="single" w:color="000000" w:sz="4"/>
                  </w:tcBorders>
                  <w:vAlign w:val="top"/>
                </w:tcPr>
                <w:p>
                  <w:pPr>
                    <w:jc w:val="both"/>
                  </w:pPr>
                </w:p>
              </w:tc>
              <w:tc>
                <w:tcPr>
                  <w:tcW w:type="dxa" w:w="643"/>
                  <w:tcBorders>
                    <w:top w:val="none" w:color="000000" w:sz="4"/>
                    <w:left w:val="single" w:color="000000" w:sz="4"/>
                    <w:bottom w:val="single" w:color="000000" w:sz="4"/>
                    <w:right w:val="single" w:color="000000" w:sz="4"/>
                  </w:tcBorders>
                  <w:vAlign w:val="top"/>
                </w:tcPr>
                <w:p>
                  <w:pPr>
                    <w:jc w:val="center"/>
                  </w:pPr>
                  <w:r>
                    <w:rPr>
                      <w:sz w:val="21"/>
                    </w:rPr>
                    <w:t>云桌面</w:t>
                  </w:r>
                  <w:r>
                    <w:rPr>
                      <w:sz w:val="21"/>
                    </w:rPr>
                    <w:t>管理</w:t>
                  </w:r>
                  <w:r>
                    <w:rPr>
                      <w:sz w:val="21"/>
                    </w:rPr>
                    <w:t>系统</w:t>
                  </w:r>
                </w:p>
              </w:tc>
              <w:tc>
                <w:tcPr>
                  <w:tcW w:type="dxa" w:w="4192"/>
                  <w:tcBorders>
                    <w:top w:val="none" w:color="000000" w:sz="4"/>
                    <w:left w:val="single" w:color="000000" w:sz="4"/>
                    <w:bottom w:val="single" w:color="000000" w:sz="4"/>
                    <w:right w:val="single" w:color="000000" w:sz="4"/>
                  </w:tcBorders>
                  <w:vAlign w:val="top"/>
                </w:tcPr>
                <w:p>
                  <w:pPr>
                    <w:jc w:val="both"/>
                  </w:pPr>
                  <w:r>
                    <w:rPr>
                      <w:sz w:val="21"/>
                    </w:rPr>
                    <w:t>1</w:t>
                  </w:r>
                  <w:r>
                    <w:rPr>
                      <w:sz w:val="21"/>
                    </w:rPr>
                    <w:t>.</w:t>
                  </w:r>
                  <w:r>
                    <w:rPr>
                      <w:sz w:val="21"/>
                    </w:rPr>
                    <w:t>管理平台采用</w:t>
                  </w:r>
                  <w:r>
                    <w:rPr>
                      <w:sz w:val="21"/>
                    </w:rPr>
                    <w:t>B/S架构，无需安装客户端，管理员可以在任意地点使用PC、手机、平板电脑等设备访问WEB页面即可进行终端和桌面的管理，支持账号密码和微信扫码多种登录方式；</w:t>
                  </w:r>
                </w:p>
                <w:p>
                  <w:pPr>
                    <w:jc w:val="both"/>
                  </w:pPr>
                  <w:r>
                    <w:rPr>
                      <w:sz w:val="21"/>
                    </w:rPr>
                    <w:t>2.管理平台和终端支持IPv4、IPv6网络环境下的安装使用，可配置IPv4、IPv6网络信息；</w:t>
                  </w:r>
                </w:p>
                <w:p>
                  <w:pPr>
                    <w:jc w:val="both"/>
                  </w:pPr>
                  <w:r>
                    <w:rPr>
                      <w:sz w:val="21"/>
                    </w:rPr>
                    <w:t>3</w:t>
                  </w:r>
                  <w:r>
                    <w:rPr>
                      <w:sz w:val="21"/>
                    </w:rPr>
                    <w:t>.</w:t>
                  </w:r>
                  <w:r>
                    <w:rPr>
                      <w:sz w:val="21"/>
                    </w:rPr>
                    <w:t>支持跨校区分散部署，云服务器可部署在不同的校区，单一</w:t>
                  </w:r>
                  <w:r>
                    <w:rPr>
                      <w:sz w:val="21"/>
                    </w:rPr>
                    <w:t>IP地址即可访问和管理所有区域，支持多区域切换管理，支持新增区域，便于构建校级云桌面同一管理平台，满足跨校区云桌面建设；</w:t>
                  </w:r>
                  <w:r>
                    <w:rPr>
                      <w:sz w:val="21"/>
                    </w:rPr>
                    <w:t xml:space="preserve"> </w:t>
                  </w:r>
                </w:p>
                <w:p>
                  <w:pPr>
                    <w:jc w:val="both"/>
                  </w:pPr>
                  <w:r>
                    <w:rPr>
                      <w:sz w:val="21"/>
                    </w:rPr>
                    <w:t>4</w:t>
                  </w:r>
                  <w:r>
                    <w:rPr>
                      <w:sz w:val="21"/>
                    </w:rPr>
                    <w:t>.</w:t>
                  </w:r>
                  <w:r>
                    <w:rPr>
                      <w:sz w:val="21"/>
                    </w:rPr>
                    <w:t>支持跨校区多区域资源汇总分析，可统计所有区域的桌面云部署信息，至少包括服务器数量，</w:t>
                  </w:r>
                  <w:r>
                    <w:rPr>
                      <w:sz w:val="21"/>
                    </w:rPr>
                    <w:t>CPU、内存、存储使用率，教室数量，终端数量，桌面数量等，也可统计分析区域内桌面使用次数，桌面场景使用时长，机房日均使用时长等信息，便于学校掌握桌面云整体建设使情况；</w:t>
                  </w:r>
                </w:p>
                <w:p>
                  <w:pPr>
                    <w:jc w:val="both"/>
                  </w:pPr>
                  <w:r>
                    <w:rPr>
                      <w:sz w:val="21"/>
                    </w:rPr>
                    <w:t>5</w:t>
                  </w:r>
                  <w:r>
                    <w:rPr>
                      <w:sz w:val="21"/>
                    </w:rPr>
                    <w:t>.</w:t>
                  </w:r>
                  <w:r>
                    <w:rPr>
                      <w:sz w:val="21"/>
                    </w:rPr>
                    <w:t>终端支持裸机部署模式，本地无操作系统也可连接服务器部署客户端，且局域网内任意安装好</w:t>
                  </w:r>
                  <w:r>
                    <w:rPr>
                      <w:sz w:val="21"/>
                    </w:rPr>
                    <w:t>VOI底层客户端的终端，都可以给其他终端传底层客户端系统，便于终端和服务器处在跨VLAN环境下的环境部署；</w:t>
                  </w:r>
                </w:p>
                <w:p>
                  <w:pPr>
                    <w:jc w:val="both"/>
                  </w:pPr>
                  <w:r>
                    <w:rPr>
                      <w:sz w:val="21"/>
                    </w:rPr>
                    <w:t>6.系统下发支持BT和广播两种模式，广播支持跨VLAN环境且无需第三方软硬件设备，以提升系统下发效率；</w:t>
                  </w:r>
                </w:p>
                <w:p>
                  <w:pPr>
                    <w:jc w:val="both"/>
                  </w:pPr>
                  <w:r>
                    <w:rPr>
                      <w:sz w:val="21"/>
                    </w:rPr>
                    <w:t>7</w:t>
                  </w:r>
                  <w:r>
                    <w:rPr>
                      <w:sz w:val="21"/>
                    </w:rPr>
                    <w:t>.</w:t>
                  </w:r>
                  <w:r>
                    <w:rPr>
                      <w:sz w:val="21"/>
                    </w:rPr>
                    <w:t>支持端对端数据智能传输，可将已有镜像的终端作为发送端，给同教室内其他终端下发镜像，提升系统下发效率</w:t>
                  </w:r>
                  <w:r>
                    <w:rPr>
                      <w:sz w:val="21"/>
                    </w:rPr>
                    <w:t>；</w:t>
                  </w:r>
                </w:p>
                <w:p>
                  <w:pPr>
                    <w:jc w:val="both"/>
                  </w:pPr>
                  <w:r>
                    <w:rPr>
                      <w:sz w:val="21"/>
                    </w:rPr>
                    <w:t>8</w:t>
                  </w:r>
                  <w:r>
                    <w:rPr>
                      <w:sz w:val="21"/>
                    </w:rPr>
                    <w:t>.</w:t>
                  </w:r>
                  <w:r>
                    <w:rPr>
                      <w:sz w:val="21"/>
                    </w:rPr>
                    <w:t>支持</w:t>
                  </w:r>
                  <w:r>
                    <w:rPr>
                      <w:sz w:val="21"/>
                    </w:rPr>
                    <w:t xml:space="preserve">USB急救恢复，可将系统备份导出到U盘，也可以通过U盘恢复系统，恢复后的终端系统可以直接被管理平台直接识别并管理；（提供第三方检测机构出具的具备CNAS、CMA标识的产品功能测试报告复印件）   </w:t>
                  </w:r>
                </w:p>
                <w:p>
                  <w:pPr>
                    <w:jc w:val="both"/>
                  </w:pPr>
                  <w:r>
                    <w:rPr>
                      <w:sz w:val="21"/>
                    </w:rPr>
                    <w:t>9.支持软件方式实现跨VLAN环境下的终端网络唤醒，无需第三方硬件设备；</w:t>
                  </w:r>
                </w:p>
                <w:p>
                  <w:pPr>
                    <w:jc w:val="both"/>
                  </w:pPr>
                  <w:r>
                    <w:rPr>
                      <w:sz w:val="21"/>
                    </w:rPr>
                    <w:t>10</w:t>
                  </w:r>
                  <w:r>
                    <w:rPr>
                      <w:sz w:val="21"/>
                    </w:rPr>
                    <w:t>.</w:t>
                  </w:r>
                  <w:r>
                    <w:rPr>
                      <w:sz w:val="21"/>
                    </w:rPr>
                    <w:t>支持在</w:t>
                  </w:r>
                  <w:r>
                    <w:rPr>
                      <w:sz w:val="21"/>
                    </w:rPr>
                    <w:t>WEB管理平台上直接对服务器SSD硬盘进行性能测试（非命令行的交互方式），不依赖第三方测试工具，可获取SSD硬盘16K随机读、顺序写数值，并给出优或良或中或差的综合分值；注册模板时可指定模板应用的教室范围，不同管理员能分权限对模板进行管理，自主隐藏无权限的模板，也可对模板进行转让与共享；（需提供设备进行现场演示）</w:t>
                  </w:r>
                </w:p>
                <w:p>
                  <w:pPr>
                    <w:jc w:val="both"/>
                  </w:pPr>
                  <w:r>
                    <w:rPr>
                      <w:sz w:val="21"/>
                    </w:rPr>
                    <w:t>11</w:t>
                  </w:r>
                  <w:r>
                    <w:rPr>
                      <w:sz w:val="21"/>
                    </w:rPr>
                    <w:t>.</w:t>
                  </w:r>
                  <w:r>
                    <w:rPr>
                      <w:sz w:val="21"/>
                    </w:rPr>
                    <w:t>新增教学场景时，支持对场景桌面配置磁盘缓存、</w:t>
                  </w:r>
                  <w:r>
                    <w:rPr>
                      <w:sz w:val="21"/>
                    </w:rPr>
                    <w:t>USB2.0端口或者USB3.0重定向特性，新增教学桌面、个人桌面时候都可独立设定系统盘和数据盘的每次还原，每天还原，每周还原、每月还原或不还原；针对考试环境部署后的脏数据，可分别对VDI、VOI场景桌面手动进行立即还原，还可对VDI场景桌面选择是否立即还原数据盘</w:t>
                  </w:r>
                  <w:r>
                    <w:rPr>
                      <w:sz w:val="21"/>
                    </w:rPr>
                    <w:t>；</w:t>
                  </w:r>
                  <w:r>
                    <w:rPr>
                      <w:sz w:val="21"/>
                    </w:rPr>
                    <w:t>（需提供设备进行现场演示）</w:t>
                  </w:r>
                </w:p>
                <w:p>
                  <w:pPr>
                    <w:jc w:val="both"/>
                  </w:pPr>
                  <w:r>
                    <w:rPr>
                      <w:sz w:val="21"/>
                    </w:rPr>
                    <w:t>▲12</w:t>
                  </w:r>
                  <w:r>
                    <w:rPr>
                      <w:sz w:val="21"/>
                    </w:rPr>
                    <w:t>.</w:t>
                  </w:r>
                  <w:r>
                    <w:rPr>
                      <w:sz w:val="21"/>
                    </w:rPr>
                    <w:t>支持底层</w:t>
                  </w:r>
                  <w:r>
                    <w:rPr>
                      <w:sz w:val="21"/>
                    </w:rPr>
                    <w:t>Linux系统手动备份保护和实时自动备份保护两种模式，提供有关于Linux文件系统的多点备份和实时保护的国家主管行政机关认可的相关知识产权证明文件复印件；</w:t>
                  </w:r>
                </w:p>
                <w:p>
                  <w:pPr>
                    <w:jc w:val="both"/>
                  </w:pPr>
                  <w:r>
                    <w:rPr>
                      <w:sz w:val="21"/>
                    </w:rPr>
                    <w:t>13</w:t>
                  </w:r>
                  <w:r>
                    <w:rPr>
                      <w:sz w:val="21"/>
                    </w:rPr>
                    <w:t>.</w:t>
                  </w:r>
                  <w:r>
                    <w:rPr>
                      <w:sz w:val="21"/>
                    </w:rPr>
                    <w:t>可随时在管理平台根据教学需求修改教学桌面还原属性，可单独分别为系统盘和数据盘设置每次还原，每天还原，每周还原、每月还原或不还原</w:t>
                  </w:r>
                  <w:r>
                    <w:rPr>
                      <w:sz w:val="21"/>
                    </w:rPr>
                    <w:t>；</w:t>
                  </w:r>
                </w:p>
                <w:p>
                  <w:pPr>
                    <w:jc w:val="both"/>
                  </w:pPr>
                  <w:r>
                    <w:rPr>
                      <w:sz w:val="21"/>
                    </w:rPr>
                    <w:t>14</w:t>
                  </w:r>
                  <w:r>
                    <w:rPr>
                      <w:sz w:val="21"/>
                    </w:rPr>
                    <w:t>.</w:t>
                  </w:r>
                  <w:r>
                    <w:rPr>
                      <w:sz w:val="21"/>
                    </w:rPr>
                    <w:t>支持个人桌面镜像分层技术，可直接在管理平台设置分层空间大小，用于存储用户系统盘产生的数据，个人桌面模板统一更新时，可保留个性化教学办公数据；</w:t>
                  </w:r>
                </w:p>
                <w:p>
                  <w:pPr>
                    <w:jc w:val="both"/>
                  </w:pPr>
                  <w:r>
                    <w:rPr>
                      <w:sz w:val="21"/>
                    </w:rPr>
                    <w:t>15</w:t>
                  </w:r>
                  <w:r>
                    <w:rPr>
                      <w:sz w:val="21"/>
                    </w:rPr>
                    <w:t>.</w:t>
                  </w:r>
                  <w:r>
                    <w:rPr>
                      <w:sz w:val="21"/>
                    </w:rPr>
                    <w:t>支持</w:t>
                  </w:r>
                  <w:r>
                    <w:rPr>
                      <w:sz w:val="21"/>
                    </w:rPr>
                    <w:t>windows系统下的屏幕水印功能，可设置水印显示位置、字体大小、颜色、透明度，可设置显示内容，包括桌面计算机名，终端序号，桌面IP地址，MAC地址，还原方式等信息，还可自定义显示内容，进入系统后，桌面右上角可置顶显示设置的信息水印，便于管理员维护时快速查找对应的终端；（提供功能截图）</w:t>
                  </w:r>
                </w:p>
                <w:p>
                  <w:pPr>
                    <w:jc w:val="both"/>
                  </w:pPr>
                  <w:r>
                    <w:rPr>
                      <w:sz w:val="21"/>
                    </w:rPr>
                    <w:t>16</w:t>
                  </w:r>
                  <w:r>
                    <w:rPr>
                      <w:sz w:val="21"/>
                    </w:rPr>
                    <w:t>.</w:t>
                  </w:r>
                  <w:r>
                    <w:rPr>
                      <w:sz w:val="21"/>
                    </w:rPr>
                    <w:t>支持硬件虚拟化功能，开启后针对硬件识别码的软件可实现软件统一注册，大幅度降低激活软件带来的工作量；</w:t>
                  </w:r>
                </w:p>
                <w:p>
                  <w:pPr>
                    <w:jc w:val="both"/>
                  </w:pPr>
                  <w:r>
                    <w:rPr>
                      <w:sz w:val="21"/>
                    </w:rPr>
                    <w:t>17.可分别对VDI终端、VOI终端进行隔位筛选：支持以单数或者双数进行序号筛选，例如对VDI终端以单数序号筛选后，可以统一执行删除、手动排序、自动排序、查阅动态密码；（需提供设备进行现场演示）</w:t>
                  </w:r>
                </w:p>
                <w:p>
                  <w:pPr>
                    <w:jc w:val="both"/>
                  </w:pPr>
                  <w:r>
                    <w:rPr>
                      <w:sz w:val="21"/>
                    </w:rPr>
                    <w:t>▲18</w:t>
                  </w:r>
                  <w:r>
                    <w:rPr>
                      <w:sz w:val="21"/>
                    </w:rPr>
                    <w:t>.</w:t>
                  </w:r>
                  <w:r>
                    <w:rPr>
                      <w:sz w:val="21"/>
                    </w:rPr>
                    <w:t>支持模板分享链接，管理员可以将编辑模板的链接分享给需要编辑模板的用户，在浏览器中直接输入链接地址即可对模板进行编辑，支持分享日期、分享链接的失效期设置。（提供第三方检测机构出具的具备</w:t>
                  </w:r>
                  <w:r>
                    <w:rPr>
                      <w:sz w:val="21"/>
                    </w:rPr>
                    <w:t xml:space="preserve">CNAS、CMA标识的产品功能测试报告复印件）   </w:t>
                  </w:r>
                </w:p>
                <w:p>
                  <w:pPr>
                    <w:jc w:val="both"/>
                  </w:pPr>
                  <w:r>
                    <w:rPr>
                      <w:sz w:val="21"/>
                    </w:rPr>
                    <w:t>19</w:t>
                  </w:r>
                  <w:r>
                    <w:rPr>
                      <w:sz w:val="21"/>
                    </w:rPr>
                    <w:t>.</w:t>
                  </w:r>
                  <w:r>
                    <w:rPr>
                      <w:sz w:val="21"/>
                    </w:rPr>
                    <w:t>支持消息发布功能，管理员可直接通过</w:t>
                  </w:r>
                  <w:r>
                    <w:rPr>
                      <w:sz w:val="21"/>
                    </w:rPr>
                    <w:t>web管理平台给终端发送消息，在场景选单页面即可接收消息（还没进入windows系统环境下），消息可在屏幕上方从右到左滚动显示，在滚动显示消息的状态下，点击选择进入win10系统后，可看到win10系统的完整开机流程；</w:t>
                  </w:r>
                </w:p>
                <w:p>
                  <w:pPr>
                    <w:jc w:val="both"/>
                  </w:pPr>
                  <w:r>
                    <w:rPr>
                      <w:sz w:val="21"/>
                    </w:rPr>
                    <w:t>▲20</w:t>
                  </w:r>
                  <w:r>
                    <w:rPr>
                      <w:sz w:val="21"/>
                    </w:rPr>
                    <w:t>.</w:t>
                  </w:r>
                  <w:r>
                    <w:rPr>
                      <w:sz w:val="21"/>
                    </w:rPr>
                    <w:t>提供的桌面服务平台须通过符合</w:t>
                  </w:r>
                  <w:r>
                    <w:rPr>
                      <w:sz w:val="21"/>
                    </w:rPr>
                    <w:t>GB/T 25000.51-2016标准的终端连接模式、交换机拓扑、数据概览、SSD测速、课表编排等功能测试，</w:t>
                  </w:r>
                  <w:r>
                    <w:rPr>
                      <w:sz w:val="21"/>
                    </w:rPr>
                    <w:t>投标时</w:t>
                  </w:r>
                  <w:r>
                    <w:rPr>
                      <w:sz w:val="21"/>
                    </w:rPr>
                    <w:t>提供</w:t>
                  </w:r>
                  <w:r>
                    <w:rPr>
                      <w:sz w:val="21"/>
                    </w:rPr>
                    <w:t>第三方具有</w:t>
                  </w:r>
                  <w:r>
                    <w:rPr>
                      <w:sz w:val="21"/>
                    </w:rPr>
                    <w:t>CNAS、CMA</w:t>
                  </w:r>
                  <w:r>
                    <w:rPr>
                      <w:sz w:val="21"/>
                    </w:rPr>
                    <w:t>认证标志</w:t>
                  </w:r>
                  <w:r>
                    <w:rPr>
                      <w:sz w:val="21"/>
                    </w:rPr>
                    <w:t>检测机构出具的</w:t>
                  </w:r>
                  <w:r>
                    <w:rPr>
                      <w:sz w:val="21"/>
                    </w:rPr>
                    <w:t>产品功能测试报告复印件；</w:t>
                  </w:r>
                </w:p>
                <w:p>
                  <w:pPr>
                    <w:jc w:val="both"/>
                  </w:pPr>
                  <w:r>
                    <w:rPr>
                      <w:sz w:val="21"/>
                    </w:rPr>
                    <w:t>21</w:t>
                  </w:r>
                  <w:r>
                    <w:rPr>
                      <w:sz w:val="21"/>
                    </w:rPr>
                    <w:t>.</w:t>
                  </w:r>
                  <w:r>
                    <w:rPr>
                      <w:sz w:val="21"/>
                    </w:rPr>
                    <w:t>支持消息发布功能，管理员可直接通过</w:t>
                  </w:r>
                  <w:r>
                    <w:rPr>
                      <w:sz w:val="21"/>
                    </w:rPr>
                    <w:t xml:space="preserve">web管理平台给终端发送消息，终端无需进入操作系统，在场景选单页面即可接收消息，消息可在屏幕上方显示。  </w:t>
                  </w:r>
                </w:p>
                <w:p>
                  <w:pPr>
                    <w:jc w:val="both"/>
                  </w:pPr>
                  <w:r>
                    <w:rPr>
                      <w:sz w:val="21"/>
                    </w:rPr>
                    <w:t>22</w:t>
                  </w:r>
                  <w:r>
                    <w:rPr>
                      <w:sz w:val="21"/>
                    </w:rPr>
                    <w:t>.</w:t>
                  </w:r>
                  <w:r>
                    <w:rPr>
                      <w:sz w:val="21"/>
                    </w:rPr>
                    <w:t>为提升部署效率，教室终端支持按需分配交换机，可设定交换机分组匹配部署，并可生成交换机拓扑图。（提供功能截图）</w:t>
                  </w:r>
                </w:p>
                <w:p>
                  <w:pPr>
                    <w:jc w:val="both"/>
                  </w:pPr>
                  <w:r>
                    <w:rPr>
                      <w:sz w:val="21"/>
                    </w:rPr>
                    <w:t>23</w:t>
                  </w:r>
                  <w:r>
                    <w:rPr>
                      <w:sz w:val="21"/>
                    </w:rPr>
                    <w:t>.</w:t>
                  </w:r>
                  <w:r>
                    <w:rPr>
                      <w:sz w:val="21"/>
                    </w:rPr>
                    <w:t xml:space="preserve"> </w:t>
                  </w:r>
                  <w:r>
                    <w:rPr>
                      <w:sz w:val="21"/>
                    </w:rPr>
                    <w:t>无需安装任何客户端，管理员在办公室即可通过网页浏览器上直接编辑模板镜像，对模板的操作最少应实现加载</w:t>
                  </w:r>
                  <w:r>
                    <w:rPr>
                      <w:sz w:val="21"/>
                    </w:rPr>
                    <w:t>GuestTool、开关机、上传文件、更新模板、加载安装包功能，可以直接将笔记本电脑的文件拖动到网页浏览器打开的模板虚拟机；还可支持模板以网页链接的方式进行生成，并可设定模板网页链接的有效期</w:t>
                  </w:r>
                  <w:r>
                    <w:rPr>
                      <w:sz w:val="21"/>
                    </w:rPr>
                    <w:t>。（需提供设备进行现场演示）</w:t>
                  </w:r>
                </w:p>
                <w:p>
                  <w:pPr>
                    <w:jc w:val="both"/>
                  </w:pPr>
                  <w:r>
                    <w:rPr>
                      <w:sz w:val="21"/>
                    </w:rPr>
                    <w:t>▲24</w:t>
                  </w:r>
                  <w:r>
                    <w:rPr>
                      <w:sz w:val="21"/>
                    </w:rPr>
                    <w:t>.</w:t>
                  </w:r>
                  <w:r>
                    <w:rPr>
                      <w:sz w:val="21"/>
                    </w:rPr>
                    <w:t>桌面云系统支持教学网盘功能，须通过符合</w:t>
                  </w:r>
                  <w:r>
                    <w:rPr>
                      <w:sz w:val="21"/>
                    </w:rPr>
                    <w:t>GB/T 25000.51-2016标准的关系管理、服务器主机管理、高级管理、系统监控、主页管理、信息查询等功能测试，提供具有国家认可资质的第三方检测机构所出具的测试报告复印件</w:t>
                  </w:r>
                </w:p>
                <w:p>
                  <w:pPr>
                    <w:jc w:val="both"/>
                  </w:pPr>
                  <w:r>
                    <w:rPr>
                      <w:sz w:val="21"/>
                    </w:rPr>
                    <w:t>25</w:t>
                  </w:r>
                  <w:r>
                    <w:rPr>
                      <w:sz w:val="21"/>
                    </w:rPr>
                    <w:t>.</w:t>
                  </w:r>
                  <w:r>
                    <w:rPr>
                      <w:sz w:val="21"/>
                    </w:rPr>
                    <w:t>支持在虚拟桌面管理平台上编辑学期课表</w:t>
                  </w:r>
                  <w:r>
                    <w:rPr>
                      <w:sz w:val="21"/>
                    </w:rPr>
                    <w:t>(无需依赖第三方软件或脚本)，可设置学期开始和结束时间、每节课起始时间（支持单双周排课），可直接将桌面模板拖拽到课表中，例如将win7</w:t>
                  </w:r>
                  <w:r>
                    <w:rPr>
                      <w:sz w:val="21"/>
                    </w:rPr>
                    <w:t>或者</w:t>
                  </w:r>
                  <w:r>
                    <w:rPr>
                      <w:sz w:val="21"/>
                    </w:rPr>
                    <w:t>win</w:t>
                  </w:r>
                  <w:r>
                    <w:rPr>
                      <w:sz w:val="21"/>
                    </w:rPr>
                    <w:t>10</w:t>
                  </w:r>
                  <w:r>
                    <w:rPr>
                      <w:sz w:val="21"/>
                    </w:rPr>
                    <w:t>镜像拖动到周一的第</w:t>
                  </w:r>
                  <w:r>
                    <w:rPr>
                      <w:sz w:val="21"/>
                    </w:rPr>
                    <w:t xml:space="preserve">3、4节课（需提供设备进行现场演示）   </w:t>
                  </w:r>
                </w:p>
                <w:p>
                  <w:pPr>
                    <w:jc w:val="both"/>
                  </w:pPr>
                  <w:r>
                    <w:rPr>
                      <w:sz w:val="21"/>
                    </w:rPr>
                    <w:t>2</w:t>
                  </w:r>
                  <w:r>
                    <w:rPr>
                      <w:sz w:val="21"/>
                    </w:rPr>
                    <w:t>6.</w:t>
                  </w:r>
                  <w:r>
                    <w:rPr>
                      <w:sz w:val="21"/>
                    </w:rPr>
                    <w:t>支持提供虚拟服务器的系统桌面功能，可在管理平台直接选择安装包创建虚拟机，能够选择虚拟机的</w:t>
                  </w:r>
                  <w:r>
                    <w:rPr>
                      <w:sz w:val="21"/>
                    </w:rPr>
                    <w:t>CPU/内存/系统盘/数据盘/网络，能够设定虚拟机开机随宿主机启动，可用于搭建考试服务器等应用服务；（提供第三方检测机构出具的具备CNAS标识的产品功能测试报告复印件</w:t>
                  </w:r>
                  <w:r>
                    <w:rPr>
                      <w:sz w:val="21"/>
                    </w:rPr>
                    <w:t>，并加盖投标人公章</w:t>
                  </w:r>
                  <w:r>
                    <w:rPr>
                      <w:sz w:val="21"/>
                    </w:rPr>
                    <w:t>）</w:t>
                  </w:r>
                  <w:r>
                    <w:rPr>
                      <w:sz w:val="21"/>
                    </w:rPr>
                    <w:t xml:space="preserve">  </w:t>
                  </w:r>
                </w:p>
                <w:p>
                  <w:pPr>
                    <w:jc w:val="both"/>
                  </w:pPr>
                  <w:r>
                    <w:rPr>
                      <w:sz w:val="21"/>
                    </w:rPr>
                    <w:t>2</w:t>
                  </w:r>
                  <w:r>
                    <w:rPr>
                      <w:sz w:val="21"/>
                    </w:rPr>
                    <w:t>7</w:t>
                  </w:r>
                  <w:r>
                    <w:rPr>
                      <w:sz w:val="21"/>
                    </w:rPr>
                    <w:t>.</w:t>
                  </w:r>
                  <w:r>
                    <w:rPr>
                      <w:sz w:val="21"/>
                    </w:rPr>
                    <w:t>兼容使用虚拟机并进行分布式存储级别的安全冗余</w:t>
                  </w:r>
                  <w:r>
                    <w:rPr>
                      <w:sz w:val="21"/>
                    </w:rPr>
                    <w:t>；</w:t>
                  </w:r>
                </w:p>
                <w:p>
                  <w:pPr>
                    <w:jc w:val="both"/>
                  </w:pPr>
                  <w:r>
                    <w:rPr>
                      <w:sz w:val="21"/>
                    </w:rPr>
                    <w:t>▲2</w:t>
                  </w:r>
                  <w:r>
                    <w:rPr>
                      <w:sz w:val="21"/>
                    </w:rPr>
                    <w:t>8</w:t>
                  </w:r>
                  <w:r>
                    <w:rPr>
                      <w:sz w:val="21"/>
                    </w:rPr>
                    <w:t>.</w:t>
                  </w:r>
                  <w:r>
                    <w:rPr>
                      <w:sz w:val="21"/>
                    </w:rPr>
                    <w:t>底层服务器虚拟化软件需通过《信息技术虚拟机管理通用要求》（</w:t>
                  </w:r>
                  <w:r>
                    <w:rPr>
                      <w:sz w:val="21"/>
                    </w:rPr>
                    <w:t>GB/T 35293-2017），《信息技术弹性计算应用接口》（GB∕T 31915-2015）测评；（提供国家认可的第三方检测机构出具的证明资料与符合该两项测评标准要求的测试报告复印件，并加盖投标人公章）。</w:t>
                  </w:r>
                </w:p>
                <w:p>
                  <w:pPr>
                    <w:jc w:val="both"/>
                  </w:pPr>
                  <w:r>
                    <w:rPr>
                      <w:sz w:val="21"/>
                    </w:rPr>
                    <w:t>29.</w:t>
                  </w:r>
                  <w:r>
                    <w:rPr>
                      <w:sz w:val="21"/>
                    </w:rPr>
                    <w:t>提供系统操作日志功能，可独立查看管理日志和用户日志（包括操作内容，操作者，操作时间，登录主机</w:t>
                  </w:r>
                  <w:r>
                    <w:rPr>
                      <w:sz w:val="21"/>
                    </w:rPr>
                    <w:t>IP，操作对象等），便于管理员精确定位操作记录，可设置日志的保留时间，如一个月，一年，永久等，支持对日志文件的备份，包括立即备份和自动备份，可设置自动备份周期、备份时间、备份文件保留数量；（提供功能截图）</w:t>
                  </w:r>
                </w:p>
                <w:p>
                  <w:pPr>
                    <w:jc w:val="both"/>
                  </w:pPr>
                  <w:r>
                    <w:rPr>
                      <w:sz w:val="21"/>
                    </w:rPr>
                    <w:t>3</w:t>
                  </w:r>
                  <w:r>
                    <w:rPr>
                      <w:sz w:val="21"/>
                    </w:rPr>
                    <w:t>0</w:t>
                  </w:r>
                  <w:r>
                    <w:rPr>
                      <w:sz w:val="21"/>
                    </w:rPr>
                    <w:t>.单个界面下终端管理除了支持右击选定终端进行修改IP（最少包括IPv4、IPv6），设定终端数据盘还原属性（最少按次、按天、按周、按月还原）、端对端同传、无盘确认安装、进入维护模式、单双数序号筛选。终端管理的下发中心还支持保留一周或一周以上的桌面下发记录，包括下发的终端名称，场景名称，场景类型，起止时间，下发状态等信息，便于后期可追溯；</w:t>
                  </w:r>
                </w:p>
                <w:p>
                  <w:pPr>
                    <w:jc w:val="both"/>
                  </w:pPr>
                  <w:r>
                    <w:rPr>
                      <w:sz w:val="21"/>
                    </w:rPr>
                    <w:t>▲3</w:t>
                  </w:r>
                  <w:r>
                    <w:rPr>
                      <w:sz w:val="21"/>
                    </w:rPr>
                    <w:t>1.</w:t>
                  </w:r>
                  <w:r>
                    <w:rPr>
                      <w:sz w:val="21"/>
                    </w:rPr>
                    <w:t>兼容多个不同品牌的旧</w:t>
                  </w:r>
                  <w:r>
                    <w:rPr>
                      <w:sz w:val="21"/>
                    </w:rPr>
                    <w:t>PC客户端，可将老旧PC客户端接入平台进行统一部署系统软件，提供具有给多个客户端快速部署软件的方法的国家主管行政机关认可的相关知识产权证明文件复印件；</w:t>
                  </w:r>
                </w:p>
                <w:p>
                  <w:pPr>
                    <w:jc w:val="both"/>
                  </w:pPr>
                  <w:r>
                    <w:rPr>
                      <w:sz w:val="21"/>
                    </w:rPr>
                    <w:t>3</w:t>
                  </w:r>
                  <w:r>
                    <w:rPr>
                      <w:sz w:val="21"/>
                    </w:rPr>
                    <w:t>2.</w:t>
                  </w:r>
                  <w:r>
                    <w:rPr>
                      <w:sz w:val="21"/>
                    </w:rPr>
                    <w:t>可支持终端跨</w:t>
                  </w:r>
                  <w:r>
                    <w:rPr>
                      <w:sz w:val="21"/>
                    </w:rPr>
                    <w:t>VLAN、路由、802.1X、硬件防火墙等复杂网络环境的部署；</w:t>
                  </w:r>
                </w:p>
                <w:p>
                  <w:pPr>
                    <w:jc w:val="both"/>
                  </w:pPr>
                  <w:r>
                    <w:rPr>
                      <w:sz w:val="21"/>
                    </w:rPr>
                    <w:t>3</w:t>
                  </w:r>
                  <w:r>
                    <w:rPr>
                      <w:sz w:val="21"/>
                    </w:rPr>
                    <w:t>3</w:t>
                  </w:r>
                  <w:r>
                    <w:rPr>
                      <w:sz w:val="21"/>
                    </w:rPr>
                    <w:t>.支持WinXP/Win7/Win8/Win10等Windows系统、Ubuntu/Redhat等Linux系统的发布；</w:t>
                  </w:r>
                </w:p>
                <w:p>
                  <w:pPr>
                    <w:jc w:val="both"/>
                  </w:pPr>
                  <w:r>
                    <w:rPr>
                      <w:sz w:val="21"/>
                    </w:rPr>
                    <w:t>3</w:t>
                  </w:r>
                  <w:r>
                    <w:rPr>
                      <w:sz w:val="21"/>
                    </w:rPr>
                    <w:t>4</w:t>
                  </w:r>
                  <w:r>
                    <w:rPr>
                      <w:sz w:val="21"/>
                    </w:rPr>
                    <w:t>.</w:t>
                  </w:r>
                  <w:r>
                    <w:rPr>
                      <w:sz w:val="21"/>
                    </w:rPr>
                    <w:t>支持服务器、存储、网络设备厂商，支持主流</w:t>
                  </w:r>
                  <w:r>
                    <w:rPr>
                      <w:sz w:val="21"/>
                    </w:rPr>
                    <w:t>PC厂商，不绑定终端设备；兼容多种架构和类型的终端，包括:X86云终端等，可根据实际应用灵活选择终端配置</w:t>
                  </w:r>
                </w:p>
                <w:p>
                  <w:pPr>
                    <w:jc w:val="both"/>
                  </w:pPr>
                  <w:r>
                    <w:rPr>
                      <w:sz w:val="21"/>
                    </w:rPr>
                    <w:t>3</w:t>
                  </w:r>
                  <w:r>
                    <w:rPr>
                      <w:sz w:val="21"/>
                    </w:rPr>
                    <w:t>5.</w:t>
                  </w:r>
                  <w:r>
                    <w:rPr>
                      <w:sz w:val="21"/>
                    </w:rPr>
                    <w:t>支持断网离线使用，不会因服务器宕机、网络终端而影响使用</w:t>
                  </w:r>
                  <w:r>
                    <w:rPr>
                      <w:sz w:val="21"/>
                    </w:rPr>
                    <w:t>；</w:t>
                  </w:r>
                </w:p>
                <w:p>
                  <w:pPr>
                    <w:jc w:val="both"/>
                  </w:pPr>
                  <w:r>
                    <w:rPr>
                      <w:sz w:val="21"/>
                    </w:rPr>
                    <w:t>36.</w:t>
                  </w:r>
                  <w:r>
                    <w:rPr>
                      <w:sz w:val="21"/>
                    </w:rPr>
                    <w:t>为保证产品兼容性、便于维护与管理，要求与云</w:t>
                  </w:r>
                  <w:r>
                    <w:rPr>
                      <w:sz w:val="21"/>
                    </w:rPr>
                    <w:t>桌面管理节点</w:t>
                  </w:r>
                  <w:r>
                    <w:rPr>
                      <w:sz w:val="21"/>
                    </w:rPr>
                    <w:t>、</w:t>
                  </w:r>
                  <w:r>
                    <w:rPr>
                      <w:sz w:val="21"/>
                    </w:rPr>
                    <w:t>云桌面管理系统</w:t>
                  </w:r>
                  <w:r>
                    <w:rPr>
                      <w:sz w:val="21"/>
                    </w:rPr>
                    <w:t>为同一品牌，并提供相关软件的软件著作权复印件；</w:t>
                  </w:r>
                </w:p>
                <w:p>
                  <w:pPr>
                    <w:jc w:val="both"/>
                  </w:pPr>
                  <w:r>
                    <w:rPr>
                      <w:sz w:val="21"/>
                    </w:rPr>
                    <w:t>★</w:t>
                  </w:r>
                  <w:r>
                    <w:rPr>
                      <w:sz w:val="21"/>
                    </w:rPr>
                    <w:t>3</w:t>
                  </w:r>
                  <w:r>
                    <w:rPr>
                      <w:sz w:val="21"/>
                    </w:rPr>
                    <w:t>8.</w:t>
                  </w:r>
                  <w:r>
                    <w:rPr>
                      <w:sz w:val="21"/>
                    </w:rPr>
                    <w:t>学校已部署一批桌面云设备，为保护已有投资且简化管理，要求本期所投分布式桌面云系统能与学校现有的分布式桌面云系统</w:t>
                  </w:r>
                  <w:r>
                    <w:rPr>
                      <w:sz w:val="21"/>
                    </w:rPr>
                    <w:t>能实现</w:t>
                  </w:r>
                  <w:r>
                    <w:rPr>
                      <w:sz w:val="21"/>
                    </w:rPr>
                    <w:t>对接，现有的分布式桌面云系统可开放化</w:t>
                  </w:r>
                  <w:r>
                    <w:rPr>
                      <w:sz w:val="21"/>
                    </w:rPr>
                    <w:t>API接口，此次建设软件要求可以在同一集群同一平台下统一管理，实现同步更新采购人计算机室终端的数据，已有数据要求保留，本次系统对接费用应包含在整体报价中。投标时提供</w:t>
                  </w:r>
                  <w:r>
                    <w:rPr>
                      <w:sz w:val="21"/>
                    </w:rPr>
                    <w:t>可实现</w:t>
                  </w:r>
                  <w:r>
                    <w:rPr>
                      <w:sz w:val="21"/>
                    </w:rPr>
                    <w:t>对接承诺函（承诺函格式自拟</w:t>
                  </w:r>
                  <w:r>
                    <w:rPr>
                      <w:sz w:val="21"/>
                    </w:rPr>
                    <w:t>并加盖公章</w:t>
                  </w:r>
                  <w:r>
                    <w:rPr>
                      <w:sz w:val="21"/>
                    </w:rPr>
                    <w:t>）</w:t>
                  </w:r>
                  <w:r>
                    <w:rPr>
                      <w:sz w:val="21"/>
                    </w:rPr>
                    <w:t>；</w:t>
                  </w:r>
                </w:p>
              </w:tc>
              <w:tc>
                <w:tcPr>
                  <w:tcW w:type="dxa" w:w="422"/>
                  <w:tcBorders>
                    <w:top w:val="none" w:color="000000" w:sz="4"/>
                    <w:left w:val="single" w:color="000000" w:sz="4"/>
                    <w:bottom w:val="single" w:color="000000" w:sz="4"/>
                    <w:right w:val="single" w:color="000000" w:sz="4"/>
                  </w:tcBorders>
                  <w:vAlign w:val="top"/>
                </w:tcPr>
                <w:p>
                  <w:pPr>
                    <w:jc w:val="center"/>
                  </w:pPr>
                  <w:r>
                    <w:rPr>
                      <w:color w:val="000000"/>
                      <w:sz w:val="20"/>
                    </w:rPr>
                    <w:t>141个</w:t>
                  </w:r>
                </w:p>
              </w:tc>
            </w:tr>
          </w:tbl>
          <w:p>
            <w:r>
              <w:rPr/>
              <w:t xml:space="preserve"> </w:t>
            </w:r>
          </w:p>
          <w:p>
            <w:r>
              <w:rPr/>
              <w:t xml:space="preserve"> </w:t>
            </w:r>
          </w:p>
          <w:p>
            <w:r>
              <w:rPr/>
              <w:t xml:space="preserve"> </w:t>
            </w:r>
          </w:p>
          <w:p>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1.采购代理机构：本项目是指广州市国科招标代理有限公司，负责整个采购活动的组织，依法负责编制和发布招标文件，对招标文件拥有最终的解释权，不以任何身份出任评标委员会成员。</w:t>
      </w:r>
    </w:p>
    <w:p>
      <w:pPr>
        <w:ind w:firstLine="480"/>
      </w:pPr>
      <w:r>
        <w:rPr/>
        <w:t>2.采购人：本项目是指</w:t>
      </w:r>
      <w:r>
        <w:rPr/>
        <w:t>肇庆学院</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2</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1份，纸质投标文件副本3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代理服务费收费标准：本项目的招标代理服务费收费标准以采购预算金额为计算基数参照国家计委颁布的（计价格【2002】1980号）及国家发改委颁布的（发改办价格【2003】857号）收取。招标代理服务费由中标供应商在领取《中标通知书》前一次性向采购代理机构交纳以下金额： ￥25,769.00元（大写：人民币贰万伍仟柒佰陆拾玖元整）。</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广州市国科招标代理有限公司</w:t>
      </w:r>
      <w:r>
        <w:rPr/>
        <w:t>代收。具体操作要求详见</w:t>
      </w:r>
      <w:r>
        <w:rPr/>
        <w:t>广州市国科招标代理有限公司</w:t>
      </w:r>
      <w:r>
        <w:rPr/>
        <w:t>有关指引，递交事宜请自行咨询</w:t>
      </w:r>
      <w:r>
        <w:rPr/>
        <w:t>广州市国科招标代理有限公司</w:t>
      </w:r>
      <w:r>
        <w:rPr/>
        <w:t>；请各投标人在投标文件递交截止时间前按须知前附表规定的金额递交至</w:t>
      </w:r>
      <w:r>
        <w:rPr/>
        <w:t>广州市国科招标代理有限公司</w:t>
      </w:r>
      <w:r>
        <w:rPr/>
        <w:t>，到账情况以开标时</w:t>
      </w:r>
      <w:r>
        <w:rPr/>
        <w:t>广州市国科招标代理有限公司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广州市国科招标代理有限公司网（www.gzgkbidding.com）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广州市国科招标代理有限公司网（www.gzgkbidding.com）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张智钊、张锡宇</w:t>
      </w:r>
    </w:p>
    <w:p>
      <w:pPr>
        <w:ind w:firstLine="480"/>
      </w:pPr>
      <w:r>
        <w:rPr/>
        <w:t>电话：</w:t>
      </w:r>
      <w:r>
        <w:rPr/>
        <w:t>020-37656571、020-37635007</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肇庆学院云计算与人工智能实验室)：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广州市国科招标代理有限公司</w:t>
      </w:r>
      <w:r>
        <w:rPr/>
        <w:t>统一对外发布。</w:t>
      </w:r>
    </w:p>
    <w:p>
      <w:pPr>
        <w:ind w:firstLine="480"/>
      </w:pPr>
      <w:r>
        <w:rPr/>
        <w:t>（2）对</w:t>
      </w:r>
      <w:r>
        <w:rPr/>
        <w:t>广州市国科招标代理有限公司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采购包1（肇庆学院云计算与人工智能实验室）：</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1、根据财政部、工业和信息化部印发的《政府采购促进中小企业发展管理办法》（财库〔2020〕46号）及相关规定，不专门面向中小企业采购的采购项目或者采购包，除执行国家统一定价标准和实行固定价格采购外，对符合该办法规定的小微企业报价给予P1（货物、服务项目P1的取值为10%，工程项目P1的取值为5%）的扣除，用扣除后的价格参与评审。适用招标投标法的政府采购工程建设项目，采用综合评估法但未采用低价优先法计算价格分的，评标时应当在采用原报价进行评分的基础上，原则上按5%增加其价格得分。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负责人，是指单位法定代表人或者法律、行政法规规定代表单位行使职权的主要负责人；控股，是指出资额占有限责任公司资本总额50%以上或者其持有的股份占股份有限公司股本总额50%以上的，以及出资额或者持有股份的比例虽然不足50%，但依其出资额或者持有的股份所享有的表决权已足以对股东会、股东大会的决议产生重大影响的；管理关系，是指与不具有出资持股关系的其他单位之间存在的管理与被管理关系。 事业单位、社会组织等非企业主体不享受中小企业扶持政策，但事业单位、社会组织等非企业主体提供全部由中小企业制造的货物参加货物采购项目的除外。事业单位直接控股和管理的企业，依据中小企业划型标准认定其企业类型；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（2）在货物采购项目中，货物由中小企业制造，即货物由中小企业生产且使用该中小企业商号或者注册商标，不对供应商主体类型作任何限制要求；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响应供应商）提供的货物全部由符合政策要求的小型或微型企业制造（工程的施工单位全部为符合政策要求的小型、微型企业，或者服务全部由符合政策要求的小型、微型企业承接），对投标人（响应供应商）的报价给予P1的价格扣除，即：评标价＝投标价×（1-P1）。 5、参加本项目投标的小型和微型企业应当提供《中小企业声明函》，否则不得享受相关中小企业扶持政策。新成立企业无上一年度相关数据的，根据其出具的《中小企业声明函》认可其为中小企业。采购代理机构、评标委员会（评审小组）在依法进行资格审查、评审过程中，发现《中小企业声明函》存在明显笔误或者含义不明确的，按照政府采购相关规定要求供应商进行澄清、说明或补正。澄清、说明或补正后符合中小企业条件的供应商，可以享受中小企业扶持政策。中标、成交供应商享受中小企业扶持政策的，随中标、成交结果公开中标、成交供应商的《中小企业声明函》。供应商提供《中小企业声明函》内容不实的，属于提供虚假材料谋取中标、成交，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4%</w:t>
            </w:r>
          </w:p>
        </w:tc>
        <w:tc>
          <w:tcPr>
            <w:tcW w:type="dxa" w:w="2160"/>
          </w:tcPr>
          <w:p>
            <w:pPr>
              <w:jc w:val="left"/>
            </w:pPr>
            <w:r>
              <w:rPr/>
              <w:t>1、如投标产品属于《节能产品政府采购品目清单》中所列的产品，供应商必须在投标文件中明确列明具体产品的名称并提供国家确定的认证机构出具的处于有效期之内的节能产品认证证书。节能产品政府采购品目清单在中国政府采购网（http：//www.ccgp.gov .cn/）上发布。（适用于优先采购节能产品，强制节能产品不享受价格扣除） 2、对节能产品价格扣除的规定： （1）投标人须按“政策适用性说明”填写，并同时提供国家确定的认证机构出具的处于有效期之内的认证证书； （2）扣除方法如下：节能产品金额占项目总金额的比重达到30％及以上的，扣2％。 特别说明：已经作为评审因素进行评分的不再进行价格扣除。 3、如投标产品属于《环境标志产品政府采购品目清单》中所列的产品，供应商必须在投标文件中明确列明具体产品的名称并提供国家确定的认证机构出具的处于有效期之内的环境标志产品认证证书。环境标志产品政府采购品目清单在中国政府采购网（http://www.ccgp.gov.cn/）上发布。 4、对环境标志产品价格扣除的规定： （1）投标人须按“政策适用性说明”填写，并同时提供国家确定的认证机构出具的处于有效期之内的认证证书； （2）扣除方法如下：环境标志产品金额占项目总金额的比重达到30％及以上的，扣2％。 特别说明：已经作为评审因素进行评分的不再进行价格扣除。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采购包1（肇庆学院云计算与人工智能实验室）：</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供应商必须具有良好的商业信誉和健全的财务会计制度（提供2021年度或2022年度财务状况报告或基本开户行出具的资信证明）。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提供书面承诺声明函（格式自拟）或具有履行合同所必需的设备和专业技术能力的其他证明材料投标。</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单位负责人为同一人或者存在直接控股、管理关系的不同供应商，不得同时参加本采购项目投标。为本项目提供整体设计、规范编制或者项目管理、监理、检测等服务的供应商，不得再参与本项目投标。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落实政府采购政策需满足的资格要求</w:t>
            </w:r>
          </w:p>
        </w:tc>
        <w:tc>
          <w:tcPr>
            <w:tcW w:type="dxa" w:w="4238"/>
          </w:tcPr>
          <w:p>
            <w:r>
              <w:rPr/>
              <w:t>本采购包不属于专门面向中小企业采购的项目。</w:t>
            </w:r>
          </w:p>
        </w:tc>
      </w:tr>
    </w:tbl>
    <w:p/>
    <w:p>
      <w:pPr>
        <w:ind w:firstLine="480"/>
      </w:pPr>
      <w:r>
        <w:rPr/>
        <w:t>表二符合性审查表：</w:t>
      </w:r>
    </w:p>
    <w:p>
      <w:pPr>
        <w:ind w:firstLine="480"/>
      </w:pPr>
    </w:p>
    <w:p/>
    <w:p>
      <w:r>
        <w:rPr/>
        <w:t>采购包1（肇庆学院云计算与人工智能实验室）：</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投标报价是固定价且未超过本项目采购预算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r>
        <w:tc>
          <w:tcPr>
            <w:tcW w:type="dxa" w:w="890"/>
          </w:tcPr>
          <w:p>
            <w:r>
              <w:rPr/>
              <w:t>9</w:t>
            </w:r>
          </w:p>
        </w:tc>
        <w:tc>
          <w:tcPr>
            <w:tcW w:type="dxa" w:w="3178"/>
          </w:tcPr>
          <w:p>
            <w:r>
              <w:rPr/>
              <w:t>进口情况</w:t>
            </w:r>
          </w:p>
        </w:tc>
        <w:tc>
          <w:tcPr>
            <w:tcW w:type="dxa" w:w="4238"/>
          </w:tcPr>
          <w:p>
            <w:r>
              <w:rPr/>
              <w:t>采购文件要求采购本国产品时未以进口产品投标</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采购包1(肇庆学院云计算与人工智能实验室):</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商务部分15.0分</w:t>
            </w:r>
          </w:p>
          <w:p>
            <w:r>
              <w:rPr/>
              <w:t>技术部分55.0分</w:t>
            </w:r>
          </w:p>
          <w:p>
            <w:r>
              <w:rPr/>
              <w:t>报价得分30.0分</w:t>
            </w:r>
          </w:p>
        </w:tc>
      </w:tr>
      <w:tr>
        <w:tc>
          <w:tcPr>
            <w:tcW w:type="dxa" w:w="922"/>
            <w:gridSpan w:val="2"/>
            <w:vMerge w:val="restart"/>
          </w:tcPr>
          <w:p>
            <w:pPr>
              <w:jc w:val="center"/>
            </w:pPr>
            <w:r>
              <w:rPr/>
              <w:t>技术部分</w:t>
            </w:r>
          </w:p>
        </w:tc>
        <w:tc>
          <w:tcPr>
            <w:tcW w:type="dxa" w:w="2307"/>
          </w:tcPr>
          <w:p>
            <w:pPr>
              <w:jc w:val="left"/>
            </w:pPr>
            <w:r>
              <w:rPr/>
              <w:t>技术条款响应情况1 (30.0分)</w:t>
            </w:r>
          </w:p>
        </w:tc>
        <w:tc>
          <w:tcPr>
            <w:tcW w:type="dxa" w:w="5076"/>
          </w:tcPr>
          <w:p>
            <w:pPr>
              <w:jc w:val="left"/>
            </w:pPr>
            <w:r>
              <w:rPr/>
              <w:t>根据投标人对技术条款响应情况进行评审，完全满足或正偏离于采购文件第二章采购需求中带“▲”技术要求（共25项）的所有指标得30分。带“▲”技术要求每出现一项未响应或负偏离的扣1.2分，最低扣至0分。 注：投标人须完全响应招标文件要求，如采购需求中有明确要求提供证明资料的，投标人应同时提供有效且完全符合要求的证明材料，如应答时有缺项，或无有效证明材料的，视同负偏离处理。</w:t>
            </w:r>
          </w:p>
        </w:tc>
      </w:tr>
      <w:tr>
        <w:tc>
          <w:tcPr>
            <w:tcW w:type="dxa" w:w="922"/>
            <w:gridSpan w:val="2"/>
            <w:vMerge/>
          </w:tcPr>
          <w:p/>
        </w:tc>
        <w:tc>
          <w:tcPr>
            <w:tcW w:type="dxa" w:w="2307"/>
          </w:tcPr>
          <w:p>
            <w:pPr>
              <w:jc w:val="left"/>
            </w:pPr>
            <w:r>
              <w:rPr/>
              <w:t>技术条款响应情况2 (5.0分)</w:t>
            </w:r>
          </w:p>
        </w:tc>
        <w:tc>
          <w:tcPr>
            <w:tcW w:type="dxa" w:w="5076"/>
          </w:tcPr>
          <w:p>
            <w:pPr>
              <w:jc w:val="left"/>
            </w:pPr>
            <w:r>
              <w:rPr/>
              <w:t>根据投标文件对“技术标准与要求”中一般技术条款（非“▲”、非“★”指标）的响应程度进行综合评审： （1）完全响应或正偏离的，得5分； （2）有1-5项未响应或负偏离的，得3分； （3）有6-10项未响应或负偏离的，得1分； （4）有11项或以上未响应或负偏离的，得0分。</w:t>
            </w:r>
          </w:p>
        </w:tc>
      </w:tr>
      <w:tr>
        <w:tc>
          <w:tcPr>
            <w:tcW w:type="dxa" w:w="922"/>
            <w:gridSpan w:val="2"/>
            <w:vMerge/>
          </w:tcPr>
          <w:p/>
        </w:tc>
        <w:tc>
          <w:tcPr>
            <w:tcW w:type="dxa" w:w="2307"/>
          </w:tcPr>
          <w:p>
            <w:pPr>
              <w:jc w:val="left"/>
            </w:pPr>
            <w:r>
              <w:rPr/>
              <w:t>核心产品功能演示 (15.0分)</w:t>
            </w:r>
          </w:p>
        </w:tc>
        <w:tc>
          <w:tcPr>
            <w:tcW w:type="dxa" w:w="5076"/>
          </w:tcPr>
          <w:p>
            <w:pPr>
              <w:jc w:val="left"/>
            </w:pPr>
            <w:r>
              <w:rPr/>
              <w:t>演示“云桌面管理系统”的核心功能。 投标人对演示项功能进行逐一演示，不允许公网、PPT、视频、图片演示。如未提供设备进行现场演示，则现场演示得0分。 本演示内容总共5条，每条3分，总分15分，专家根据投标人的演示情况进行打分。每条演示完全符合得3分，否则得0分，最高得15分。（不符合或不演示,该项得0分） 1.演示项1： 支持在WEB管理平台上直接对服务器SSD硬盘进行性能测试（非命令行的交互方式），不依赖第三方测试工具，可获取SSD硬盘16K随机读、顺序写数值，并给出优或良或中或差的综合分值；注册模板时可指定模板应用的教室范围，不同管理员能分权限对模板进行管理，自主隐藏无权限的模板，也可对模板进行转让与共享； 2.演示项2： 新增教学场景时，支持对场景桌面配置磁盘缓存、USB2.0端口或者USB3.0重定向特性，新增教学桌面、个人桌面时候都可独立设定系统盘和数据盘的每次还原，每天还原，每周还原、每月还原或不还原；针对考试环境部署后的脏数据，可分别对VDI、VOI场景桌面手动进行立即还原，还可对VDI场景桌面选择是否立即还原数据盘； 3.演示项3： 可分别对VDI终端、VOI终端进行隔位筛选：支持以单数或者双数进行序号筛选，例如对VDI终端以单数序号筛选后，可以统一执行删除、手动排序、自动排序、查阅动态密码； 4.演示项4： 无需安装任何客户端，管理员在办公室即可通过网页浏览器上直接编辑模板镜像，对模板的操作最少应实现加载GuestTool、开关机、上传文件、更新模板、加载安装包功能，可以直接将笔记本电脑的文件拖动到网页浏览器打开的模板虚拟机；还可支持模板以网页链接的方式进行生成，并可设定模板网页链接的有效期； 5.演示项5： 支持在虚拟桌面管理平台上编辑学期课表 (无需依赖第三方软件或脚本)，可设置学期开始和结束时间、每节课起始时间（支持单双周排课），可直接将桌面模板拖拽到课表中，例如将win7或者win10镜像拖动到周一的第3、4节课。</w:t>
            </w:r>
          </w:p>
        </w:tc>
      </w:tr>
      <w:tr>
        <w:tc>
          <w:tcPr>
            <w:tcW w:type="dxa" w:w="922"/>
            <w:gridSpan w:val="2"/>
            <w:vMerge/>
          </w:tcPr>
          <w:p/>
        </w:tc>
        <w:tc>
          <w:tcPr>
            <w:tcW w:type="dxa" w:w="2307"/>
          </w:tcPr>
          <w:p>
            <w:pPr>
              <w:jc w:val="left"/>
            </w:pPr>
            <w:r>
              <w:rPr/>
              <w:t>整体实施方案及培训方案（一） (2.0分)</w:t>
            </w:r>
          </w:p>
        </w:tc>
        <w:tc>
          <w:tcPr>
            <w:tcW w:type="dxa" w:w="5076"/>
          </w:tcPr>
          <w:p>
            <w:pPr>
              <w:jc w:val="left"/>
            </w:pPr>
            <w:r>
              <w:rPr/>
              <w:t>评标委员会根据投标人提供的项目整体实施方案及培训方案进行评价，方案应包括（投标文件中方案标题应以下列方案内容命名，未按要求命名不得分。）： （1）团队组织管理方案； （2）项目时间、工作、人员及设备安排方案； （3）质量控制措施方案； （4）培训计划方案。 提供全部内容得2分，每缺1项扣0.5分。</w:t>
            </w:r>
          </w:p>
        </w:tc>
      </w:tr>
      <w:tr>
        <w:tc>
          <w:tcPr>
            <w:tcW w:type="dxa" w:w="922"/>
            <w:gridSpan w:val="2"/>
            <w:vMerge/>
          </w:tcPr>
          <w:p/>
        </w:tc>
        <w:tc>
          <w:tcPr>
            <w:tcW w:type="dxa" w:w="2307"/>
          </w:tcPr>
          <w:p>
            <w:pPr>
              <w:jc w:val="left"/>
            </w:pPr>
            <w:r>
              <w:rPr/>
              <w:t>整体实施方案及培训方案（二） (3.0分)</w:t>
            </w:r>
          </w:p>
        </w:tc>
        <w:tc>
          <w:tcPr>
            <w:tcW w:type="dxa" w:w="5076"/>
          </w:tcPr>
          <w:p>
            <w:pPr>
              <w:jc w:val="left"/>
            </w:pPr>
            <w:r>
              <w:rPr/>
              <w:t>评标委员会根据投标人的项目整体实施方案及培训方案进行评价：  （1）团队组织管理非常严密，进度计划非常全面、具体，时间、工作、人员及设备安排非常科学合理，质量控制措施针对性和可行性非常强，培训计划安排完善，得3分。  （2）团队组织管理比较严密，进度计划比较全面、具体，时间、工作、人员及设备安排比较科学合理，质量控制措施针对性和可行性比较强，培训计划安排较完善，得2分。 （3）团队组织管理一般，进度计划不够全面、具体，时间、工作、人员及设备安排基本合理，质量控制措施针对性和可行性一般，培训计划安排较差，得1分 （4）未提供或其他情况不得分。</w:t>
            </w:r>
          </w:p>
        </w:tc>
      </w:tr>
      <w:tr>
        <w:tc>
          <w:tcPr>
            <w:tcW w:type="dxa" w:w="922"/>
            <w:gridSpan w:val="2"/>
            <w:vMerge w:val="restart"/>
          </w:tcPr>
          <w:p>
            <w:pPr>
              <w:jc w:val="center"/>
            </w:pPr>
            <w:r>
              <w:rPr/>
              <w:t>商务部分</w:t>
            </w:r>
          </w:p>
        </w:tc>
        <w:tc>
          <w:tcPr>
            <w:tcW w:type="dxa" w:w="2307"/>
          </w:tcPr>
          <w:p>
            <w:pPr>
              <w:jc w:val="left"/>
            </w:pPr>
            <w:r>
              <w:rPr/>
              <w:t>投标人对项目的安装调试实施能力 (6.0分)</w:t>
            </w:r>
          </w:p>
        </w:tc>
        <w:tc>
          <w:tcPr>
            <w:tcW w:type="dxa" w:w="5076"/>
          </w:tcPr>
          <w:p>
            <w:pPr>
              <w:jc w:val="left"/>
            </w:pPr>
            <w:r>
              <w:rPr/>
              <w:t>1、投标人具有有效期内且认证范围包含计算机技术服务（安装、调试）相关的质量管理体系认证证书； 2、投标人具有有效期内且认证范围包含计算机技术服务（安装、调试）相关的职业健康管理体系认证证书； 3、投标人具有有效期内且认证范围包含计算机技术服务（安装、调试）相关的环境管理体系认证证书； 每提供一个完全符合要求的证书得2分，最高得6分。 注：提供上述有效期内的认证证书复印件并加盖公章，评标时评标委员会将通过网站查询证书的状态并截图记录【网址以“国家认证认可监督管理委员（http://www.cnca.gov.cn）”网站公布为准，证书状态须为“有效”】，如查询结果不一致，则不得分，如有违法行为，评标委员会有权认定其投标无效。</w:t>
            </w:r>
          </w:p>
        </w:tc>
      </w:tr>
      <w:tr>
        <w:tc>
          <w:tcPr>
            <w:tcW w:type="dxa" w:w="922"/>
            <w:gridSpan w:val="2"/>
            <w:vMerge/>
          </w:tcPr>
          <w:p/>
        </w:tc>
        <w:tc>
          <w:tcPr>
            <w:tcW w:type="dxa" w:w="2307"/>
          </w:tcPr>
          <w:p>
            <w:pPr>
              <w:jc w:val="left"/>
            </w:pPr>
            <w:r>
              <w:rPr/>
              <w:t>项目业绩证明 (3.0分)</w:t>
            </w:r>
          </w:p>
        </w:tc>
        <w:tc>
          <w:tcPr>
            <w:tcW w:type="dxa" w:w="5076"/>
          </w:tcPr>
          <w:p>
            <w:pPr>
              <w:jc w:val="left"/>
            </w:pPr>
            <w:r>
              <w:rPr/>
              <w:t>投标人每提供一项2021年1月1日至今包含同类核心货物（云桌面管理系统）的项目业绩得1分，最高得3分。 注：①提供项目的中标通知书复印件、合同复印件和验收报告复印件（验收报告须有买方（甲方）盖章（注：部门章、处室章等其他章有效））；②若多个项目合同为同一买方（甲方）单位的，只计算为一个项目证明材料计算得分；③如提供的材料有欠缺、模糊或不符合要求等，均视为无效材料不得分；</w:t>
            </w:r>
          </w:p>
        </w:tc>
      </w:tr>
      <w:tr>
        <w:tc>
          <w:tcPr>
            <w:tcW w:type="dxa" w:w="922"/>
            <w:gridSpan w:val="2"/>
            <w:vMerge/>
          </w:tcPr>
          <w:p/>
        </w:tc>
        <w:tc>
          <w:tcPr>
            <w:tcW w:type="dxa" w:w="2307"/>
          </w:tcPr>
          <w:p>
            <w:pPr>
              <w:jc w:val="left"/>
            </w:pPr>
            <w:r>
              <w:rPr/>
              <w:t>用户评价 (2.0分)</w:t>
            </w:r>
          </w:p>
        </w:tc>
        <w:tc>
          <w:tcPr>
            <w:tcW w:type="dxa" w:w="5076"/>
          </w:tcPr>
          <w:p>
            <w:pPr>
              <w:jc w:val="left"/>
            </w:pPr>
            <w:r>
              <w:rPr/>
              <w:t>投标人提供和评审内容中符合要求的有效项目业绩证明对应的用户满意度评价，收到用户“满意”、“非常满意”和“优秀”、“非常优秀”或相当于类似评价的，每提供一份评价得1分，本项最高得2分。  注：提供用户满意度评价相关文件复印件加盖投标人公章，须同时提供与用户满意度评价相对应的业绩合同复印件加盖投标人公章，否则不得分。</w:t>
            </w:r>
          </w:p>
        </w:tc>
      </w:tr>
      <w:tr>
        <w:tc>
          <w:tcPr>
            <w:tcW w:type="dxa" w:w="922"/>
            <w:gridSpan w:val="2"/>
            <w:vMerge/>
          </w:tcPr>
          <w:p/>
        </w:tc>
        <w:tc>
          <w:tcPr>
            <w:tcW w:type="dxa" w:w="2307"/>
          </w:tcPr>
          <w:p>
            <w:pPr>
              <w:jc w:val="left"/>
            </w:pPr>
            <w:r>
              <w:rPr/>
              <w:t>项目人员投入情况 (4.0分)</w:t>
            </w:r>
          </w:p>
        </w:tc>
        <w:tc>
          <w:tcPr>
            <w:tcW w:type="dxa" w:w="5076"/>
          </w:tcPr>
          <w:p>
            <w:pPr>
              <w:jc w:val="left"/>
            </w:pPr>
            <w:r>
              <w:rPr/>
              <w:t>投标人所派项目服务团队成员同时具有《人工智能应用工程师证书》（高级或以上）和《大数据技术应用工程师证书》（高级或以上），每提供完全符合要求的1人得2分，本项最高得4分。 备注：必须提供以上人员相关证书复印件，并加盖投标人公章；同时，提供以上人员在投标单位至投标截止之日止前3个月内任意1个月的社保或代缴个人所得税等证明文件并加盖投标人公章。如提供的材料有欠缺、模糊或不符合要求等，均视为无效材料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候选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jc w:val="left"/>
      </w:pPr>
      <w:r>
        <w:rPr>
          <w:b/>
          <w:sz w:val="21"/>
        </w:rPr>
        <w:t>注：</w:t>
      </w:r>
    </w:p>
    <w:p>
      <w:pPr>
        <w:ind w:firstLine="211"/>
        <w:jc w:val="left"/>
      </w:pPr>
      <w:r>
        <w:rPr>
          <w:b/>
          <w:sz w:val="21"/>
        </w:rPr>
        <w:t>1、合同具体事项须根据采购文件的约定及乙方投标文件的承诺执行；</w:t>
      </w:r>
    </w:p>
    <w:p>
      <w:pPr>
        <w:ind w:firstLine="211"/>
        <w:jc w:val="left"/>
      </w:pPr>
      <w:r>
        <w:rPr>
          <w:b/>
          <w:sz w:val="21"/>
        </w:rPr>
        <w:t>2、</w:t>
      </w:r>
      <w:r>
        <w:rPr>
          <w:b/>
          <w:sz w:val="21"/>
        </w:rPr>
        <w:t>本项目合同为中小企业预留合同。</w:t>
      </w:r>
    </w:p>
    <w:p>
      <w:pPr>
        <w:jc w:val="left"/>
      </w:pPr>
    </w:p>
    <w:p/>
    <w:p/>
    <w:p>
      <w:r>
        <w:rPr/>
        <w:t xml:space="preserve"> </w:t>
      </w:r>
    </w:p>
    <w:p>
      <w:pPr>
        <w:jc w:val="left"/>
      </w:pPr>
    </w:p>
    <w:p>
      <w:pPr>
        <w:jc w:val="center"/>
      </w:pPr>
      <w:r>
        <w:rPr>
          <w:b/>
          <w:sz w:val="28"/>
        </w:rPr>
        <w:t>政府采购合同</w:t>
      </w:r>
    </w:p>
    <w:p>
      <w:pPr>
        <w:jc w:val="both"/>
      </w:pPr>
      <w:r>
        <w:rPr>
          <w:sz w:val="21"/>
        </w:rPr>
        <w:t>合同名称：</w:t>
      </w:r>
    </w:p>
    <w:p>
      <w:pPr>
        <w:jc w:val="both"/>
      </w:pPr>
      <w:r>
        <w:rPr>
          <w:sz w:val="21"/>
        </w:rPr>
        <w:t>合同编号：</w:t>
      </w:r>
    </w:p>
    <w:p>
      <w:pPr>
        <w:jc w:val="both"/>
      </w:pPr>
      <w:r>
        <w:rPr>
          <w:sz w:val="21"/>
        </w:rPr>
        <w:t>签约地点：</w:t>
      </w:r>
    </w:p>
    <w:p>
      <w:pPr>
        <w:jc w:val="both"/>
      </w:pPr>
      <w:r>
        <w:rPr>
          <w:sz w:val="21"/>
        </w:rPr>
        <w:t>合同类别：货物</w:t>
      </w:r>
    </w:p>
    <w:p>
      <w:pPr>
        <w:jc w:val="both"/>
      </w:pPr>
      <w:r>
        <w:rPr>
          <w:sz w:val="21"/>
        </w:rPr>
        <w:t>签订日期：</w:t>
      </w:r>
    </w:p>
    <w:p>
      <w:pPr>
        <w:jc w:val="both"/>
      </w:pPr>
      <w:r>
        <w:rPr>
          <w:sz w:val="21"/>
        </w:rPr>
        <w:t>签订类型：单项合同</w:t>
      </w:r>
    </w:p>
    <w:p>
      <w:pPr>
        <w:jc w:val="both"/>
      </w:pPr>
      <w:r>
        <w:rPr>
          <w:sz w:val="21"/>
        </w:rPr>
        <w:t>合同范本：采购合同</w:t>
      </w:r>
    </w:p>
    <w:p>
      <w:pPr>
        <w:jc w:val="both"/>
      </w:pPr>
      <w:r>
        <w:rPr>
          <w:sz w:val="21"/>
        </w:rPr>
        <w:t>合同期限：</w:t>
      </w:r>
      <w:r>
        <w:rPr>
          <w:sz w:val="21"/>
        </w:rPr>
        <w:t>20</w:t>
      </w:r>
      <w:r>
        <w:rPr>
          <w:sz w:val="21"/>
        </w:rPr>
        <w:t>XX</w:t>
      </w:r>
      <w:r>
        <w:rPr>
          <w:sz w:val="21"/>
        </w:rPr>
        <w:t>年</w:t>
      </w:r>
      <w:r>
        <w:rPr>
          <w:sz w:val="21"/>
        </w:rPr>
        <w:t>XX</w:t>
      </w:r>
      <w:r>
        <w:rPr>
          <w:sz w:val="21"/>
        </w:rPr>
        <w:t>月</w:t>
      </w:r>
      <w:r>
        <w:rPr>
          <w:sz w:val="21"/>
        </w:rPr>
        <w:t>XX</w:t>
      </w:r>
      <w:r>
        <w:rPr>
          <w:sz w:val="21"/>
        </w:rPr>
        <w:t>日</w:t>
      </w:r>
      <w:r>
        <w:rPr>
          <w:sz w:val="21"/>
        </w:rPr>
        <w:t>至</w:t>
      </w:r>
      <w:r>
        <w:rPr>
          <w:sz w:val="21"/>
        </w:rPr>
        <w:t>20</w:t>
      </w:r>
      <w:r>
        <w:rPr>
          <w:sz w:val="21"/>
        </w:rPr>
        <w:t>XX</w:t>
      </w:r>
      <w:r>
        <w:rPr>
          <w:sz w:val="21"/>
        </w:rPr>
        <w:t>年</w:t>
      </w:r>
      <w:r>
        <w:rPr>
          <w:sz w:val="21"/>
        </w:rPr>
        <w:t>XX</w:t>
      </w:r>
      <w:r>
        <w:rPr>
          <w:sz w:val="21"/>
        </w:rPr>
        <w:t>月</w:t>
      </w:r>
      <w:r>
        <w:rPr>
          <w:sz w:val="21"/>
        </w:rPr>
        <w:t>XX</w:t>
      </w:r>
      <w:r>
        <w:rPr>
          <w:sz w:val="21"/>
        </w:rPr>
        <w:t>日</w:t>
      </w:r>
    </w:p>
    <w:p>
      <w:pPr>
        <w:jc w:val="both"/>
      </w:pPr>
      <w:r>
        <w:rPr>
          <w:sz w:val="21"/>
        </w:rPr>
        <w:t>是否包含涉密条款：否</w:t>
      </w:r>
    </w:p>
    <w:p>
      <w:pPr>
        <w:jc w:val="both"/>
      </w:pPr>
      <w:r>
        <w:rPr>
          <w:sz w:val="21"/>
        </w:rPr>
        <w:t>备注：</w:t>
      </w:r>
    </w:p>
    <w:p>
      <w:pPr>
        <w:jc w:val="both"/>
      </w:pPr>
    </w:p>
    <w:p>
      <w:pPr>
        <w:jc w:val="both"/>
      </w:pPr>
      <w:r>
        <w:rPr>
          <w:sz w:val="21"/>
        </w:rPr>
        <w:t>甲方（采购人）：</w:t>
      </w:r>
      <w:r>
        <w:rPr>
          <w:sz w:val="21"/>
        </w:rPr>
        <w:t xml:space="preserve">                               </w:t>
      </w:r>
    </w:p>
    <w:p>
      <w:pPr>
        <w:jc w:val="both"/>
      </w:pPr>
      <w:r>
        <w:rPr>
          <w:sz w:val="21"/>
        </w:rPr>
        <w:t>乙方（中标供应商）：</w:t>
      </w:r>
      <w:r>
        <w:rPr>
          <w:sz w:val="21"/>
        </w:rPr>
        <w:t xml:space="preserve">                               </w:t>
      </w:r>
    </w:p>
    <w:p>
      <w:pPr>
        <w:jc w:val="both"/>
      </w:pPr>
      <w:r>
        <w:rPr>
          <w:sz w:val="21"/>
        </w:rPr>
        <w:t xml:space="preserve">    </w:t>
      </w:r>
      <w:r>
        <w:rPr>
          <w:sz w:val="21"/>
        </w:rPr>
        <w:t>根据《中华人民共和国政府采购法》、《中华人民共和国民法典》等相关法律法规及</w:t>
      </w:r>
      <w:r>
        <w:rPr>
          <w:sz w:val="21"/>
          <w:u w:val="single"/>
        </w:rPr>
        <w:t>肇庆学院云计算与人工智能实验室</w:t>
      </w:r>
      <w:r>
        <w:rPr>
          <w:sz w:val="21"/>
        </w:rPr>
        <w:t>招标文件（项目编号：</w:t>
      </w:r>
      <w:r>
        <w:rPr>
          <w:sz w:val="21"/>
        </w:rPr>
        <w:t>GZGK23P111A0370Z）的要求，经双方协商，本着平等互利和诚实信用的原则，一致同意签订本合同。</w:t>
      </w:r>
    </w:p>
    <w:p>
      <w:pPr>
        <w:jc w:val="both"/>
      </w:pPr>
      <w:r>
        <w:rPr>
          <w:b/>
          <w:sz w:val="21"/>
        </w:rPr>
        <w:t>一、</w:t>
      </w:r>
      <w:r>
        <w:rPr>
          <w:b/>
          <w:sz w:val="21"/>
        </w:rPr>
        <w:t>合同采购内容</w:t>
      </w:r>
    </w:p>
    <w:tbl>
      <w:tblPr>
        <w:tblW w:w="0" w:type="auto"/>
        <w:tblBorders>
          <w:top w:val="none" w:color="000000" w:sz="4"/>
          <w:left w:val="none" w:color="000000" w:sz="4"/>
          <w:bottom w:val="none" w:color="000000" w:sz="4"/>
          <w:right w:val="none" w:color="000000" w:sz="4"/>
          <w:insideH w:val="none"/>
          <w:insideV w:val="none"/>
        </w:tblBorders>
      </w:tblPr>
      <w:tblGrid>
        <w:gridCol w:w="719"/>
        <w:gridCol w:w="789"/>
        <w:gridCol w:w="754"/>
        <w:gridCol w:w="754"/>
        <w:gridCol w:w="754"/>
        <w:gridCol w:w="754"/>
        <w:gridCol w:w="754"/>
        <w:gridCol w:w="754"/>
        <w:gridCol w:w="754"/>
        <w:gridCol w:w="754"/>
        <w:gridCol w:w="754"/>
      </w:tblGrid>
      <w:tr>
        <w:tc>
          <w:tcPr>
            <w:tcW w:type="dxa" w:w="719"/>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789"/>
            <w:tcBorders>
              <w:top w:val="single" w:color="000000" w:sz="4"/>
              <w:left w:val="single" w:color="000000" w:sz="4"/>
              <w:bottom w:val="single" w:color="000000" w:sz="4"/>
              <w:right w:val="single" w:color="000000" w:sz="4"/>
            </w:tcBorders>
            <w:vAlign w:val="top"/>
          </w:tcPr>
          <w:p>
            <w:pPr>
              <w:jc w:val="center"/>
            </w:pPr>
            <w:r>
              <w:rPr>
                <w:sz w:val="21"/>
              </w:rPr>
              <w:t>标的名称</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品目编码</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技术要求</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是否进口</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品牌</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规格参数</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采购数量</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计量单位</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单价（元）</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总价（元）</w:t>
            </w:r>
          </w:p>
        </w:tc>
      </w:tr>
      <w:tr>
        <w:tc>
          <w:tcPr>
            <w:tcW w:type="dxa" w:w="71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789"/>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r>
              <w:rPr>
                <w:sz w:val="21"/>
              </w:rPr>
              <w:t>详见合同文本</w:t>
            </w: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r>
      <w:tr>
        <w:tc>
          <w:tcPr>
            <w:tcW w:type="dxa" w:w="719"/>
            <w:tcBorders>
              <w:top w:val="none" w:color="000000" w:sz="4"/>
              <w:left w:val="single" w:color="000000" w:sz="4"/>
              <w:bottom w:val="single" w:color="000000" w:sz="4"/>
              <w:right w:val="single" w:color="000000" w:sz="4"/>
            </w:tcBorders>
            <w:vAlign w:val="top"/>
          </w:tcPr>
          <w:p>
            <w:pPr>
              <w:jc w:val="center"/>
            </w:pPr>
            <w:r>
              <w:rPr>
                <w:sz w:val="21"/>
              </w:rPr>
              <w:t>2</w:t>
            </w:r>
          </w:p>
        </w:tc>
        <w:tc>
          <w:tcPr>
            <w:tcW w:type="dxa" w:w="789"/>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r>
      <w:tr>
        <w:tc>
          <w:tcPr>
            <w:tcW w:type="dxa" w:w="719"/>
            <w:tcBorders>
              <w:top w:val="none" w:color="000000" w:sz="4"/>
              <w:left w:val="single" w:color="000000" w:sz="4"/>
              <w:bottom w:val="single" w:color="000000" w:sz="4"/>
              <w:right w:val="single" w:color="000000" w:sz="4"/>
            </w:tcBorders>
            <w:vAlign w:val="top"/>
          </w:tcPr>
          <w:p>
            <w:pPr>
              <w:jc w:val="center"/>
            </w:pPr>
            <w:r>
              <w:rPr>
                <w:sz w:val="21"/>
              </w:rPr>
              <w:t>……</w:t>
            </w:r>
          </w:p>
        </w:tc>
        <w:tc>
          <w:tcPr>
            <w:tcW w:type="dxa" w:w="789"/>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r>
    </w:tbl>
    <w:p>
      <w:pPr>
        <w:ind w:firstLine="420"/>
        <w:jc w:val="both"/>
      </w:pPr>
      <w:r>
        <w:rPr>
          <w:sz w:val="21"/>
        </w:rPr>
        <w:t>合计金额人民币（大写）：</w:t>
      </w:r>
      <w:r>
        <w:rPr>
          <w:sz w:val="21"/>
          <w:u w:val="single"/>
        </w:rPr>
        <w:t xml:space="preserve">                     </w:t>
      </w:r>
      <w:r>
        <w:rPr>
          <w:sz w:val="21"/>
        </w:rPr>
        <w:t>（￥</w:t>
      </w:r>
      <w:r>
        <w:rPr>
          <w:sz w:val="21"/>
          <w:u w:val="single"/>
        </w:rPr>
        <w:t xml:space="preserve">                </w:t>
      </w:r>
      <w:r>
        <w:rPr>
          <w:sz w:val="21"/>
        </w:rPr>
        <w:t>)</w:t>
      </w:r>
    </w:p>
    <w:p>
      <w:pPr>
        <w:ind w:firstLine="413"/>
        <w:jc w:val="both"/>
      </w:pPr>
      <w:r>
        <w:rPr>
          <w:b/>
          <w:sz w:val="21"/>
        </w:rPr>
        <w:t>注：货物名称内容必须与投标文件中货物名称内容一致。</w:t>
      </w:r>
    </w:p>
    <w:p>
      <w:pPr>
        <w:ind w:firstLine="420"/>
        <w:jc w:val="both"/>
      </w:pPr>
      <w:r>
        <w:rPr>
          <w:sz w:val="21"/>
        </w:rPr>
        <w:t>合同总额包括货款、设计、安装、随机零配件、标配工具、运输保险、调试、培训、质量保证期服务、各项税费及合同实施过程中不可预见费用等。</w:t>
      </w:r>
    </w:p>
    <w:p>
      <w:pPr>
        <w:jc w:val="both"/>
      </w:pPr>
      <w:r>
        <w:rPr>
          <w:b/>
          <w:sz w:val="21"/>
        </w:rPr>
        <w:t>二、</w:t>
      </w:r>
      <w:r>
        <w:rPr>
          <w:b/>
          <w:sz w:val="21"/>
        </w:rPr>
        <w:t>合同金额</w:t>
      </w:r>
    </w:p>
    <w:p>
      <w:pPr>
        <w:jc w:val="both"/>
      </w:pPr>
      <w:r>
        <w:rPr>
          <w:sz w:val="21"/>
        </w:rPr>
        <w:t>合同总金额：小写：￥</w:t>
      </w:r>
      <w:r>
        <w:rPr>
          <w:sz w:val="21"/>
          <w:u w:val="single"/>
        </w:rPr>
        <w:t xml:space="preserve">                  </w:t>
      </w:r>
      <w:r>
        <w:rPr>
          <w:sz w:val="21"/>
        </w:rPr>
        <w:t>；</w:t>
      </w:r>
      <w:r>
        <w:rPr>
          <w:sz w:val="21"/>
        </w:rPr>
        <w:t>大写：人民币</w:t>
      </w:r>
      <w:r>
        <w:rPr>
          <w:sz w:val="21"/>
          <w:u w:val="single"/>
        </w:rPr>
        <w:t xml:space="preserve">             </w:t>
      </w:r>
      <w:r>
        <w:rPr>
          <w:sz w:val="21"/>
        </w:rPr>
        <w:t>。</w:t>
      </w:r>
    </w:p>
    <w:p>
      <w:pPr>
        <w:jc w:val="both"/>
      </w:pPr>
      <w:r>
        <w:rPr>
          <w:b/>
          <w:sz w:val="21"/>
        </w:rPr>
        <w:t>三、</w:t>
      </w:r>
      <w:r>
        <w:rPr>
          <w:b/>
          <w:sz w:val="21"/>
        </w:rPr>
        <w:t>设备要求</w:t>
      </w:r>
    </w:p>
    <w:p>
      <w:pPr>
        <w:jc w:val="both"/>
      </w:pPr>
      <w:r>
        <w:rPr>
          <w:sz w:val="21"/>
        </w:rPr>
        <w:t>1、</w:t>
      </w:r>
      <w:r>
        <w:rPr>
          <w:sz w:val="21"/>
        </w:rPr>
        <w:t>乙方提供的货物必须符合中华人民共和国</w:t>
      </w:r>
      <w:r>
        <w:rPr>
          <w:sz w:val="21"/>
        </w:rPr>
        <w:t>“国家安全环保标准”。</w:t>
      </w:r>
    </w:p>
    <w:p>
      <w:pPr>
        <w:jc w:val="both"/>
      </w:pPr>
      <w:r>
        <w:rPr>
          <w:sz w:val="21"/>
        </w:rPr>
        <w:t>2、</w:t>
      </w:r>
      <w:r>
        <w:rPr>
          <w:sz w:val="21"/>
        </w:rPr>
        <w:t>货物为原制造商制造的全新产品（含零部件、配件、随机工具等），整机无污染，无侵权行为、表面无划损、无任何缺陷隐患、无碰撞、配件齐全，完全符合国家有关质量标准，并附有产品质量检验合格证书，在中国境内可依常规安全合法使用。</w:t>
      </w:r>
    </w:p>
    <w:p>
      <w:pPr>
        <w:jc w:val="both"/>
      </w:pPr>
      <w:r>
        <w:rPr>
          <w:sz w:val="21"/>
        </w:rPr>
        <w:t>3、</w:t>
      </w:r>
      <w:r>
        <w:rPr>
          <w:sz w:val="21"/>
        </w:rPr>
        <w:t>货物为原厂商未启封全新包装，具出厂合格证，序列号、包装箱号与出厂批号一致，并可追索查阅。</w:t>
      </w:r>
    </w:p>
    <w:p>
      <w:pPr>
        <w:jc w:val="both"/>
      </w:pPr>
      <w:r>
        <w:rPr>
          <w:sz w:val="21"/>
        </w:rPr>
        <w:t>4、</w:t>
      </w:r>
      <w:r>
        <w:rPr>
          <w:sz w:val="21"/>
        </w:rPr>
        <w:t>乙方应将关键主机设备的用户手册、保修手册、有关单证资料及配备件、随机工具等交付给甲方，使用操作及安全须知等重要资料应附有中文说明。</w:t>
      </w:r>
    </w:p>
    <w:p>
      <w:pPr>
        <w:jc w:val="both"/>
      </w:pPr>
      <w:r>
        <w:rPr>
          <w:sz w:val="21"/>
        </w:rPr>
        <w:t>5、</w:t>
      </w:r>
      <w:r>
        <w:rPr>
          <w:sz w:val="21"/>
        </w:rPr>
        <w:t>如果发现货物的质量和规格与合同规定不符或货物在质量保证期内被证明有缺陷，包括内在缺陷或使用不适当原材料，甲方将有权要求有关部门进行检验，并依据检验证书向乙方索赔。</w:t>
      </w:r>
    </w:p>
    <w:p>
      <w:pPr>
        <w:jc w:val="both"/>
      </w:pPr>
      <w:r>
        <w:rPr>
          <w:b/>
          <w:sz w:val="21"/>
        </w:rPr>
        <w:t>四、</w:t>
      </w:r>
      <w:r>
        <w:rPr>
          <w:b/>
          <w:sz w:val="21"/>
        </w:rPr>
        <w:t>知识产权</w:t>
      </w:r>
    </w:p>
    <w:p>
      <w:pPr>
        <w:jc w:val="both"/>
      </w:pPr>
      <w:r>
        <w:rPr>
          <w:sz w:val="21"/>
        </w:rPr>
        <w:t>1、</w:t>
      </w:r>
      <w:r>
        <w:rPr>
          <w:sz w:val="21"/>
        </w:rPr>
        <w:t>乙方保证合同项下提供的货物不侵犯任何第三方的专利权、商标权或其它知识产权。否则，乙方须承担对第三方的专利权、商标权或其它知识产权的侵权责任并承担因此而发生的所有费用及给甲方造成的损失。</w:t>
      </w:r>
    </w:p>
    <w:p>
      <w:pPr>
        <w:jc w:val="both"/>
      </w:pPr>
      <w:r>
        <w:rPr>
          <w:b/>
          <w:sz w:val="21"/>
        </w:rPr>
        <w:t>五、</w:t>
      </w:r>
      <w:r>
        <w:rPr>
          <w:b/>
          <w:sz w:val="21"/>
        </w:rPr>
        <w:t>交付时间、地点、方式</w:t>
      </w:r>
    </w:p>
    <w:p>
      <w:pPr>
        <w:jc w:val="both"/>
      </w:pPr>
      <w:r>
        <w:rPr>
          <w:sz w:val="21"/>
        </w:rPr>
        <w:t>1、</w:t>
      </w:r>
      <w:r>
        <w:rPr>
          <w:sz w:val="21"/>
        </w:rPr>
        <w:t>交付时间：（按采购需求要求）</w:t>
      </w:r>
    </w:p>
    <w:p>
      <w:pPr>
        <w:jc w:val="both"/>
      </w:pPr>
      <w:r>
        <w:rPr>
          <w:sz w:val="21"/>
        </w:rPr>
        <w:t>2、</w:t>
      </w:r>
      <w:r>
        <w:rPr>
          <w:sz w:val="21"/>
        </w:rPr>
        <w:t>交付地点：甲方指定地点</w:t>
      </w:r>
    </w:p>
    <w:p>
      <w:pPr>
        <w:jc w:val="both"/>
      </w:pPr>
      <w:r>
        <w:rPr>
          <w:sz w:val="21"/>
        </w:rPr>
        <w:t>3、</w:t>
      </w:r>
      <w:r>
        <w:rPr>
          <w:sz w:val="21"/>
        </w:rPr>
        <w:t>交付条件：项目验收通过</w:t>
      </w:r>
    </w:p>
    <w:p>
      <w:pPr>
        <w:jc w:val="both"/>
      </w:pPr>
      <w:r>
        <w:rPr>
          <w:sz w:val="21"/>
        </w:rPr>
        <w:t>4、</w:t>
      </w:r>
      <w:r>
        <w:rPr>
          <w:sz w:val="21"/>
        </w:rPr>
        <w:t>甲方联系人及联系电话：</w:t>
      </w:r>
    </w:p>
    <w:p>
      <w:pPr>
        <w:jc w:val="both"/>
      </w:pPr>
      <w:r>
        <w:rPr>
          <w:sz w:val="21"/>
        </w:rPr>
        <w:t>5、</w:t>
      </w:r>
      <w:r>
        <w:rPr>
          <w:sz w:val="21"/>
        </w:rPr>
        <w:t>乙方联系人及联系电话：</w:t>
      </w:r>
    </w:p>
    <w:p>
      <w:pPr>
        <w:jc w:val="both"/>
      </w:pPr>
      <w:r>
        <w:rPr>
          <w:b/>
          <w:sz w:val="21"/>
        </w:rPr>
        <w:t>六、</w:t>
      </w:r>
      <w:r>
        <w:rPr>
          <w:b/>
          <w:sz w:val="21"/>
        </w:rPr>
        <w:t>付款方式、时间及付款条件</w:t>
      </w:r>
    </w:p>
    <w:p>
      <w:pPr>
        <w:ind w:firstLine="411"/>
        <w:jc w:val="both"/>
      </w:pPr>
      <w:r>
        <w:rPr>
          <w:sz w:val="21"/>
        </w:rPr>
        <w:t>付款时间及条件：（按照采购需求要求的付款方式）</w:t>
      </w:r>
    </w:p>
    <w:p>
      <w:pPr>
        <w:ind w:firstLine="411"/>
        <w:jc w:val="both"/>
      </w:pPr>
      <w:r>
        <w:rPr>
          <w:sz w:val="21"/>
        </w:rPr>
        <w:t>付款方式：</w:t>
      </w:r>
    </w:p>
    <w:p>
      <w:pPr>
        <w:jc w:val="both"/>
      </w:pPr>
      <w:r>
        <w:rPr>
          <w:b/>
          <w:sz w:val="21"/>
        </w:rPr>
        <w:t>七、</w:t>
      </w:r>
      <w:r>
        <w:rPr>
          <w:b/>
          <w:sz w:val="21"/>
        </w:rPr>
        <w:t>培训、质量保证期及售后服务要求</w:t>
      </w:r>
    </w:p>
    <w:p>
      <w:pPr>
        <w:jc w:val="both"/>
      </w:pPr>
      <w:r>
        <w:rPr>
          <w:sz w:val="21"/>
        </w:rPr>
        <w:t>1、</w:t>
      </w:r>
      <w:r>
        <w:rPr>
          <w:sz w:val="21"/>
        </w:rPr>
        <w:t>乙方负责甲方使用人员的使用操作技术及维护技术的培训。</w:t>
      </w:r>
    </w:p>
    <w:p>
      <w:pPr>
        <w:jc w:val="both"/>
      </w:pPr>
      <w:r>
        <w:rPr>
          <w:sz w:val="21"/>
        </w:rPr>
        <w:t>2、</w:t>
      </w:r>
      <w:r>
        <w:rPr>
          <w:sz w:val="21"/>
        </w:rPr>
        <w:t>本合同的质量保证期（简称</w:t>
      </w:r>
      <w:r>
        <w:rPr>
          <w:sz w:val="21"/>
        </w:rPr>
        <w:t>“质量保证期”）为</w:t>
      </w:r>
      <w:r>
        <w:rPr>
          <w:sz w:val="21"/>
          <w:u w:val="single"/>
        </w:rPr>
        <w:t xml:space="preserve">    </w:t>
      </w:r>
      <w:r>
        <w:rPr>
          <w:sz w:val="21"/>
        </w:rPr>
        <w:t>年，自甲乙双方代表在货物安装调试验收后的验收书上签字之日起计算。质量保证期内乙方对所供货物实行包修、包换、包退、包维护保养，</w:t>
      </w:r>
      <w:r>
        <w:rPr>
          <w:sz w:val="21"/>
        </w:rPr>
        <w:t>保修期后设备维修配件更换只收取成本费用。</w:t>
      </w:r>
    </w:p>
    <w:p>
      <w:pPr>
        <w:jc w:val="both"/>
      </w:pPr>
      <w:r>
        <w:rPr>
          <w:sz w:val="21"/>
        </w:rPr>
        <w:t>3、</w:t>
      </w:r>
      <w:r>
        <w:rPr>
          <w:sz w:val="21"/>
        </w:rPr>
        <w:t>质量保证期内，如设备或零部件因非人为因素出现故障而造成短期停用时，则质量保证期相应顺延。如停用时间累计超过</w:t>
      </w:r>
      <w:r>
        <w:rPr>
          <w:sz w:val="21"/>
        </w:rPr>
        <w:t>60天则质量保证期重新计算。</w:t>
      </w:r>
    </w:p>
    <w:p>
      <w:pPr>
        <w:jc w:val="both"/>
      </w:pPr>
      <w:r>
        <w:rPr>
          <w:sz w:val="21"/>
        </w:rPr>
        <w:t>4、</w:t>
      </w:r>
      <w:r>
        <w:rPr>
          <w:sz w:val="21"/>
        </w:rPr>
        <w:t>在质量保证期内，如货品非因甲方的人为原因而出现的问题由乙方负责保修、包换或包退，并承担修理、调换或退货的实际费用。</w:t>
      </w:r>
    </w:p>
    <w:p>
      <w:pPr>
        <w:jc w:val="both"/>
      </w:pPr>
      <w:r>
        <w:rPr>
          <w:sz w:val="21"/>
        </w:rPr>
        <w:t>5、</w:t>
      </w:r>
      <w:r>
        <w:rPr>
          <w:sz w:val="21"/>
        </w:rPr>
        <w:t>质量保证期内，乙方负责对其提供的货物整机进行维修和系统维护，不再收取任何费用，但非乙方责任的人为因素、自然因素（如火灾、雷击等）造成的故障除外。</w:t>
      </w:r>
    </w:p>
    <w:p>
      <w:pPr>
        <w:jc w:val="both"/>
      </w:pPr>
      <w:r>
        <w:rPr>
          <w:sz w:val="21"/>
        </w:rPr>
        <w:t>6、</w:t>
      </w:r>
      <w:r>
        <w:rPr>
          <w:sz w:val="21"/>
        </w:rPr>
        <w:t>对甲方的服务通知，乙方在接报后</w:t>
      </w:r>
      <w:r>
        <w:rPr>
          <w:sz w:val="21"/>
          <w:u w:val="single"/>
        </w:rPr>
        <w:t xml:space="preserve">   </w:t>
      </w:r>
      <w:r>
        <w:rPr>
          <w:sz w:val="21"/>
        </w:rPr>
        <w:t>小时内响应，</w:t>
      </w:r>
      <w:r>
        <w:rPr>
          <w:sz w:val="21"/>
          <w:u w:val="single"/>
        </w:rPr>
        <w:t xml:space="preserve">   </w:t>
      </w:r>
      <w:r>
        <w:rPr>
          <w:sz w:val="21"/>
        </w:rPr>
        <w:t>小时内到达现场，</w:t>
      </w:r>
      <w:r>
        <w:rPr>
          <w:sz w:val="21"/>
          <w:u w:val="single"/>
        </w:rPr>
        <w:t xml:space="preserve">   </w:t>
      </w:r>
      <w:r>
        <w:rPr>
          <w:sz w:val="21"/>
        </w:rPr>
        <w:t>小时内处理完毕。若在</w:t>
      </w:r>
      <w:r>
        <w:rPr>
          <w:sz w:val="21"/>
          <w:u w:val="single"/>
        </w:rPr>
        <w:t xml:space="preserve">   </w:t>
      </w:r>
      <w:r>
        <w:rPr>
          <w:sz w:val="21"/>
        </w:rPr>
        <w:t>小时内仍未能有效解决，乙方须提供同档次的设备予甲方临时使用。</w:t>
      </w:r>
    </w:p>
    <w:p>
      <w:pPr>
        <w:jc w:val="both"/>
      </w:pPr>
      <w:r>
        <w:rPr>
          <w:sz w:val="21"/>
        </w:rPr>
        <w:t>7、</w:t>
      </w:r>
      <w:r>
        <w:rPr>
          <w:sz w:val="21"/>
        </w:rPr>
        <w:t>质量保证期间，同一硬件一个月内连续</w:t>
      </w:r>
      <w:r>
        <w:rPr>
          <w:sz w:val="21"/>
        </w:rPr>
        <w:t>2次出现同一故障，乙方须无偿更换同一档次货物。</w:t>
      </w:r>
    </w:p>
    <w:p>
      <w:pPr>
        <w:jc w:val="both"/>
      </w:pPr>
      <w:r>
        <w:rPr>
          <w:sz w:val="21"/>
        </w:rPr>
        <w:t>8、</w:t>
      </w:r>
      <w:r>
        <w:rPr>
          <w:sz w:val="21"/>
        </w:rPr>
        <w:t>负责售后服务维修的单位名称（如有）：</w:t>
      </w:r>
      <w:r>
        <w:rPr>
          <w:sz w:val="21"/>
          <w:u w:val="single"/>
        </w:rPr>
        <w:t xml:space="preserve">                       </w:t>
      </w:r>
    </w:p>
    <w:p>
      <w:pPr>
        <w:ind w:firstLine="630"/>
        <w:jc w:val="both"/>
      </w:pPr>
      <w:r>
        <w:rPr>
          <w:sz w:val="21"/>
        </w:rPr>
        <w:t>地址：</w:t>
      </w:r>
      <w:r>
        <w:rPr>
          <w:sz w:val="21"/>
          <w:u w:val="single"/>
        </w:rPr>
        <w:t xml:space="preserve">                                       </w:t>
      </w:r>
    </w:p>
    <w:p>
      <w:pPr>
        <w:ind w:firstLine="630"/>
        <w:jc w:val="both"/>
      </w:pPr>
      <w:r>
        <w:rPr>
          <w:sz w:val="21"/>
        </w:rPr>
        <w:t>联系人：</w:t>
      </w:r>
      <w:r>
        <w:rPr>
          <w:sz w:val="21"/>
          <w:u w:val="single"/>
        </w:rPr>
        <w:t xml:space="preserve">                                     </w:t>
      </w:r>
    </w:p>
    <w:p>
      <w:pPr>
        <w:ind w:firstLine="630"/>
        <w:jc w:val="both"/>
      </w:pPr>
      <w:r>
        <w:rPr>
          <w:sz w:val="21"/>
        </w:rPr>
        <w:t>联系电话</w:t>
      </w:r>
      <w:r>
        <w:rPr>
          <w:sz w:val="21"/>
          <w:u w:val="single"/>
        </w:rPr>
        <w:t xml:space="preserve">                                     </w:t>
      </w:r>
    </w:p>
    <w:p>
      <w:pPr>
        <w:ind w:firstLine="630"/>
        <w:jc w:val="both"/>
      </w:pPr>
      <w:r>
        <w:rPr>
          <w:sz w:val="21"/>
        </w:rPr>
        <w:t>手机号码：</w:t>
      </w:r>
      <w:r>
        <w:rPr>
          <w:sz w:val="21"/>
          <w:u w:val="single"/>
        </w:rPr>
        <w:t xml:space="preserve">                                   </w:t>
      </w:r>
    </w:p>
    <w:p>
      <w:pPr>
        <w:ind w:firstLine="630"/>
        <w:jc w:val="both"/>
      </w:pPr>
      <w:r>
        <w:rPr>
          <w:sz w:val="21"/>
        </w:rPr>
        <w:t>传真号码：</w:t>
      </w:r>
      <w:r>
        <w:rPr>
          <w:sz w:val="21"/>
          <w:u w:val="single"/>
        </w:rPr>
        <w:t xml:space="preserve">                                   </w:t>
      </w:r>
    </w:p>
    <w:p>
      <w:pPr>
        <w:jc w:val="both"/>
      </w:pPr>
      <w:r>
        <w:rPr>
          <w:b/>
          <w:sz w:val="21"/>
        </w:rPr>
        <w:t>八、</w:t>
      </w:r>
      <w:r>
        <w:rPr>
          <w:b/>
          <w:sz w:val="21"/>
        </w:rPr>
        <w:t>包装、到货检验、</w:t>
      </w:r>
      <w:r>
        <w:rPr>
          <w:b/>
          <w:sz w:val="21"/>
        </w:rPr>
        <w:t>安装与调试</w:t>
      </w:r>
      <w:r>
        <w:rPr>
          <w:sz w:val="21"/>
        </w:rPr>
        <w:t>:</w:t>
      </w:r>
    </w:p>
    <w:p>
      <w:pPr>
        <w:jc w:val="both"/>
      </w:pPr>
      <w:r>
        <w:rPr>
          <w:sz w:val="21"/>
        </w:rPr>
        <w:t>1、</w:t>
      </w:r>
      <w:r>
        <w:rPr>
          <w:sz w:val="21"/>
        </w:rPr>
        <w:t>合同货物的包装：货物的包装均应有良好的防湿、防锈、防潮、防雨、防腐及防碰撞的措施。凡由于包装不良造成的损失和由此产生的费用均由乙方承担。</w:t>
      </w:r>
    </w:p>
    <w:p>
      <w:pPr>
        <w:jc w:val="both"/>
      </w:pPr>
      <w:r>
        <w:rPr>
          <w:sz w:val="21"/>
        </w:rPr>
        <w:t>2、</w:t>
      </w:r>
      <w:r>
        <w:rPr>
          <w:sz w:val="21"/>
        </w:rPr>
        <w:t>到货检验</w:t>
      </w:r>
    </w:p>
    <w:p>
      <w:pPr>
        <w:jc w:val="both"/>
      </w:pPr>
      <w:r>
        <w:rPr>
          <w:sz w:val="21"/>
        </w:rPr>
        <w:t>（</w:t>
      </w:r>
      <w:r>
        <w:rPr>
          <w:sz w:val="21"/>
        </w:rPr>
        <w:t>1）</w:t>
      </w:r>
      <w:r>
        <w:rPr>
          <w:sz w:val="21"/>
        </w:rPr>
        <w:t>货物的到货验收包括：型号、规格、数量、外观质量及货物包装完整无破损，在货物抵达交货目的地后，甲乙双方就货物外观质量、规格和型号进行初步检验。货物为原厂商未启封全新包装，具出厂合格证，序列号、包装箱号与出厂批号一致，并可追索查阅。所有随货物的附件必须齐全。如果发现到货的外观质量、规格和型号与合同不符，甲方有权拒收货物，并可向乙方索赔。</w:t>
      </w:r>
    </w:p>
    <w:p>
      <w:pPr>
        <w:jc w:val="both"/>
      </w:pPr>
      <w:r>
        <w:rPr>
          <w:sz w:val="21"/>
        </w:rPr>
        <w:t>（</w:t>
      </w:r>
      <w:r>
        <w:rPr>
          <w:sz w:val="21"/>
        </w:rPr>
        <w:t>2）</w:t>
      </w:r>
      <w:r>
        <w:rPr>
          <w:sz w:val="21"/>
        </w:rPr>
        <w:t>货物送到甲方指定场地后，甲、乙双方同时在场时才能开封检验。</w:t>
      </w:r>
    </w:p>
    <w:p>
      <w:pPr>
        <w:jc w:val="both"/>
      </w:pPr>
      <w:r>
        <w:rPr>
          <w:sz w:val="21"/>
        </w:rPr>
        <w:t>3、</w:t>
      </w:r>
      <w:r>
        <w:rPr>
          <w:sz w:val="21"/>
        </w:rPr>
        <w:t>合同货物的安装调试：</w:t>
      </w:r>
    </w:p>
    <w:p>
      <w:pPr>
        <w:jc w:val="both"/>
      </w:pPr>
      <w:r>
        <w:rPr>
          <w:sz w:val="21"/>
        </w:rPr>
        <w:t>（</w:t>
      </w:r>
      <w:r>
        <w:rPr>
          <w:sz w:val="21"/>
        </w:rPr>
        <w:t>1）</w:t>
      </w:r>
      <w:r>
        <w:rPr>
          <w:sz w:val="21"/>
        </w:rPr>
        <w:t>除非甲方另有通知，乙方应按照合同的要求以及合同执行计划的时间安排，派出足够的人员进行现场安装和负责调试工作。</w:t>
      </w:r>
    </w:p>
    <w:p>
      <w:pPr>
        <w:jc w:val="both"/>
      </w:pPr>
      <w:r>
        <w:rPr>
          <w:sz w:val="21"/>
        </w:rPr>
        <w:t>（</w:t>
      </w:r>
      <w:r>
        <w:rPr>
          <w:sz w:val="21"/>
        </w:rPr>
        <w:t>2）</w:t>
      </w:r>
      <w:r>
        <w:rPr>
          <w:sz w:val="21"/>
        </w:rPr>
        <w:t>乙方必须依照招标文件的要求和投标文件的承诺，将设备、系统安装并调试至正常运行的最佳状态。</w:t>
      </w:r>
    </w:p>
    <w:p>
      <w:pPr>
        <w:jc w:val="both"/>
      </w:pPr>
      <w:r>
        <w:rPr>
          <w:sz w:val="21"/>
        </w:rPr>
        <w:t>（</w:t>
      </w:r>
      <w:r>
        <w:rPr>
          <w:sz w:val="21"/>
        </w:rPr>
        <w:t>3）</w:t>
      </w:r>
      <w:r>
        <w:rPr>
          <w:sz w:val="21"/>
        </w:rPr>
        <w:t>合同项下的安装调试所发生费用及耗材由乙方承担。</w:t>
      </w:r>
    </w:p>
    <w:p>
      <w:pPr>
        <w:jc w:val="both"/>
      </w:pPr>
      <w:r>
        <w:rPr>
          <w:sz w:val="21"/>
        </w:rPr>
        <w:t>（</w:t>
      </w:r>
      <w:r>
        <w:rPr>
          <w:sz w:val="21"/>
        </w:rPr>
        <w:t>4）</w:t>
      </w:r>
      <w:r>
        <w:rPr>
          <w:sz w:val="21"/>
        </w:rPr>
        <w:t>乙方安装时须对各安装场地内的其它货物、设施有良好保护措施。</w:t>
      </w:r>
    </w:p>
    <w:p>
      <w:pPr>
        <w:jc w:val="both"/>
      </w:pPr>
      <w:r>
        <w:rPr>
          <w:b/>
          <w:sz w:val="21"/>
        </w:rPr>
        <w:t>九、</w:t>
      </w:r>
      <w:r>
        <w:rPr>
          <w:b/>
          <w:sz w:val="21"/>
        </w:rPr>
        <w:t>验收：</w:t>
      </w:r>
    </w:p>
    <w:p>
      <w:pPr>
        <w:jc w:val="both"/>
      </w:pPr>
      <w:r>
        <w:rPr>
          <w:sz w:val="21"/>
        </w:rPr>
        <w:t>1、</w:t>
      </w:r>
      <w:r>
        <w:rPr>
          <w:sz w:val="21"/>
        </w:rPr>
        <w:t>甲方按照采购合同规定的技术、服务、安全标准组织对乙方履约情况进行验收，并出具验收书。验收书应当包括每一项技术、服务、安全标准的履约情况。</w:t>
      </w:r>
    </w:p>
    <w:p>
      <w:pPr>
        <w:jc w:val="both"/>
      </w:pPr>
      <w:r>
        <w:rPr>
          <w:sz w:val="21"/>
        </w:rPr>
        <w:t>2、</w:t>
      </w:r>
      <w:r>
        <w:rPr>
          <w:sz w:val="21"/>
        </w:rPr>
        <w:t>交付验收标准依次序对照适用标准为：</w:t>
      </w:r>
    </w:p>
    <w:p>
      <w:pPr>
        <w:jc w:val="both"/>
      </w:pPr>
      <w:r>
        <w:rPr>
          <w:sz w:val="21"/>
        </w:rPr>
        <w:t>（</w:t>
      </w:r>
      <w:r>
        <w:rPr>
          <w:sz w:val="21"/>
        </w:rPr>
        <w:t>1）</w:t>
      </w:r>
      <w:r>
        <w:rPr>
          <w:sz w:val="21"/>
        </w:rPr>
        <w:t>符合中华人民共和国</w:t>
      </w:r>
      <w:r>
        <w:rPr>
          <w:sz w:val="21"/>
        </w:rPr>
        <w:t>“国家安全质量标准、环保标准或行业标准”；</w:t>
      </w:r>
    </w:p>
    <w:p>
      <w:pPr>
        <w:jc w:val="both"/>
      </w:pPr>
      <w:r>
        <w:rPr>
          <w:sz w:val="21"/>
        </w:rPr>
        <w:t>（</w:t>
      </w:r>
      <w:r>
        <w:rPr>
          <w:sz w:val="21"/>
        </w:rPr>
        <w:t>2）</w:t>
      </w:r>
      <w:r>
        <w:rPr>
          <w:sz w:val="21"/>
        </w:rPr>
        <w:t>符合招标文件和投标承诺中甲方认可的合理最佳配置、参数及各项要求；</w:t>
      </w:r>
    </w:p>
    <w:p>
      <w:pPr>
        <w:jc w:val="both"/>
      </w:pPr>
      <w:r>
        <w:rPr>
          <w:sz w:val="21"/>
        </w:rPr>
        <w:t>（</w:t>
      </w:r>
      <w:r>
        <w:rPr>
          <w:sz w:val="21"/>
        </w:rPr>
        <w:t>3）</w:t>
      </w:r>
      <w:r>
        <w:rPr>
          <w:sz w:val="21"/>
        </w:rPr>
        <w:t>货物来源国官方标准。</w:t>
      </w:r>
    </w:p>
    <w:p>
      <w:pPr>
        <w:jc w:val="both"/>
      </w:pPr>
      <w:r>
        <w:rPr>
          <w:sz w:val="21"/>
        </w:rPr>
        <w:t>3、</w:t>
      </w:r>
      <w:r>
        <w:rPr>
          <w:sz w:val="21"/>
        </w:rPr>
        <w:t>进口产品的必须具备原产地证明和商检局的检验证明及合法进货渠道证明。</w:t>
      </w:r>
    </w:p>
    <w:p>
      <w:pPr>
        <w:jc w:val="both"/>
      </w:pPr>
      <w:r>
        <w:rPr>
          <w:sz w:val="21"/>
        </w:rPr>
        <w:t>4、</w:t>
      </w:r>
      <w:r>
        <w:rPr>
          <w:sz w:val="21"/>
        </w:rPr>
        <w:t>国内货物必须具备出厂合格证及原厂保修卡。</w:t>
      </w:r>
    </w:p>
    <w:p>
      <w:pPr>
        <w:jc w:val="both"/>
      </w:pPr>
      <w:r>
        <w:rPr>
          <w:sz w:val="21"/>
        </w:rPr>
        <w:t>5、</w:t>
      </w:r>
      <w:r>
        <w:rPr>
          <w:sz w:val="21"/>
        </w:rPr>
        <w:t>货物为原厂商未启封全新包装，具出厂合格证，序列号、包装箱号与出厂批号一致，并可追索查阅。所有随设备的附件必须齐全。</w:t>
      </w:r>
    </w:p>
    <w:p>
      <w:pPr>
        <w:jc w:val="both"/>
      </w:pPr>
      <w:r>
        <w:rPr>
          <w:sz w:val="21"/>
        </w:rPr>
        <w:t>6、</w:t>
      </w:r>
      <w:r>
        <w:rPr>
          <w:sz w:val="21"/>
        </w:rPr>
        <w:t>乙方将货物的用户手册、保修手册、有关单证资料及备品备件、随机工具等交付给甲方，使用操作及安全须知等重要资料应附有中文说明。</w:t>
      </w:r>
    </w:p>
    <w:p>
      <w:pPr>
        <w:jc w:val="both"/>
      </w:pPr>
      <w:r>
        <w:rPr>
          <w:sz w:val="21"/>
        </w:rPr>
        <w:t>7、</w:t>
      </w:r>
      <w:r>
        <w:rPr>
          <w:sz w:val="21"/>
        </w:rPr>
        <w:t>货物验收所发生的检验费用由乙方负担。</w:t>
      </w:r>
    </w:p>
    <w:p>
      <w:pPr>
        <w:jc w:val="both"/>
      </w:pPr>
      <w:r>
        <w:rPr>
          <w:sz w:val="21"/>
        </w:rPr>
        <w:t>8、</w:t>
      </w:r>
      <w:r>
        <w:rPr>
          <w:sz w:val="21"/>
        </w:rPr>
        <w:t>设备到货并经乙方技术人员安装后，甲方有权委托中国有资格的单位对上述设备进行校准或检验。</w:t>
      </w:r>
    </w:p>
    <w:p>
      <w:pPr>
        <w:jc w:val="both"/>
      </w:pPr>
      <w:r>
        <w:rPr>
          <w:sz w:val="21"/>
        </w:rPr>
        <w:t>9、</w:t>
      </w:r>
      <w:r>
        <w:rPr>
          <w:sz w:val="21"/>
        </w:rPr>
        <w:t>甲方组成验收小组，按照采购合同规定的技术、服务、安全标准组织对乙方履约情况进行验收。因货物质量问题发生争议时，由甲方本地质量技术监督部门鉴定。货物符合质量技术标准的，鉴定费由甲方承担；否则鉴定费由乙方承担。</w:t>
      </w:r>
    </w:p>
    <w:p>
      <w:pPr>
        <w:jc w:val="both"/>
      </w:pPr>
      <w:r>
        <w:rPr>
          <w:sz w:val="21"/>
        </w:rPr>
        <w:t>10、</w:t>
      </w:r>
      <w:r>
        <w:rPr>
          <w:sz w:val="21"/>
        </w:rPr>
        <w:t>当出现不合格产品时，乙方要无条件更换合格产品。除甲方认可，否则不接受任何形式的降格处理。</w:t>
      </w:r>
    </w:p>
    <w:p>
      <w:pPr>
        <w:jc w:val="both"/>
      </w:pPr>
      <w:r>
        <w:rPr>
          <w:sz w:val="21"/>
        </w:rPr>
        <w:t>11、</w:t>
      </w:r>
      <w:r>
        <w:rPr>
          <w:sz w:val="21"/>
        </w:rPr>
        <w:t>验收期限：全部货物到货后</w:t>
      </w:r>
      <w:r>
        <w:rPr>
          <w:sz w:val="21"/>
          <w:u w:val="single"/>
        </w:rPr>
        <w:t xml:space="preserve">   </w:t>
      </w:r>
      <w:r>
        <w:rPr>
          <w:sz w:val="21"/>
        </w:rPr>
        <w:t>天内完成项目验收。</w:t>
      </w:r>
    </w:p>
    <w:p>
      <w:pPr>
        <w:jc w:val="both"/>
      </w:pPr>
      <w:r>
        <w:rPr>
          <w:b/>
          <w:sz w:val="21"/>
        </w:rPr>
        <w:t>十、</w:t>
      </w:r>
      <w:r>
        <w:rPr>
          <w:b/>
          <w:sz w:val="21"/>
        </w:rPr>
        <w:t>违约责任与赔偿损失</w:t>
      </w:r>
    </w:p>
    <w:p>
      <w:pPr>
        <w:jc w:val="both"/>
      </w:pPr>
      <w:r>
        <w:rPr>
          <w:sz w:val="21"/>
        </w:rPr>
        <w:t>1、</w:t>
      </w:r>
      <w:r>
        <w:rPr>
          <w:sz w:val="21"/>
        </w:rPr>
        <w:t>乙方交付的货物不符合招标文件、投标文件或本合同规定的，甲方有权拒收，并且乙方须向甲方支付本合同总价</w:t>
      </w:r>
      <w:r>
        <w:rPr>
          <w:sz w:val="21"/>
        </w:rPr>
        <w:t>5%的违约金。</w:t>
      </w:r>
    </w:p>
    <w:p>
      <w:pPr>
        <w:jc w:val="both"/>
      </w:pPr>
      <w:r>
        <w:rPr>
          <w:sz w:val="21"/>
        </w:rPr>
        <w:t>2、</w:t>
      </w:r>
      <w:r>
        <w:rPr>
          <w:sz w:val="21"/>
        </w:rPr>
        <w:t>乙方未能按本合同规定的交货时间交付货物的，从逾期之日起每日按本合同总价</w:t>
      </w:r>
      <w:r>
        <w:rPr>
          <w:sz w:val="21"/>
        </w:rPr>
        <w:t>3‰的数额向甲方支付违约金；逾期半个月以上的，甲方有权终止合同，由此造成的甲方经济损失由乙方承担。</w:t>
      </w:r>
    </w:p>
    <w:p>
      <w:pPr>
        <w:jc w:val="both"/>
      </w:pPr>
      <w:r>
        <w:rPr>
          <w:sz w:val="21"/>
        </w:rPr>
        <w:t>3、</w:t>
      </w:r>
      <w:r>
        <w:rPr>
          <w:sz w:val="21"/>
        </w:rPr>
        <w:t>甲方无正当理由拒收货物，不按合同约定付款的，甲方向乙方偿付本合同总价</w:t>
      </w:r>
      <w:r>
        <w:rPr>
          <w:sz w:val="21"/>
        </w:rPr>
        <w:t>5%的违约金。甲方逾期未按合同约定时间支付款项的，则每日按本合同总价的3‰向乙方偿付违约金。</w:t>
      </w:r>
    </w:p>
    <w:p>
      <w:pPr>
        <w:jc w:val="both"/>
      </w:pPr>
      <w:r>
        <w:rPr>
          <w:sz w:val="21"/>
        </w:rPr>
        <w:t>4、</w:t>
      </w:r>
      <w:r>
        <w:rPr>
          <w:sz w:val="21"/>
        </w:rPr>
        <w:t>乙方如没有按合同规定履行售后服务承诺，甲方可由第三方单位进行修复，其费用全部由乙方支付，否则，追究乙方违约的法律责任。</w:t>
      </w:r>
    </w:p>
    <w:p>
      <w:pPr>
        <w:jc w:val="both"/>
      </w:pPr>
      <w:r>
        <w:rPr>
          <w:sz w:val="21"/>
        </w:rPr>
        <w:t>5、</w:t>
      </w:r>
      <w:r>
        <w:rPr>
          <w:sz w:val="21"/>
        </w:rPr>
        <w:t>因甲方原因导致变更、中止或者终止政府采购合同的，甲方对乙方受到的损失予以赔偿或者补偿，赔偿或者补偿金额为：</w:t>
      </w:r>
      <w:r>
        <w:rPr>
          <w:sz w:val="21"/>
          <w:u w:val="single"/>
        </w:rPr>
        <w:t>本合同总价的</w:t>
      </w:r>
      <w:r>
        <w:rPr>
          <w:sz w:val="21"/>
          <w:u w:val="single"/>
        </w:rPr>
        <w:t>1</w:t>
      </w:r>
      <w:r>
        <w:rPr>
          <w:sz w:val="21"/>
          <w:u w:val="single"/>
        </w:rPr>
        <w:t>%</w:t>
      </w:r>
      <w:r>
        <w:rPr>
          <w:sz w:val="21"/>
        </w:rPr>
        <w:t>。</w:t>
      </w:r>
    </w:p>
    <w:p>
      <w:pPr>
        <w:jc w:val="both"/>
      </w:pPr>
      <w:r>
        <w:rPr>
          <w:sz w:val="21"/>
        </w:rPr>
        <w:t>6、</w:t>
      </w:r>
      <w:r>
        <w:rPr>
          <w:sz w:val="21"/>
        </w:rPr>
        <w:t>其它违约责任按《中华人民共和国民法典》处理。</w:t>
      </w:r>
    </w:p>
    <w:p>
      <w:pPr>
        <w:jc w:val="both"/>
      </w:pPr>
      <w:r>
        <w:rPr>
          <w:b/>
          <w:sz w:val="21"/>
        </w:rPr>
        <w:t>十一、</w:t>
      </w:r>
      <w:r>
        <w:rPr>
          <w:b/>
          <w:sz w:val="21"/>
        </w:rPr>
        <w:t>履约保证金</w:t>
      </w:r>
    </w:p>
    <w:p>
      <w:pPr>
        <w:jc w:val="both"/>
      </w:pPr>
      <w:r>
        <w:rPr>
          <w:b/>
          <w:sz w:val="21"/>
        </w:rPr>
        <w:t>（按照采购需求要求）</w:t>
      </w:r>
    </w:p>
    <w:p>
      <w:pPr>
        <w:jc w:val="both"/>
      </w:pPr>
      <w:r>
        <w:rPr>
          <w:b/>
          <w:sz w:val="21"/>
        </w:rPr>
        <w:t>十二、</w:t>
      </w:r>
      <w:r>
        <w:rPr>
          <w:b/>
          <w:sz w:val="21"/>
        </w:rPr>
        <w:t>争议的解决</w:t>
      </w:r>
    </w:p>
    <w:p>
      <w:pPr>
        <w:ind w:firstLine="420"/>
        <w:jc w:val="both"/>
      </w:pPr>
      <w:r>
        <w:rPr>
          <w:sz w:val="21"/>
        </w:rPr>
        <w:t>合同执行过程中发生的任何争议，双方应通过友好协商解决，若经协商不能达成协议时，则向甲方所在地有管辖权的人民法院提起诉讼。诉讼期间，双方应继续执行合同其余部分。</w:t>
      </w:r>
    </w:p>
    <w:p>
      <w:pPr>
        <w:jc w:val="both"/>
      </w:pPr>
      <w:r>
        <w:rPr>
          <w:b/>
          <w:sz w:val="21"/>
        </w:rPr>
        <w:t>十三、</w:t>
      </w:r>
      <w:r>
        <w:rPr>
          <w:b/>
          <w:sz w:val="21"/>
        </w:rPr>
        <w:t>不可抗力</w:t>
      </w:r>
    </w:p>
    <w:p>
      <w:pPr>
        <w:ind w:firstLine="420"/>
        <w:jc w:val="both"/>
      </w:pPr>
      <w:r>
        <w:rPr>
          <w:sz w:val="21"/>
        </w:rPr>
        <w:t>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jc w:val="both"/>
      </w:pPr>
      <w:r>
        <w:rPr>
          <w:b/>
          <w:sz w:val="21"/>
        </w:rPr>
        <w:t>十四、</w:t>
      </w:r>
      <w:r>
        <w:rPr>
          <w:b/>
          <w:sz w:val="21"/>
        </w:rPr>
        <w:t>税费</w:t>
      </w:r>
    </w:p>
    <w:p>
      <w:pPr>
        <w:ind w:firstLine="420"/>
        <w:jc w:val="both"/>
      </w:pPr>
      <w:r>
        <w:rPr>
          <w:sz w:val="21"/>
        </w:rPr>
        <w:t>在中国境内、外发生的与本合同执行有关的一切税费均由乙方负担。</w:t>
      </w:r>
    </w:p>
    <w:p>
      <w:pPr>
        <w:jc w:val="both"/>
      </w:pPr>
      <w:r>
        <w:rPr>
          <w:b/>
          <w:sz w:val="21"/>
        </w:rPr>
        <w:t>十五、</w:t>
      </w:r>
      <w:r>
        <w:rPr>
          <w:b/>
          <w:sz w:val="21"/>
        </w:rPr>
        <w:t>其它</w:t>
      </w:r>
    </w:p>
    <w:p>
      <w:pPr>
        <w:jc w:val="both"/>
      </w:pPr>
      <w:r>
        <w:rPr>
          <w:sz w:val="21"/>
        </w:rPr>
        <w:t>1、</w:t>
      </w:r>
      <w:r>
        <w:rPr>
          <w:sz w:val="21"/>
        </w:rPr>
        <w:t>本合同所有附件、招标文件、投标文件、中标通知书均为合同的有效组成部分，与本合同具有同等法律效力。</w:t>
      </w:r>
    </w:p>
    <w:p>
      <w:pPr>
        <w:jc w:val="both"/>
      </w:pPr>
      <w:r>
        <w:rPr>
          <w:sz w:val="21"/>
        </w:rPr>
        <w:t>2、</w:t>
      </w:r>
      <w:r>
        <w:rPr>
          <w:sz w:val="21"/>
        </w:rPr>
        <w:t>在执行本合同的过程中，所有经双方签署确认的文件（包括会议纪要、补充协议、往来信函）即成为本合同的有效组成部分。</w:t>
      </w:r>
    </w:p>
    <w:p>
      <w:pPr>
        <w:jc w:val="both"/>
      </w:pPr>
      <w:r>
        <w:rPr>
          <w:sz w:val="21"/>
        </w:rPr>
        <w:t>3、</w:t>
      </w:r>
      <w:r>
        <w:rPr>
          <w:sz w:val="21"/>
        </w:rPr>
        <w:t>如一方地址、电话、传真号码有变更，应在变更当日内书面通知对方，否则，应承担相应责任。</w:t>
      </w:r>
    </w:p>
    <w:p>
      <w:pPr>
        <w:jc w:val="both"/>
      </w:pPr>
      <w:r>
        <w:rPr>
          <w:sz w:val="21"/>
        </w:rPr>
        <w:t>4、</w:t>
      </w:r>
      <w:r>
        <w:rPr>
          <w:sz w:val="21"/>
        </w:rPr>
        <w:t>除甲方事先书面同意外，乙方不得部分或全部转让其应履行的合同项下的义务。</w:t>
      </w:r>
    </w:p>
    <w:p>
      <w:pPr>
        <w:jc w:val="both"/>
      </w:pPr>
      <w:r>
        <w:rPr>
          <w:b/>
          <w:sz w:val="21"/>
        </w:rPr>
        <w:t>十六、</w:t>
      </w:r>
      <w:r>
        <w:rPr>
          <w:b/>
          <w:sz w:val="21"/>
        </w:rPr>
        <w:t>合同生效</w:t>
      </w:r>
    </w:p>
    <w:p>
      <w:pPr>
        <w:jc w:val="both"/>
      </w:pPr>
      <w:r>
        <w:rPr>
          <w:sz w:val="21"/>
        </w:rPr>
        <w:t>1、</w:t>
      </w:r>
      <w:r>
        <w:rPr>
          <w:sz w:val="21"/>
        </w:rPr>
        <w:t>本合同在乙方提交履约保证金并甲乙双方法人代表或其授权代表签字盖章后生效。如果不需要提交履约保证金的则甲乙双方法人代表或其授权代表签字并盖章后生效。合同生效日期以后一个签字的日期为准。</w:t>
      </w:r>
    </w:p>
    <w:p>
      <w:pPr>
        <w:jc w:val="both"/>
      </w:pPr>
      <w:r>
        <w:rPr>
          <w:sz w:val="21"/>
        </w:rPr>
        <w:t>2、</w:t>
      </w:r>
      <w:r>
        <w:rPr>
          <w:sz w:val="21"/>
        </w:rPr>
        <w:t>合同一式</w:t>
      </w:r>
      <w:r>
        <w:rPr>
          <w:sz w:val="21"/>
          <w:u w:val="single"/>
        </w:rPr>
        <w:t xml:space="preserve">    </w:t>
      </w:r>
      <w:r>
        <w:rPr>
          <w:sz w:val="21"/>
        </w:rPr>
        <w:t>份。</w:t>
      </w:r>
      <w:r>
        <w:rPr>
          <w:sz w:val="21"/>
        </w:rPr>
        <w:t>甲、乙双方各执</w:t>
      </w:r>
      <w:r>
        <w:rPr>
          <w:sz w:val="21"/>
          <w:u w:val="single"/>
        </w:rPr>
        <w:t xml:space="preserve">    </w:t>
      </w:r>
      <w:r>
        <w:rPr>
          <w:sz w:val="21"/>
        </w:rPr>
        <w:t>份，采购代理机构壹份，具同等法律效力。</w:t>
      </w:r>
    </w:p>
    <w:p>
      <w:pPr>
        <w:jc w:val="both"/>
      </w:pPr>
      <w:r>
        <w:rPr/>
        <w:t xml:space="preserve"> </w:t>
      </w:r>
    </w:p>
    <w:p>
      <w:pPr>
        <w:jc w:val="both"/>
      </w:pPr>
      <w:r>
        <w:rPr>
          <w:sz w:val="21"/>
        </w:rPr>
        <w:t>（以下无正文）</w:t>
      </w:r>
    </w:p>
    <w:p>
      <w:pPr>
        <w:jc w:val="both"/>
      </w:pPr>
      <w:r>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3662"/>
        <w:gridCol w:w="4644"/>
      </w:tblGrid>
      <w:tr>
        <w:tc>
          <w:tcPr>
            <w:tcW w:type="dxa" w:w="3662"/>
            <w:tcBorders>
              <w:top w:val="none" w:color="000000" w:sz="4"/>
              <w:left w:val="none" w:color="000000" w:sz="4"/>
              <w:bottom w:val="none" w:color="000000" w:sz="4"/>
              <w:right w:val="none" w:color="000000" w:sz="4"/>
            </w:tcBorders>
            <w:vAlign w:val="top"/>
          </w:tcPr>
          <w:p>
            <w:pPr>
              <w:jc w:val="both"/>
            </w:pPr>
            <w:r>
              <w:rPr>
                <w:sz w:val="21"/>
              </w:rPr>
              <w:t>甲方（公章）：</w:t>
            </w:r>
            <w:r>
              <w:rPr>
                <w:sz w:val="21"/>
              </w:rPr>
              <w:t xml:space="preserve"> </w:t>
            </w:r>
          </w:p>
          <w:p>
            <w:pPr>
              <w:jc w:val="both"/>
            </w:pPr>
            <w:r>
              <w:rPr>
                <w:sz w:val="21"/>
              </w:rPr>
              <w:t>联系人：</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地址：</w:t>
            </w:r>
          </w:p>
          <w:p>
            <w:pPr>
              <w:jc w:val="both"/>
            </w:pPr>
            <w:r>
              <w:rPr>
                <w:sz w:val="21"/>
              </w:rPr>
              <w:t>联系方式：</w:t>
            </w:r>
          </w:p>
          <w:p>
            <w:pPr>
              <w:jc w:val="both"/>
            </w:pPr>
            <w:r>
              <w:rPr>
                <w:sz w:val="21"/>
              </w:rPr>
              <w:t>传真：</w:t>
            </w:r>
          </w:p>
          <w:p>
            <w:pPr>
              <w:jc w:val="both"/>
            </w:pPr>
          </w:p>
        </w:tc>
        <w:tc>
          <w:tcPr>
            <w:tcW w:type="dxa" w:w="4644"/>
            <w:tcBorders>
              <w:top w:val="none" w:color="000000" w:sz="4"/>
              <w:left w:val="none" w:color="000000" w:sz="4"/>
              <w:bottom w:val="none" w:color="000000" w:sz="4"/>
              <w:right w:val="none" w:color="000000" w:sz="4"/>
            </w:tcBorders>
            <w:vAlign w:val="top"/>
          </w:tcPr>
          <w:p>
            <w:pPr>
              <w:jc w:val="both"/>
            </w:pPr>
            <w:r>
              <w:rPr>
                <w:sz w:val="21"/>
              </w:rPr>
              <w:t>乙方（公章）：</w:t>
            </w:r>
            <w:r>
              <w:rPr>
                <w:sz w:val="21"/>
              </w:rPr>
              <w:t xml:space="preserve"> </w:t>
            </w:r>
          </w:p>
          <w:p>
            <w:pPr>
              <w:jc w:val="both"/>
            </w:pPr>
            <w:r>
              <w:rPr>
                <w:sz w:val="21"/>
              </w:rPr>
              <w:t>联系人：</w:t>
            </w:r>
          </w:p>
          <w:p>
            <w:pPr>
              <w:jc w:val="both"/>
            </w:pPr>
            <w:r>
              <w:rPr>
                <w:sz w:val="21"/>
              </w:rPr>
              <w:t>供应商规模：（大型企业</w:t>
            </w:r>
            <w:r>
              <w:rPr>
                <w:sz w:val="21"/>
              </w:rPr>
              <w:t>/中型企业/小微型企业/其他）</w:t>
            </w:r>
          </w:p>
          <w:p>
            <w:pPr>
              <w:jc w:val="both"/>
            </w:pPr>
            <w:r>
              <w:rPr>
                <w:sz w:val="21"/>
              </w:rPr>
              <w:t>供应商特殊性质：（监狱企业</w:t>
            </w:r>
            <w:r>
              <w:rPr>
                <w:sz w:val="21"/>
              </w:rPr>
              <w:t>/残疾人福利性单位/其他）</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供应商所在区域：</w:t>
            </w:r>
          </w:p>
          <w:p>
            <w:pPr>
              <w:jc w:val="both"/>
            </w:pPr>
            <w:r>
              <w:rPr>
                <w:sz w:val="21"/>
              </w:rPr>
              <w:t>地址：</w:t>
            </w:r>
          </w:p>
          <w:p>
            <w:pPr>
              <w:jc w:val="both"/>
            </w:pPr>
            <w:r>
              <w:rPr>
                <w:sz w:val="21"/>
              </w:rPr>
              <w:t>联系方式：</w:t>
            </w:r>
          </w:p>
          <w:p>
            <w:pPr>
              <w:jc w:val="both"/>
            </w:pPr>
            <w:r>
              <w:rPr>
                <w:sz w:val="21"/>
              </w:rPr>
              <w:t>传真：</w:t>
            </w:r>
          </w:p>
        </w:tc>
      </w:tr>
    </w:tbl>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440001-2023-25532</w:t>
      </w:r>
    </w:p>
    <w:p>
      <w:pPr>
        <w:jc w:val="center"/>
      </w:pPr>
      <w:r>
        <w:rPr>
          <w:b/>
          <w:sz w:val="24"/>
        </w:rPr>
        <w:t>采购项目编号：</w:t>
      </w:r>
      <w:r>
        <w:rPr>
          <w:b/>
          <w:sz w:val="24"/>
        </w:rPr>
        <w:t>GZGK23P111A0370Z</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广州市国科招标代理有限公司</w:t>
      </w:r>
    </w:p>
    <w:p>
      <w:pPr>
        <w:ind w:firstLine="480"/>
      </w:pPr>
      <w:r>
        <w:rPr/>
        <w:t>你方组织的</w:t>
      </w:r>
      <w:r>
        <w:rPr>
          <w:u w:val="single"/>
        </w:rPr>
        <w:t>“</w:t>
      </w:r>
      <w:r>
        <w:rPr>
          <w:u w:val="single"/>
        </w:rPr>
        <w:t>肇庆学院云计算与人工智能实验室项目</w:t>
      </w:r>
      <w:r>
        <w:rPr>
          <w:u w:val="single"/>
        </w:rPr>
        <w:t>”</w:t>
      </w:r>
      <w:r>
        <w:rPr/>
        <w:t>项目的招标[采购项目编号为：</w:t>
      </w:r>
      <w:r>
        <w:rPr>
          <w:u w:val="single"/>
        </w:rPr>
        <w:t>GZGK23P111A0370Z</w:t>
      </w:r>
      <w:r>
        <w:rPr/>
        <w:t>]，我方愿参与投标。</w:t>
      </w:r>
    </w:p>
    <w:p>
      <w:pPr>
        <w:ind w:firstLine="480"/>
      </w:pPr>
      <w:r>
        <w:rPr/>
        <w:t>我方确认收到贵方提供的</w:t>
      </w:r>
      <w:r>
        <w:rPr>
          <w:u w:val="single"/>
        </w:rPr>
        <w:t>“</w:t>
      </w:r>
      <w:r>
        <w:rPr>
          <w:u w:val="single"/>
        </w:rPr>
        <w:t>肇庆学院云计算与人工智能实验室项目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肇庆学院云计算与人工智能实验室项目</w:t>
      </w:r>
      <w:r>
        <w:rPr/>
        <w:t>”项目采购[采购项目编号为</w:t>
      </w:r>
      <w:r>
        <w:rPr/>
        <w:t>GZGK23P111A0370Z</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肇庆学院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广州市国科招标代理有限公司</w:t>
      </w:r>
    </w:p>
    <w:p>
      <w:pPr>
        <w:ind w:firstLine="480"/>
      </w:pPr>
      <w:r>
        <w:rPr/>
        <w:t>如果我方在贵采购代理机构组织的</w:t>
      </w:r>
      <w:r>
        <w:rPr/>
        <w:t>肇庆学院云计算与人工智能实验室项目</w:t>
      </w:r>
      <w:r>
        <w:rPr/>
        <w:t>招标中获中标（采购项目编号：</w:t>
      </w:r>
      <w:r>
        <w:rPr/>
        <w:t>GZGK23P111A0370Z</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广州市国科招标代理有限公司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广州市国科招标代理有限公司</w:t>
      </w:r>
    </w:p>
    <w:p>
      <w:pPr>
        <w:ind w:firstLine="480"/>
      </w:pPr>
      <w:r>
        <w:rPr/>
        <w:t>我单位已登记并准备参与“</w:t>
      </w:r>
      <w:r>
        <w:rPr/>
        <w:t>肇庆学院云计算与人工智能实验室项目</w:t>
      </w:r>
      <w:r>
        <w:rPr/>
        <w:t>”项目（采购项目编号：</w:t>
      </w:r>
      <w:r>
        <w:rPr/>
        <w:t>GZGK23P111A0370Z</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jpeg" Type="http://schemas.openxmlformats.org/officeDocument/2006/relationships/image"/><Relationship Id="rId7" Target="media/image2.jpeg" Type="http://schemas.openxmlformats.org/officeDocument/2006/relationships/image"/><Relationship Id="rId8" Target="media/image3.jpeg" Type="http://schemas.openxmlformats.org/officeDocument/2006/relationships/image"/><Relationship Id="rId9" Target="media/image4.jpe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