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440105-2023-05251</w:t>
      </w:r>
    </w:p>
    <w:p>
      <w:pPr>
        <w:jc w:val="center"/>
      </w:pPr>
      <w:r>
        <w:rPr>
          <w:b/>
          <w:sz w:val="24"/>
        </w:rPr>
        <w:t>采购项目编号：</w:t>
      </w:r>
      <w:r>
        <w:rPr>
          <w:b/>
          <w:sz w:val="24"/>
        </w:rPr>
        <w:t>GZGK23D246C0765Z</w:t>
      </w:r>
    </w:p>
    <w:p>
      <w:pPr>
        <w:jc w:val="center"/>
      </w:pPr>
      <w:r>
        <w:rPr>
          <w:b/>
          <w:sz w:val="24"/>
        </w:rPr>
        <w:t>项目名称：</w:t>
      </w:r>
      <w:r>
        <w:rPr>
          <w:b/>
          <w:sz w:val="24"/>
        </w:rPr>
        <w:t>广州市公安局海珠区分局移动警务通信服务项目</w:t>
      </w:r>
    </w:p>
    <w:p>
      <w:pPr>
        <w:jc w:val="center"/>
      </w:pPr>
      <w:r>
        <w:rPr>
          <w:b/>
          <w:sz w:val="24"/>
        </w:rPr>
        <w:t>采购人：</w:t>
      </w:r>
      <w:r>
        <w:rPr>
          <w:b/>
          <w:sz w:val="24"/>
        </w:rPr>
        <w:t>广州市公安局海珠区分局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广州市公安局海珠区分局</w:t>
      </w:r>
      <w:r>
        <w:rPr/>
        <w:t>的委托，采用</w:t>
      </w:r>
      <w:r>
        <w:rPr/>
        <w:t>公开招标</w:t>
      </w:r>
      <w:r>
        <w:rPr/>
        <w:t>方式组织采购</w:t>
      </w:r>
      <w:r>
        <w:rPr/>
        <w:t>广州市公安局海珠区分局移动警务通信服务项目</w:t>
      </w:r>
      <w:r>
        <w:rPr/>
        <w:t>。欢迎符合资格条件的国内供应商参加投标。</w:t>
      </w:r>
    </w:p>
    <w:p>
      <w:r>
        <w:rPr>
          <w:b/>
          <w:sz w:val="28"/>
        </w:rPr>
        <w:t>一.项目概述</w:t>
      </w:r>
    </w:p>
    <w:p>
      <w:r>
        <w:rPr>
          <w:b/>
          <w:sz w:val="24"/>
        </w:rPr>
        <w:t>1.名称与编号</w:t>
      </w:r>
    </w:p>
    <w:p>
      <w:pPr>
        <w:ind w:firstLine="480"/>
      </w:pPr>
      <w:r>
        <w:rPr/>
        <w:t>项目名称：</w:t>
      </w:r>
      <w:r>
        <w:rPr/>
        <w:t>广州市公安局海珠区分局移动警务通信服务项目</w:t>
      </w:r>
    </w:p>
    <w:p>
      <w:pPr>
        <w:ind w:firstLine="480"/>
      </w:pPr>
      <w:r>
        <w:rPr/>
        <w:t>采购计划编号：</w:t>
      </w:r>
      <w:r>
        <w:rPr/>
        <w:t>440105-2023-05251</w:t>
      </w:r>
    </w:p>
    <w:p>
      <w:pPr>
        <w:ind w:firstLine="480"/>
      </w:pPr>
      <w:r>
        <w:rPr/>
        <w:t>采购项目编号：</w:t>
      </w:r>
      <w:r>
        <w:rPr/>
        <w:t>GZGK23D246C0765Z</w:t>
      </w:r>
    </w:p>
    <w:p>
      <w:pPr>
        <w:ind w:firstLine="480"/>
      </w:pPr>
      <w:r>
        <w:rPr/>
        <w:t>采购方式：</w:t>
      </w:r>
      <w:r>
        <w:rPr/>
        <w:t>公开招标</w:t>
      </w:r>
    </w:p>
    <w:p>
      <w:pPr>
        <w:ind w:firstLine="480"/>
      </w:pPr>
      <w:r>
        <w:rPr/>
        <w:t>预算金额：</w:t>
      </w:r>
      <w:r>
        <w:rPr/>
        <w:t>1,150,000.00</w:t>
      </w:r>
      <w:r>
        <w:rPr/>
        <w:t>元</w:t>
      </w:r>
    </w:p>
    <w:p>
      <w:r>
        <w:rPr>
          <w:b/>
          <w:sz w:val="24"/>
        </w:rPr>
        <w:t>2.项目内容及需求情况（采购项目技术规格、参数及要求）</w:t>
      </w:r>
    </w:p>
    <w:p>
      <w:pPr>
        <w:ind w:firstLine="480"/>
      </w:pPr>
    </w:p>
    <w:p/>
    <w:p>
      <w:r>
        <w:rPr/>
        <w:t>采购包1(移动警务通信服务):</w:t>
      </w:r>
    </w:p>
    <w:p>
      <w:r>
        <w:rPr/>
        <w:t>采购包预算金额：1,150,000.00元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基础电信服务</w:t>
            </w:r>
          </w:p>
        </w:tc>
        <w:tc>
          <w:tcPr>
            <w:tcW w:type="dxa" w:w="2136"/>
          </w:tcPr>
          <w:p>
            <w:r>
              <w:rPr/>
              <w:t>移动警务通信服务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采购包1（移动警务通信服务）：</w:t>
      </w:r>
      <w:r>
        <w:rPr/>
        <w:t>本采购包不属于专门面向中小企业采购的项目。</w:t>
      </w:r>
    </w:p>
    <w:p/>
    <w:p>
      <w:r>
        <w:rPr>
          <w:b/>
          <w:sz w:val="24"/>
        </w:rPr>
        <w:t>3.本项目特定的资格要求：</w:t>
      </w:r>
    </w:p>
    <w:p>
      <w:pPr>
        <w:ind w:firstLine="480"/>
      </w:pPr>
    </w:p>
    <w:p/>
    <w:p>
      <w:r>
        <w:rPr/>
        <w:t>采购包1（移动警务通信服务）：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广州市公安局海珠区分局</w:t>
      </w:r>
    </w:p>
    <w:p>
      <w:pPr>
        <w:ind w:firstLine="480"/>
      </w:pPr>
      <w:r>
        <w:rPr/>
        <w:t>地址：</w:t>
      </w:r>
      <w:r>
        <w:rPr/>
        <w:t>广州市海珠区同福中路368号</w:t>
      </w:r>
    </w:p>
    <w:p>
      <w:pPr>
        <w:ind w:firstLine="480"/>
      </w:pPr>
      <w:r>
        <w:rPr/>
        <w:t>联系方式：</w:t>
      </w:r>
      <w:r>
        <w:rPr/>
        <w:t>020-83117839</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020-87687427、87688049</w:t>
      </w:r>
    </w:p>
    <w:p>
      <w:r>
        <w:rPr>
          <w:b/>
          <w:sz w:val="24"/>
        </w:rPr>
        <w:t>3.项目联系方式</w:t>
      </w:r>
    </w:p>
    <w:p>
      <w:pPr>
        <w:ind w:firstLine="480"/>
      </w:pPr>
      <w:r>
        <w:rPr/>
        <w:t>项目联系人：</w:t>
      </w:r>
      <w:r>
        <w:rPr/>
        <w:t>郭俊贤、陈蔚</w:t>
      </w:r>
    </w:p>
    <w:p>
      <w:pPr>
        <w:ind w:firstLine="480"/>
      </w:pPr>
      <w:r>
        <w:rPr/>
        <w:t>电话：</w:t>
      </w:r>
      <w:r>
        <w:rPr/>
        <w:t>020-87687427、87688049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GZGK23D246C0765Z</w:t>
      </w:r>
    </w:p>
    <w:p>
      <w:pPr>
        <w:jc w:val="both"/>
      </w:pPr>
      <w:r>
        <w:rPr>
          <w:b/>
          <w:sz w:val="21"/>
        </w:rPr>
        <w:t>（二）</w:t>
      </w:r>
      <w:r>
        <w:rPr>
          <w:b/>
          <w:sz w:val="21"/>
        </w:rPr>
        <w:t>项目名称：</w:t>
      </w:r>
      <w:r>
        <w:rPr>
          <w:sz w:val="21"/>
        </w:rPr>
        <w:t>广州市公安局海珠区分局移动警务通信服务项目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w:t>
      </w:r>
      <w:r>
        <w:rPr>
          <w:sz w:val="21"/>
        </w:rPr>
        <w:t>不满足</w:t>
      </w:r>
      <w:r>
        <w:rPr>
          <w:sz w:val="21"/>
        </w:rPr>
        <w:t>，将按无效投标处理。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投标人应对采购需求中的服务指标在响应详细内容中列出具体数值或明确承诺。如果投标人只注明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涉及到软件产品的，必须采购和使用正版软件，项目中涉及计算机办公产品的，必须预装正版操作系统软件。</w:t>
      </w:r>
    </w:p>
    <w:p>
      <w:pPr>
        <w:jc w:val="both"/>
      </w:pPr>
      <w:r>
        <w:rPr>
          <w:sz w:val="21"/>
        </w:rPr>
        <w:t>6、</w:t>
      </w:r>
      <w:r>
        <w:rPr>
          <w:sz w:val="21"/>
        </w:rPr>
        <w:t>投标人没有在投标文件中注明偏离（文字说明或在响应表注明）的参数、配置、条款视为被投标人完全接受。</w:t>
      </w:r>
    </w:p>
    <w:p>
      <w:pPr>
        <w:jc w:val="both"/>
      </w:pPr>
      <w:r>
        <w:rPr>
          <w:sz w:val="21"/>
        </w:rPr>
        <w:t>7、</w:t>
      </w:r>
      <w:r>
        <w:rPr>
          <w:sz w:val="21"/>
        </w:rPr>
        <w:t>投标人应保证，采购人在中华人民共和国使用该服务或服务的任何一部分时，免受第三方提出的侵犯其专利权、商标权、著作权或其它知识产权的起诉。</w:t>
      </w:r>
    </w:p>
    <w:p>
      <w:pPr>
        <w:jc w:val="both"/>
      </w:pPr>
      <w:r>
        <w:rPr>
          <w:sz w:val="21"/>
        </w:rPr>
        <w:t>8、</w:t>
      </w:r>
      <w:r>
        <w:rPr>
          <w:sz w:val="21"/>
        </w:rPr>
        <w:t>不允许中标供应商</w:t>
      </w:r>
      <w:r>
        <w:rPr>
          <w:sz w:val="21"/>
        </w:rPr>
        <w:t>转包、分包项目内容</w:t>
      </w:r>
      <w:r>
        <w:rPr>
          <w:sz w:val="21"/>
        </w:rPr>
        <w:t>。</w:t>
      </w:r>
    </w:p>
    <w:p>
      <w:pPr>
        <w:jc w:val="both"/>
      </w:pPr>
      <w:r>
        <w:rPr>
          <w:sz w:val="21"/>
        </w:rPr>
        <w:t>9、</w:t>
      </w:r>
      <w:r>
        <w:rPr>
          <w:sz w:val="21"/>
        </w:rPr>
        <w:t>小型和微型企业、监狱企业和残疾人福利性单位必须按照招标（采购）文件第三章内容提供相应的资料。</w:t>
      </w:r>
    </w:p>
    <w:p>
      <w:pPr>
        <w:jc w:val="both"/>
      </w:pPr>
      <w:r>
        <w:rPr>
          <w:sz w:val="21"/>
        </w:rPr>
        <w:t>10、</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11、</w:t>
      </w:r>
      <w:r>
        <w:rPr>
          <w:sz w:val="21"/>
        </w:rPr>
        <w:t>本项目为跨年采购项目，服务期为</w:t>
      </w:r>
      <w:r>
        <w:rPr>
          <w:sz w:val="21"/>
        </w:rPr>
        <w:t>1年，采购预算金额1年共115万元；其中2023年度拟安排采购预算金额预估为287,500元，2024年度拟安排采购预算金额预估为862,500元。</w:t>
      </w:r>
    </w:p>
    <w:p>
      <w:pPr>
        <w:jc w:val="both"/>
      </w:pPr>
      <w:r>
        <w:rPr>
          <w:sz w:val="21"/>
        </w:rPr>
        <w:t>12、</w:t>
      </w:r>
      <w:r>
        <w:rPr>
          <w:sz w:val="21"/>
        </w:rPr>
        <w:t>本项目符合《政</w:t>
      </w:r>
      <w:r>
        <w:rPr>
          <w:sz w:val="21"/>
        </w:rPr>
        <w:t>府采购促进中小企业发展管理办法》第六条第</w:t>
      </w:r>
      <w:r>
        <w:rPr>
          <w:sz w:val="21"/>
        </w:rPr>
        <w:t>（三）</w:t>
      </w:r>
      <w:r>
        <w:rPr>
          <w:sz w:val="21"/>
        </w:rPr>
        <w:t>的情形，故不专门面向中小企业。具体原因和情形为</w:t>
      </w:r>
      <w:r>
        <w:rPr>
          <w:sz w:val="21"/>
        </w:rPr>
        <w:t>:“</w:t>
      </w:r>
      <w:r>
        <w:rPr>
          <w:sz w:val="21"/>
        </w:rPr>
        <w:t>（三）按照本办法规定预留采购份额无法确保充分供应、充分竞争，或者存在可能影响政府采购目标实现的情形；</w:t>
      </w:r>
      <w:r>
        <w:rPr>
          <w:sz w:val="21"/>
        </w:rPr>
        <w:t>”</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盘前往开标现场进行签到、解密。</w:t>
      </w:r>
    </w:p>
    <w:p>
      <w:pPr>
        <w:jc w:val="both"/>
      </w:pPr>
      <w:r>
        <w:rPr>
          <w:sz w:val="21"/>
        </w:rPr>
        <w:t>2、</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1、本项目价款包括: 通讯服务费及移动警务终端硬件维修服务费用，其中维修服务费用预算金额为人民币 5 万元。</w:t>
      </w:r>
    </w:p>
    <w:p>
      <w:pPr>
        <w:ind w:firstLine="420"/>
        <w:jc w:val="both"/>
      </w:pPr>
      <w:r>
        <w:rPr>
          <w:sz w:val="21"/>
        </w:rPr>
        <w:t>2、投标报价应包括:通讯服务费及移动警务终端硬件维修服务费用，含上门服务、质保期售后服务、全额含税发票、雇员费用、合同实施过程中的应预见和不可预见费用等。</w:t>
      </w:r>
    </w:p>
    <w:p>
      <w:pPr>
        <w:jc w:val="both"/>
      </w:pPr>
      <w:r>
        <w:rPr>
          <w:b/>
          <w:sz w:val="21"/>
        </w:rPr>
        <w:t>（六）</w:t>
      </w:r>
      <w:r>
        <w:rPr>
          <w:b/>
          <w:sz w:val="21"/>
        </w:rPr>
        <w:t>实现的目标</w:t>
      </w:r>
    </w:p>
    <w:p>
      <w:pPr>
        <w:ind w:firstLine="420"/>
        <w:jc w:val="both"/>
      </w:pPr>
      <w:r>
        <w:rPr>
          <w:sz w:val="21"/>
        </w:rPr>
        <w:t>广州市公安局海珠区分局于</w:t>
      </w:r>
      <w:r>
        <w:rPr>
          <w:sz w:val="21"/>
        </w:rPr>
        <w:t>2021年11月通过租赁服务的方式采购了1035台移动警务终端及相关流量服务（华为NOVA8机型）及公安专用网络服务(服务包括：提供移动专网服务账号、移动警务终端、加密卡以及日常运维服务)，相关服务将于2023年11月30日到期。为保证海珠公安移动警务系统继续正常使用，需要采购1035套移动警务通信服务。</w:t>
      </w:r>
    </w:p>
    <w:p>
      <w:pPr>
        <w:jc w:val="both"/>
      </w:pPr>
      <w:r>
        <w:rPr>
          <w:b/>
          <w:sz w:val="21"/>
        </w:rPr>
        <w:t>（七）</w:t>
      </w:r>
      <w:r>
        <w:rPr>
          <w:b/>
          <w:sz w:val="21"/>
        </w:rPr>
        <w:t>需执行国家相关标准、行业标准、地方标准或者其他标准、规范</w:t>
      </w:r>
    </w:p>
    <w:p/>
    <w:p>
      <w:pPr>
        <w:ind w:firstLine="480"/>
      </w:pPr>
    </w:p>
    <w:p/>
    <w:p>
      <w:r>
        <w:rPr/>
        <w:t>采购包1（移动警务通信服务）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服务期限：自合同签订之日起1年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1期：支付比例100%,1、中标人应于5个工作日内向采购人申请支付服务费用，采购人在收到发票后5个工作日内办理支付手续，向中标人支付合同总价中的通讯服务费30%。 2、本项目合同总价中的通讯服务费剩余的70%由采购人按季度平均分配支付给中标人，每季度第一个月支付本季度的通讯服务费，中标人需出示正式发票。 3、合同总金额中维修费用由采购人每季度按实际支出支付给中标人，中标人需出示正式发票。维修实际执行的服务期限的结束时间，以“服务期限内累积结算金额达到维修费用的预算金额（人民币5万元）的时间”或“服务期限”先到者为准。</w:t>
            </w:r>
          </w:p>
        </w:tc>
      </w:tr>
      <w:tr>
        <w:tc>
          <w:tcPr>
            <w:tcW w:type="dxa" w:w="4153"/>
          </w:tcPr>
          <w:p>
            <w:r>
              <w:rPr/>
              <w:t>验收要求</w:t>
            </w:r>
          </w:p>
        </w:tc>
        <w:tc>
          <w:tcPr>
            <w:tcW w:type="dxa" w:w="4153"/>
          </w:tcPr>
          <w:p/>
          <w:p/>
          <w:p/>
          <w:p>
            <w:r>
              <w:rPr/>
              <w:t>1期：1、按照政府采购合同规定的技术、服务、安全标准组织对供应商履约情况进行验收，并出具《广州市海珠区政府采购项目验收表》，验收书应当包括每一项技术、服务、安全标准的履约情况。 2、中标人负责完成1035台移动警务终端SIM卡和加密卡正确安装和调试，保证每台移动警务终端能在公安专用网络上正常使用移动警务系统。 3、中标人提供的专网账号，如需要同步更新加密卡信息才能使用移动警务系统，中标人需按照采购人的要求到指定现场对加密卡进行信息更新，并对移动终端进行调试，保证移动终端正常使用移动警务系统。 4、中标人应负责在项目验收时将系统的全部有关技术文件、资料、安装、验收报告等文档汇集成册交付设备使用单位。 5、中标人应确保提供服务的账号与广州市公安局、广州市公安局海珠分局正在使用的移动警用App兼容。 6、若本项目采购的服务要求出现不合理或不完整的问题时，中标人有责任和义务在投标文件中提出补充修改方案并征得采购人同意后变更修改。 7、对中标人要求： （1）要求中标人必须具有良好信誉和相关实力的技术队伍。 （2）中标人应本着认真负责态度，组织技术队伍，做好整体方案，并书面提出保修和维护服务以及今后技术支持的措施计划和承诺。 （3）所提供服务的标的均须由中标人送货上门并安装调试，采购人不再支付任何费用。 （4）中标人须允许采购人的工作人员一起参与项目的安装、测试、诊断及解决遇到的问题等各项工作。</w:t>
            </w:r>
          </w:p>
        </w:tc>
      </w:tr>
      <w:tr>
        <w:tc>
          <w:tcPr>
            <w:tcW w:type="dxa" w:w="4153"/>
          </w:tcPr>
          <w:p>
            <w:r>
              <w:rPr/>
              <w:t>履约保证金</w:t>
            </w:r>
          </w:p>
        </w:tc>
        <w:tc>
          <w:tcPr>
            <w:tcW w:type="dxa" w:w="4153"/>
          </w:tcPr>
          <w:p/>
          <w:p/>
          <w:p/>
          <w:p/>
          <w:p>
            <w:r>
              <w:rPr/>
              <w:t>收取比例：5%,说明：中标人与采购人签订合同后5个工作日内，按合同总价的5%向采购人提交履约保证金（以支票、汇票、本票或者金融机构、担保机构出具的保函等非现金形式提交）。若中标人没有违约行为，履约保证金在验收合格后30日内由采购人以非现金形式无息退还中标人。 履约保证金不予退还的情形： （1）拒绝履行合同义务的； （2）履约验收不合格的。 采购人逾期退还履约保证金的，从逾期之日起每日按履约保证金3‰的数额向中标人支付违约金。但因中标人自身原因导致无法及时退还的除外。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知识产权，中标人应保证本项目的响应技术、服务或其任何一部分不会产生因第三方提出侵犯其专利权、商标权或其他知识产权而引起的法律和经济纠纷；如因第三方提出其专利权、商标权或其他知识产权的侵权之诉，则一切法律责任由中标人承担。</w:t>
            </w:r>
          </w:p>
          <w:p/>
          <w:p>
            <w:r>
              <w:rPr/>
              <w:t>（二）保密，项目实施过程中至中标人正式向采购人交付技术文档资料时止，中标人必须采取措施对本项目实施过程中的数据、源代码、技术文档等资料保密，否则，由于中标人过错导致的上述资料泄密的，中标人必须承担一切责任。项目完成后，双方均有责任对本项目的技术保密承担责任。 1）未经中标人事先书面同意，采购人不得将由中标人为本合同提供的条文、规格、计划、图纸、模型、样品或资料提供给予本合同无关的任何第三方，不得将其用于履行本合同之外的其它用途。即使向与履行本合同有关的人员提供，也应注意保密并限于履行合同所必需的范围。 2）除了合同本身之外，上款所列举的任何物件均是中标人的财产。如果中标人有要求，采购人在完成合同后应将这些物件及全部复制件还给中标人。</w:t>
            </w:r>
          </w:p>
          <w:p/>
          <w:p>
            <w:r>
              <w:rPr/>
              <w:t>（三）技术培训，1、中标人提供现场安装调试和培训，中标人交付前要对采购方技术人员进行使用及后期维护的相关培训。 2、应提供完整的培训计划和方案，列明培训人员数量、达到的水平等，培训内容包括设备的操作、日常维修、简单故障的识别及排除等。培训所需全部费用均由中标人负责。</w:t>
            </w:r>
          </w:p>
          <w:p/>
          <w:p>
            <w:r>
              <w:rPr/>
              <w:t>（四）售后服务，中标人在售后服务期（自合同签订之日起1年）内所提供的服务内容和范围包括以下几点： （1）保障网络的信号良好。 （2）服务期内，中标人需按照采购人的要求到指定现场对设备进行维修、配置和有关软件的安装，适配广州市公安局移动警务平台等。 （3）中标人需根据采购人需求提供足够的技术人员到相关的下设机构提供现场办理开卡服务并参与全部终端设备的调试。 ★（4）中标人安排不少于1人的分局驻点服务，负责相关软、硬件设备维护，有关软件的适配安装、调试所用流量费用由中标人承担。（须提供承诺函并加盖公章） （5）保障终端安全管控系统的正常使用，提供7*24小时报障受理。 （6）确保与现时在用的终端安全管控平台进行数据对接，不影响采购人正常业务开展。 （7）应每月向采购人提交网络及终端运行情况统计分析报告。 （8）如采购人出现账号的使用人员变更，需及时配合完成。 （9）日常服务响应时效要求：工作日8：30～18:00期间为2小时，若电话中无法解决，4小时内到达现场进行维护。其余期间为15小时。 （8）保障服务响应时间：因警务工作的重要性，中标人网络故障恢复时限≤4小时，提供服务承诺（格式自定）。 （9）在服务期期间可以对服务号码进行报停，每月服务费用按实际开通使用进行结算。 （10）应提供系统扩充、升级方面的技术支持服务。</w:t>
            </w:r>
          </w:p>
          <w:p/>
          <w:p>
            <w:r>
              <w:rPr/>
              <w:t>（五）其他，一、信用评价 （一）本项目商务评分部分的综合信用评价得分运用广州公共资源交易信用评价体系2.0政府采购信用评价分。参加投标之前，供应商应通过广州交易集团有限公司网站完成企业信用档案登记，并确认成功，以免出现企业信用评价分无法使用等情况。（供应商信用档案办理指引详见http://www.gzggzy.cn/qyxxd2/826779.jhtml，信用评价分计算的相关情况请参阅《广州公共资源交易政府采购领域信用评价体系2.0指标说明》，详见：https://gf.gzggzy.cn/gz1/M00/19/E0/CsUnsWDlEsuAVNPRAACVMSTpGpU57.docx?fileId=8a45a73279d69f24017a7edecd2a339c&amp;attname=%E5%B9%BF%E5%B7%9E%E5%85%AC%E5%85%B1%E8%B5%84%E6%BA%90%E4%BA%A4%E6%98%93%E6%94%BF%E5%BA%9C%E9%87%87%E8%B4%AD%E9%A2%86%E5%9F%9F%E4%BF%A1%E7%94%A8%E8%AF%84%E4%BB%B7%E4%BD%93%E7%B3%BB2.0%E6%8C%87%E6%A0%87%E8%AF%B4%E6%98%8E+%281%29.docx）。（二）综合信用评价得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 二、履约评价 （一）采购人负责对中标人的履约行为进行评价，评价标准详见《广州公共资源交易政府采购领域信用评价体系2.0指标说明》（详见：https://gf.gzggzy.cn/gz1/M00/19/E0/CsUnsWDlEsuAVNPRAACVMSTpGpU57.docx?fileId=8a45a73279d69f24017a7edecd2a339c&amp;attname=%E5%B9%BF%E5%B7%9E%E5%85%AC%E5%85%B1%E8%B5%84%E6%BA%90%E4%BA%A4%E6%98%93%E6%94%BF%E5%BA%9C%E9%87%87%E8%B4%AD%E9%A2%86%E5%9F%9F%E4%BF%A1%E7%94%A8%E8%AF%84%E4%BB%B7%E4%BD%93%E7%B3%BB2.0%E6%8C%87%E6%A0%87%E8%AF%B4%E6%98%8E+%281%29.docx）。采购人凭CA数字证书登录广州交易集团有限公司数字交易平台，选择需评价的项目，根据中标人履约的实际情况逐项进行评价。 （二）评价结果会影响供应商的综合信用评价得分。供应商对其评价情况有异议的，可向采购人反映，采购人应当检查有关评价情况并答复异议人，如有错误，应当修正。异议人对采购人的答复不服的，可向市、区财政局反映，市、区财政局调查后发现确有错误的，有权要求采购人纠正。 三、关于提供前期服务的供应商为采购项目提供整体设计、规范编制或者项目管理、监理、检测等服务的供应商，不得再参加该采购项目的其他采购活动。</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基础电信服务</w:t>
            </w:r>
          </w:p>
        </w:tc>
        <w:tc>
          <w:tcPr>
            <w:tcW w:type="dxa" w:w="933"/>
          </w:tcPr>
          <w:p>
            <w:pPr>
              <w:jc w:val="left"/>
            </w:pPr>
            <w:r>
              <w:rPr/>
              <w:t>移动警务通信服务</w:t>
            </w:r>
          </w:p>
        </w:tc>
        <w:tc>
          <w:tcPr>
            <w:tcW w:type="dxa" w:w="933"/>
          </w:tcPr>
          <w:p>
            <w:pPr>
              <w:jc w:val="left"/>
            </w:pPr>
            <w:r>
              <w:rPr/>
              <w:t>项</w:t>
            </w:r>
          </w:p>
        </w:tc>
        <w:tc>
          <w:tcPr>
            <w:tcW w:type="dxa" w:w="933"/>
          </w:tcPr>
          <w:p>
            <w:pPr>
              <w:jc w:val="right"/>
            </w:pPr>
            <w:r>
              <w:rPr/>
              <w:t>1.00</w:t>
            </w:r>
          </w:p>
        </w:tc>
        <w:tc>
          <w:tcPr>
            <w:tcW w:type="dxa" w:w="933"/>
          </w:tcPr>
          <w:p>
            <w:pPr>
              <w:jc w:val="right"/>
            </w:pPr>
            <w:r>
              <w:rPr/>
              <w:t>1,150,000.00</w:t>
            </w:r>
          </w:p>
        </w:tc>
        <w:tc>
          <w:tcPr>
            <w:tcW w:type="dxa" w:w="933"/>
          </w:tcPr>
          <w:p>
            <w:pPr>
              <w:jc w:val="right"/>
            </w:pPr>
            <w:r>
              <w:rPr/>
              <w:t>1,150,000.00</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移动警务通信服务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w:t>
            </w:r>
            <w:r>
              <w:rPr>
                <w:b/>
                <w:sz w:val="21"/>
              </w:rPr>
              <w:t>1035个</w:t>
            </w:r>
            <w:r>
              <w:rPr>
                <w:b/>
                <w:sz w:val="21"/>
              </w:rPr>
              <w:t>专用网络服务账号</w:t>
            </w:r>
          </w:p>
          <w:tbl>
            <w:tblPr>
              <w:tblBorders>
                <w:top w:val="none" w:color="000000" w:sz="4"/>
                <w:left w:val="none" w:color="000000" w:sz="4"/>
                <w:bottom w:val="none" w:color="000000" w:sz="4"/>
                <w:right w:val="none" w:color="000000" w:sz="4"/>
                <w:insideH w:val="none"/>
                <w:insideV w:val="none"/>
              </w:tblBorders>
            </w:tblPr>
            <w:tblGrid>
              <w:gridCol w:w="974"/>
              <w:gridCol w:w="4623"/>
            </w:tblGrid>
            <w:tr>
              <w:tc>
                <w:tcPr>
                  <w:tcW w:type="dxa" w:w="974"/>
                  <w:tcBorders>
                    <w:top w:val="single" w:color="000000" w:sz="4"/>
                    <w:left w:val="single" w:color="000000" w:sz="4"/>
                    <w:bottom w:val="single" w:color="000000" w:sz="4"/>
                    <w:right w:val="single" w:color="000000" w:sz="4"/>
                  </w:tcBorders>
                  <w:vAlign w:val="top"/>
                </w:tcPr>
                <w:p>
                  <w:pPr>
                    <w:jc w:val="center"/>
                  </w:pPr>
                  <w:r>
                    <w:rPr>
                      <w:b/>
                      <w:sz w:val="21"/>
                    </w:rPr>
                    <w:t>服务内容</w:t>
                  </w:r>
                </w:p>
              </w:tc>
              <w:tc>
                <w:tcPr>
                  <w:tcW w:type="dxa" w:w="4623"/>
                  <w:tcBorders>
                    <w:top w:val="single" w:color="000000" w:sz="4"/>
                    <w:left w:val="none" w:color="000000" w:sz="4"/>
                    <w:bottom w:val="single" w:color="000000" w:sz="4"/>
                    <w:right w:val="single" w:color="000000" w:sz="4"/>
                  </w:tcBorders>
                  <w:vAlign w:val="top"/>
                </w:tcPr>
                <w:p>
                  <w:pPr>
                    <w:jc w:val="center"/>
                  </w:pPr>
                  <w:r>
                    <w:rPr>
                      <w:b/>
                      <w:sz w:val="21"/>
                    </w:rPr>
                    <w:t>主要性能要求</w:t>
                  </w:r>
                </w:p>
              </w:tc>
            </w:tr>
            <w:tr>
              <w:tc>
                <w:tcPr>
                  <w:tcW w:type="dxa" w:w="974"/>
                  <w:tcBorders>
                    <w:top w:val="none" w:color="000000" w:sz="4"/>
                    <w:left w:val="single" w:color="000000" w:sz="4"/>
                    <w:bottom w:val="single" w:color="000000" w:sz="4"/>
                    <w:right w:val="single" w:color="000000" w:sz="4"/>
                  </w:tcBorders>
                  <w:vAlign w:val="top"/>
                </w:tcPr>
                <w:p>
                  <w:pPr>
                    <w:jc w:val="center"/>
                  </w:pPr>
                  <w:r>
                    <w:rPr>
                      <w:sz w:val="21"/>
                    </w:rPr>
                    <w:t>专网账号服务内容</w:t>
                  </w:r>
                </w:p>
              </w:tc>
              <w:tc>
                <w:tcPr>
                  <w:tcW w:type="dxa" w:w="4623"/>
                  <w:tcBorders>
                    <w:top w:val="none" w:color="000000" w:sz="4"/>
                    <w:left w:val="none" w:color="000000" w:sz="4"/>
                    <w:bottom w:val="single" w:color="000000" w:sz="4"/>
                    <w:right w:val="single" w:color="000000" w:sz="4"/>
                  </w:tcBorders>
                  <w:vAlign w:val="top"/>
                </w:tcPr>
                <w:p>
                  <w:r>
                    <w:rPr>
                      <w:sz w:val="21"/>
                    </w:rPr>
                    <w:t>★1、</w:t>
                  </w:r>
                  <w:r>
                    <w:rPr>
                      <w:sz w:val="21"/>
                    </w:rPr>
                    <w:t>网速流量不少于</w:t>
                  </w:r>
                  <w:r>
                    <w:rPr>
                      <w:sz w:val="21"/>
                    </w:rPr>
                    <w:t>40G（含互联网和公安专网）：每月全国流量不低于40G。</w:t>
                  </w:r>
                </w:p>
                <w:p>
                  <w:r>
                    <w:rPr>
                      <w:sz w:val="21"/>
                    </w:rPr>
                    <w:t>★2、</w:t>
                  </w:r>
                  <w:r>
                    <w:rPr>
                      <w:sz w:val="21"/>
                    </w:rPr>
                    <w:t>每月不少于</w:t>
                  </w:r>
                  <w:r>
                    <w:rPr>
                      <w:sz w:val="21"/>
                    </w:rPr>
                    <w:t>500分钟通话时长，不少于100条短信，集群网扩展免费通话。</w:t>
                  </w:r>
                </w:p>
                <w:p>
                  <w:r>
                    <w:rPr>
                      <w:sz w:val="21"/>
                    </w:rPr>
                    <w:t>★3、提供的账号能够沿用海珠分局原有的1035台双系统移动终端（华为NOVA8）的手机号码（需提供携号转网服务，并且要在合同签订后5个工作日内完成），并保证账号能正常通话及使用通信网络。</w:t>
                  </w:r>
                </w:p>
                <w:p>
                  <w:r>
                    <w:rPr>
                      <w:sz w:val="21"/>
                    </w:rPr>
                    <w:t>★4、</w:t>
                  </w:r>
                  <w:r>
                    <w:rPr>
                      <w:sz w:val="21"/>
                    </w:rPr>
                    <w:t>提供的</w:t>
                  </w:r>
                  <w:r>
                    <w:rPr>
                      <w:sz w:val="21"/>
                    </w:rPr>
                    <w:t>SIM卡可与加密卡一起安装使用，能够与广州市公安局移动警务后台进行互通工作。</w:t>
                  </w:r>
                </w:p>
                <w:p>
                  <w:r>
                    <w:rPr>
                      <w:sz w:val="21"/>
                    </w:rPr>
                    <w:t>5、移动警务终端硬件维修服务：包括终端的电池、屏幕等硬件的维修（含配件更换）服务。</w:t>
                  </w:r>
                </w:p>
                <w:p>
                  <w:r>
                    <w:rPr>
                      <w:sz w:val="21"/>
                    </w:rPr>
                    <w:t>★6、</w:t>
                  </w:r>
                  <w:r>
                    <w:rPr>
                      <w:sz w:val="21"/>
                    </w:rPr>
                    <w:t>法定工作日期间安排不少于</w:t>
                  </w:r>
                  <w:r>
                    <w:rPr>
                      <w:sz w:val="21"/>
                    </w:rPr>
                    <w:t>1人在分局驻点对接相关运维服务。</w:t>
                  </w:r>
                </w:p>
                <w:p>
                  <w:r>
                    <w:rPr>
                      <w:sz w:val="21"/>
                    </w:rPr>
                    <w:t>★7、4G/5G信号须覆盖广州市行政区域，在无5G信号区域可自动切换至4G或3G网络使用，在5G网络信号不佳的使用环境，投标人应承诺提供网络优化的服务。</w:t>
                  </w:r>
                </w:p>
              </w:tc>
            </w:tr>
          </w:tbl>
          <w:p>
            <w:pPr>
              <w:jc w:val="both"/>
            </w:pPr>
            <w:r>
              <w:rPr>
                <w:b/>
                <w:sz w:val="21"/>
              </w:rPr>
              <w:t>二、终端安全管控系统</w:t>
            </w:r>
          </w:p>
          <w:p>
            <w:pPr>
              <w:jc w:val="both"/>
            </w:pPr>
            <w:r>
              <w:rPr>
                <w:sz w:val="21"/>
              </w:rPr>
              <w:t>1、终端安全管控系统包括以下内容：</w:t>
            </w:r>
          </w:p>
          <w:p>
            <w:pPr>
              <w:jc w:val="both"/>
            </w:pPr>
            <w:r>
              <w:rPr>
                <w:sz w:val="21"/>
              </w:rPr>
              <w:t>（</w:t>
            </w:r>
            <w:r>
              <w:rPr>
                <w:sz w:val="21"/>
              </w:rPr>
              <w:t>1）承载终端安全管控系统的相关服务器硬件、网络环境及系统软件环境。</w:t>
            </w:r>
          </w:p>
          <w:p>
            <w:pPr>
              <w:jc w:val="both"/>
            </w:pPr>
            <w:r>
              <w:rPr>
                <w:sz w:val="21"/>
              </w:rPr>
              <w:t>★</w:t>
            </w:r>
            <w:r>
              <w:rPr>
                <w:sz w:val="21"/>
              </w:rPr>
              <w:t>（</w:t>
            </w:r>
            <w:r>
              <w:rPr>
                <w:sz w:val="21"/>
              </w:rPr>
              <w:t>2）满足海珠分局1035台移动警务终端集中管理的后台管控平台服务。</w:t>
            </w:r>
          </w:p>
          <w:p>
            <w:pPr>
              <w:jc w:val="both"/>
            </w:pPr>
            <w:r>
              <w:rPr>
                <w:sz w:val="21"/>
              </w:rPr>
              <w:t>★</w:t>
            </w:r>
            <w:r>
              <w:rPr>
                <w:sz w:val="21"/>
              </w:rPr>
              <w:t>（</w:t>
            </w:r>
            <w:r>
              <w:rPr>
                <w:sz w:val="21"/>
              </w:rPr>
              <w:t>3）可以与广州市公安局终端安全管控平台进行数据对接。</w:t>
            </w:r>
          </w:p>
          <w:p>
            <w:pPr>
              <w:jc w:val="both"/>
            </w:pPr>
            <w:r>
              <w:rPr>
                <w:sz w:val="21"/>
              </w:rPr>
              <w:t>（</w:t>
            </w:r>
            <w:r>
              <w:rPr>
                <w:sz w:val="21"/>
              </w:rPr>
              <w:t>4）终端安全管控系统的功能模块。</w:t>
            </w:r>
          </w:p>
          <w:p>
            <w:pPr>
              <w:jc w:val="both"/>
            </w:pPr>
            <w:r>
              <w:rPr>
                <w:sz w:val="21"/>
              </w:rPr>
              <w:t>2、终端设备管控系统需要满足对移动终端的入库登记、发放用户、使用运行、终止销毁等全生命周期进行全流程管控，主要可分为设备管控客户端和后台设备客户端两部分需求。</w:t>
            </w:r>
          </w:p>
          <w:p>
            <w:r>
              <w:rPr>
                <w:sz w:val="21"/>
              </w:rPr>
              <w:t>3、设备客户端</w:t>
            </w:r>
          </w:p>
          <w:p>
            <w:r>
              <w:rPr>
                <w:sz w:val="21"/>
              </w:rPr>
              <w:t>安全管控（简称</w:t>
            </w:r>
            <w:r>
              <w:rPr>
                <w:sz w:val="21"/>
              </w:rPr>
              <w:t>MDM）内置于原有1035台移动警务终端，实现终端注册激活、初始化配置、设备管理、网络管理、安全管理、多模式管理、应用管理、日志上报等功能。具体要求如下：</w:t>
            </w:r>
          </w:p>
          <w:tbl>
            <w:tblPr>
              <w:tblInd w:type="dxa" w:w="120"/>
              <w:tblBorders>
                <w:top w:val="none" w:color="000000" w:sz="4"/>
                <w:left w:val="none" w:color="000000" w:sz="4"/>
                <w:bottom w:val="none" w:color="000000" w:sz="4"/>
                <w:right w:val="none" w:color="000000" w:sz="4"/>
                <w:insideH w:val="none"/>
                <w:insideV w:val="none"/>
              </w:tblBorders>
            </w:tblPr>
            <w:tblGrid>
              <w:gridCol w:w="825"/>
              <w:gridCol w:w="1266"/>
              <w:gridCol w:w="3505"/>
            </w:tblGrid>
            <w:tr>
              <w:tc>
                <w:tcPr>
                  <w:tcW w:type="dxa" w:w="825"/>
                  <w:tcBorders>
                    <w:top w:val="single" w:color="000000" w:sz="4"/>
                    <w:left w:val="single" w:color="000000" w:sz="4"/>
                    <w:bottom w:val="single" w:color="000000" w:sz="4"/>
                    <w:right w:val="single" w:color="000000" w:sz="4"/>
                  </w:tcBorders>
                  <w:shd w:fill="FFFFFF"/>
                  <w:vAlign w:val="top"/>
                </w:tcPr>
                <w:p>
                  <w:pPr>
                    <w:jc w:val="center"/>
                  </w:pPr>
                  <w:r>
                    <w:rPr>
                      <w:b/>
                      <w:sz w:val="21"/>
                    </w:rPr>
                    <w:t>项目</w:t>
                  </w:r>
                </w:p>
              </w:tc>
              <w:tc>
                <w:tcPr>
                  <w:tcW w:type="dxa" w:w="1266"/>
                  <w:tcBorders>
                    <w:top w:val="single" w:color="000000" w:sz="4"/>
                    <w:left w:val="single" w:color="000000" w:sz="4"/>
                    <w:bottom w:val="single" w:color="000000" w:sz="4"/>
                    <w:right w:val="single" w:color="000000" w:sz="4"/>
                  </w:tcBorders>
                  <w:shd w:fill="FFFFFF"/>
                  <w:vAlign w:val="top"/>
                </w:tcPr>
                <w:p>
                  <w:pPr>
                    <w:jc w:val="center"/>
                  </w:pPr>
                  <w:r>
                    <w:rPr>
                      <w:b/>
                      <w:sz w:val="21"/>
                    </w:rPr>
                    <w:t>功能模块</w:t>
                  </w:r>
                </w:p>
              </w:tc>
              <w:tc>
                <w:tcPr>
                  <w:tcW w:type="dxa" w:w="3505"/>
                  <w:tcBorders>
                    <w:top w:val="single" w:color="000000" w:sz="4"/>
                    <w:left w:val="single" w:color="000000" w:sz="4"/>
                    <w:bottom w:val="single" w:color="000000" w:sz="4"/>
                    <w:right w:val="single" w:color="000000" w:sz="4"/>
                  </w:tcBorders>
                  <w:shd w:fill="FFFFFF"/>
                  <w:vAlign w:val="top"/>
                </w:tcPr>
                <w:p>
                  <w:pPr>
                    <w:jc w:val="center"/>
                  </w:pPr>
                  <w:r>
                    <w:rPr>
                      <w:b/>
                      <w:sz w:val="21"/>
                    </w:rPr>
                    <w:t>功能描述</w:t>
                  </w:r>
                </w:p>
              </w:tc>
            </w:tr>
            <w:tr>
              <w:tc>
                <w:tcPr>
                  <w:tcW w:type="dxa" w:w="825"/>
                  <w:vMerge w:val="restart"/>
                  <w:tcBorders>
                    <w:top w:val="none" w:color="000000" w:sz="4"/>
                    <w:left w:val="single" w:color="000000" w:sz="4"/>
                    <w:bottom w:val="single" w:color="000000" w:sz="4"/>
                    <w:right w:val="single" w:color="000000" w:sz="4"/>
                  </w:tcBorders>
                  <w:vAlign w:val="top"/>
                </w:tcPr>
                <w:p>
                  <w:pPr>
                    <w:jc w:val="center"/>
                  </w:pPr>
                  <w:r>
                    <w:rPr>
                      <w:sz w:val="21"/>
                    </w:rPr>
                    <w:t>设备管控客户端</w:t>
                  </w:r>
                </w:p>
              </w:tc>
              <w:tc>
                <w:tcPr>
                  <w:tcW w:type="dxa" w:w="1266"/>
                  <w:tcBorders>
                    <w:top w:val="none" w:color="000000" w:sz="4"/>
                    <w:left w:val="single" w:color="000000" w:sz="4"/>
                    <w:bottom w:val="single" w:color="000000" w:sz="4"/>
                    <w:right w:val="single" w:color="000000" w:sz="4"/>
                  </w:tcBorders>
                  <w:vAlign w:val="top"/>
                </w:tcPr>
                <w:p>
                  <w:pPr>
                    <w:jc w:val="both"/>
                  </w:pPr>
                  <w:r>
                    <w:rPr>
                      <w:sz w:val="21"/>
                    </w:rPr>
                    <w:t>①安全管控（简称MDM）</w:t>
                  </w:r>
                </w:p>
              </w:tc>
              <w:tc>
                <w:tcPr>
                  <w:tcW w:type="dxa" w:w="3505"/>
                  <w:tcBorders>
                    <w:top w:val="none" w:color="000000" w:sz="4"/>
                    <w:left w:val="single" w:color="000000" w:sz="4"/>
                    <w:bottom w:val="single" w:color="000000" w:sz="4"/>
                    <w:right w:val="single" w:color="000000" w:sz="4"/>
                  </w:tcBorders>
                  <w:vAlign w:val="top"/>
                </w:tcPr>
                <w:p>
                  <w:pPr>
                    <w:jc w:val="both"/>
                  </w:pPr>
                  <w:r>
                    <w:rPr>
                      <w:sz w:val="21"/>
                    </w:rPr>
                    <w:t>设备管控客户端需与</w:t>
                  </w:r>
                  <w:r>
                    <w:rPr>
                      <w:sz w:val="21"/>
                    </w:rPr>
                    <w:t>MDM服务系统结合，内置于终端，实现包括但不限于以下功能：终端注册激活、初始化配置、设备管理、网络管理、安全管理、多模式管理、应用管理、日志上报。</w:t>
                  </w:r>
                </w:p>
              </w:tc>
            </w:tr>
            <w:tr>
              <w:tc>
                <w:tcPr>
                  <w:tcW w:type="dxa" w:w="825"/>
                  <w:vMerge/>
                  <w:tcBorders>
                    <w:top w:val="none" w:color="000000" w:sz="4"/>
                    <w:left w:val="single" w:color="000000" w:sz="4"/>
                    <w:bottom w:val="single" w:color="000000" w:sz="4"/>
                    <w:right w:val="single" w:color="000000" w:sz="4"/>
                  </w:tcBorders>
                </w:tcPr>
                <w:p/>
              </w:tc>
              <w:tc>
                <w:tcPr>
                  <w:tcW w:type="dxa" w:w="1266"/>
                  <w:tcBorders>
                    <w:top w:val="none" w:color="000000" w:sz="4"/>
                    <w:left w:val="single" w:color="000000" w:sz="4"/>
                    <w:bottom w:val="single" w:color="000000" w:sz="4"/>
                    <w:right w:val="single" w:color="000000" w:sz="4"/>
                  </w:tcBorders>
                  <w:vAlign w:val="top"/>
                </w:tcPr>
                <w:p>
                  <w:pPr>
                    <w:jc w:val="both"/>
                  </w:pPr>
                  <w:r>
                    <w:rPr>
                      <w:sz w:val="21"/>
                    </w:rPr>
                    <w:t>②注册激活管理</w:t>
                  </w:r>
                </w:p>
              </w:tc>
              <w:tc>
                <w:tcPr>
                  <w:tcW w:type="dxa" w:w="3505"/>
                  <w:tcBorders>
                    <w:top w:val="none" w:color="000000" w:sz="4"/>
                    <w:left w:val="single" w:color="000000" w:sz="4"/>
                    <w:bottom w:val="single" w:color="000000" w:sz="4"/>
                    <w:right w:val="single" w:color="000000" w:sz="4"/>
                  </w:tcBorders>
                  <w:vAlign w:val="top"/>
                </w:tcPr>
                <w:p>
                  <w:pPr>
                    <w:jc w:val="both"/>
                  </w:pPr>
                  <w:r>
                    <w:rPr>
                      <w:sz w:val="21"/>
                    </w:rPr>
                    <w:t>需与</w:t>
                  </w:r>
                  <w:r>
                    <w:rPr>
                      <w:sz w:val="21"/>
                    </w:rPr>
                    <w:t>MDM服务器联动，实施终端设备注册激活、用户机卡绑定等管理。并收集终端资产信息上报至MDM服务器进行存档，供终端下发后使用时认证使用。</w:t>
                  </w:r>
                </w:p>
              </w:tc>
            </w:tr>
            <w:tr>
              <w:tc>
                <w:tcPr>
                  <w:tcW w:type="dxa" w:w="825"/>
                  <w:vMerge/>
                  <w:tcBorders>
                    <w:top w:val="none" w:color="000000" w:sz="4"/>
                    <w:left w:val="single" w:color="000000" w:sz="4"/>
                    <w:bottom w:val="single" w:color="000000" w:sz="4"/>
                    <w:right w:val="single" w:color="000000" w:sz="4"/>
                  </w:tcBorders>
                </w:tcPr>
                <w:p/>
              </w:tc>
              <w:tc>
                <w:tcPr>
                  <w:tcW w:type="dxa" w:w="1266"/>
                  <w:tcBorders>
                    <w:top w:val="none" w:color="000000" w:sz="4"/>
                    <w:left w:val="single" w:color="000000" w:sz="4"/>
                    <w:bottom w:val="single" w:color="000000" w:sz="4"/>
                    <w:right w:val="single" w:color="000000" w:sz="4"/>
                  </w:tcBorders>
                  <w:vAlign w:val="top"/>
                </w:tcPr>
                <w:p>
                  <w:pPr>
                    <w:jc w:val="both"/>
                  </w:pPr>
                  <w:r>
                    <w:rPr>
                      <w:sz w:val="21"/>
                    </w:rPr>
                    <w:t>③初始化配置</w:t>
                  </w:r>
                </w:p>
              </w:tc>
              <w:tc>
                <w:tcPr>
                  <w:tcW w:type="dxa" w:w="3505"/>
                  <w:tcBorders>
                    <w:top w:val="none" w:color="000000" w:sz="4"/>
                    <w:left w:val="single" w:color="000000" w:sz="4"/>
                    <w:bottom w:val="single" w:color="000000" w:sz="4"/>
                    <w:right w:val="single" w:color="000000" w:sz="4"/>
                  </w:tcBorders>
                  <w:vAlign w:val="top"/>
                </w:tcPr>
                <w:p>
                  <w:pPr>
                    <w:jc w:val="both"/>
                  </w:pPr>
                  <w:r>
                    <w:rPr>
                      <w:sz w:val="21"/>
                    </w:rPr>
                    <w:t>与</w:t>
                  </w:r>
                  <w:r>
                    <w:rPr>
                      <w:sz w:val="21"/>
                    </w:rPr>
                    <w:t>MDM服务器联动，MDM服务器预先配置终端安全初始化策略包括但不限于：网络安全配置、端口使用规范，以及根据部门结构预推送相关办公软件，终端注册激活完成后自动完成初始化配置。</w:t>
                  </w:r>
                </w:p>
              </w:tc>
            </w:tr>
            <w:tr>
              <w:tc>
                <w:tcPr>
                  <w:tcW w:type="dxa" w:w="825"/>
                  <w:vMerge/>
                  <w:tcBorders>
                    <w:top w:val="none" w:color="000000" w:sz="4"/>
                    <w:left w:val="single" w:color="000000" w:sz="4"/>
                    <w:bottom w:val="single" w:color="000000" w:sz="4"/>
                    <w:right w:val="single" w:color="000000" w:sz="4"/>
                  </w:tcBorders>
                </w:tcPr>
                <w:p/>
              </w:tc>
              <w:tc>
                <w:tcPr>
                  <w:tcW w:type="dxa" w:w="1266"/>
                  <w:tcBorders>
                    <w:top w:val="none" w:color="000000" w:sz="4"/>
                    <w:left w:val="single" w:color="000000" w:sz="4"/>
                    <w:bottom w:val="single" w:color="000000" w:sz="4"/>
                    <w:right w:val="single" w:color="000000" w:sz="4"/>
                  </w:tcBorders>
                  <w:vAlign w:val="top"/>
                </w:tcPr>
                <w:p>
                  <w:pPr>
                    <w:jc w:val="both"/>
                  </w:pPr>
                  <w:r>
                    <w:rPr>
                      <w:sz w:val="21"/>
                    </w:rPr>
                    <w:t>④设备管理</w:t>
                  </w:r>
                </w:p>
              </w:tc>
              <w:tc>
                <w:tcPr>
                  <w:tcW w:type="dxa" w:w="3505"/>
                  <w:tcBorders>
                    <w:top w:val="none" w:color="000000" w:sz="4"/>
                    <w:left w:val="single" w:color="000000" w:sz="4"/>
                    <w:bottom w:val="single" w:color="000000" w:sz="4"/>
                    <w:right w:val="single" w:color="000000" w:sz="4"/>
                  </w:tcBorders>
                  <w:vAlign w:val="top"/>
                </w:tcPr>
                <w:p>
                  <w:pPr>
                    <w:jc w:val="both"/>
                  </w:pPr>
                  <w:r>
                    <w:rPr>
                      <w:sz w:val="21"/>
                    </w:rPr>
                    <w:t>可采集包括但不限于终端序列号、终端型号、终端类型、终端操作系统设备基本信息；可采集</w:t>
                  </w:r>
                  <w:r>
                    <w:rPr>
                      <w:sz w:val="21"/>
                    </w:rPr>
                    <w:t>APN接入点信息；可采集蓝牙、WIFI等外设开启情况；可禁止终端网络非法外联；与MDM服务器联动，可实现通过服务器向指定终端推送文件，或者从终端抓取文件功能；可实现终端端口开启/关闭（例如蓝牙、WiFi、截屏等）功能；可实现管理员通过手机对受控终端进行管理的功能；可实现管理员远程接管终端界面进行协助操作的功能；可实现蓝牙白名单及WiFi热点白名单功能。</w:t>
                  </w:r>
                </w:p>
              </w:tc>
            </w:tr>
            <w:tr>
              <w:tc>
                <w:tcPr>
                  <w:tcW w:type="dxa" w:w="825"/>
                  <w:vMerge/>
                  <w:tcBorders>
                    <w:top w:val="none" w:color="000000" w:sz="4"/>
                    <w:left w:val="single" w:color="000000" w:sz="4"/>
                    <w:bottom w:val="single" w:color="000000" w:sz="4"/>
                    <w:right w:val="single" w:color="000000" w:sz="4"/>
                  </w:tcBorders>
                </w:tcPr>
                <w:p/>
              </w:tc>
              <w:tc>
                <w:tcPr>
                  <w:tcW w:type="dxa" w:w="1266"/>
                  <w:tcBorders>
                    <w:top w:val="none" w:color="000000" w:sz="4"/>
                    <w:left w:val="single" w:color="000000" w:sz="4"/>
                    <w:bottom w:val="single" w:color="000000" w:sz="4"/>
                    <w:right w:val="single" w:color="000000" w:sz="4"/>
                  </w:tcBorders>
                  <w:vAlign w:val="top"/>
                </w:tcPr>
                <w:p>
                  <w:pPr>
                    <w:jc w:val="both"/>
                  </w:pPr>
                  <w:r>
                    <w:rPr>
                      <w:sz w:val="21"/>
                    </w:rPr>
                    <w:t>⑤安全管控</w:t>
                  </w:r>
                </w:p>
              </w:tc>
              <w:tc>
                <w:tcPr>
                  <w:tcW w:type="dxa" w:w="3505"/>
                  <w:tcBorders>
                    <w:top w:val="none" w:color="000000" w:sz="4"/>
                    <w:left w:val="single" w:color="000000" w:sz="4"/>
                    <w:bottom w:val="single" w:color="000000" w:sz="4"/>
                    <w:right w:val="single" w:color="000000" w:sz="4"/>
                  </w:tcBorders>
                  <w:vAlign w:val="top"/>
                </w:tcPr>
                <w:p>
                  <w:pPr>
                    <w:jc w:val="both"/>
                  </w:pPr>
                  <w:r>
                    <w:rPr>
                      <w:sz w:val="21"/>
                    </w:rPr>
                    <w:t>可在终端侧对终端工作区网络接入点进行源头限制，只能接入公安无线虚拟专网，不能接入互联网；可对终端网络资源进行访问控制；可实现远程屏幕监控；可对设备进行远程锁定；可远程擦除终端数据；可实现</w:t>
                  </w:r>
                  <w:r>
                    <w:rPr>
                      <w:sz w:val="21"/>
                    </w:rPr>
                    <w:t>APP管控，禁止运行非可信程序，提供APP应用静默安装功能；可对终端WIFI进行管理，实现只定位、不传输数据；提供反制措施，支持控制指令下发和操作，可以在终端违规时由后台发起对终端违规行为的制约。</w:t>
                  </w:r>
                </w:p>
              </w:tc>
            </w:tr>
            <w:tr>
              <w:tc>
                <w:tcPr>
                  <w:tcW w:type="dxa" w:w="825"/>
                  <w:vMerge/>
                  <w:tcBorders>
                    <w:top w:val="none" w:color="000000" w:sz="4"/>
                    <w:left w:val="single" w:color="000000" w:sz="4"/>
                    <w:bottom w:val="single" w:color="000000" w:sz="4"/>
                    <w:right w:val="single" w:color="000000" w:sz="4"/>
                  </w:tcBorders>
                </w:tcPr>
                <w:p/>
              </w:tc>
              <w:tc>
                <w:tcPr>
                  <w:tcW w:type="dxa" w:w="1266"/>
                  <w:tcBorders>
                    <w:top w:val="none" w:color="000000" w:sz="4"/>
                    <w:left w:val="single" w:color="000000" w:sz="4"/>
                    <w:bottom w:val="single" w:color="000000" w:sz="4"/>
                    <w:right w:val="single" w:color="000000" w:sz="4"/>
                  </w:tcBorders>
                  <w:vAlign w:val="top"/>
                </w:tcPr>
                <w:p>
                  <w:pPr>
                    <w:jc w:val="both"/>
                  </w:pPr>
                  <w:r>
                    <w:rPr>
                      <w:sz w:val="21"/>
                    </w:rPr>
                    <w:t>⑥多模式管理</w:t>
                  </w:r>
                </w:p>
              </w:tc>
              <w:tc>
                <w:tcPr>
                  <w:tcW w:type="dxa" w:w="3505"/>
                  <w:tcBorders>
                    <w:top w:val="none" w:color="000000" w:sz="4"/>
                    <w:left w:val="single" w:color="000000" w:sz="4"/>
                    <w:bottom w:val="single" w:color="000000" w:sz="4"/>
                    <w:right w:val="single" w:color="000000" w:sz="4"/>
                  </w:tcBorders>
                  <w:vAlign w:val="top"/>
                </w:tcPr>
                <w:p>
                  <w:pPr>
                    <w:jc w:val="both"/>
                  </w:pPr>
                  <w:r>
                    <w:rPr>
                      <w:sz w:val="21"/>
                    </w:rPr>
                    <w:t>按照《全国公安移动警务建设总体技术方案（</w:t>
                  </w:r>
                  <w:r>
                    <w:rPr>
                      <w:sz w:val="21"/>
                    </w:rPr>
                    <w:t>2016版）》规定，警务终端需支持模式管理，实现安全办公系统下警务应用的统一安装或升级、回退、卸载等功能，且能够支持</w:t>
                  </w:r>
                  <w:r>
                    <w:rPr>
                      <w:sz w:val="21"/>
                    </w:rPr>
                    <w:t>大开发</w:t>
                  </w:r>
                  <w:r>
                    <w:rPr>
                      <w:sz w:val="21"/>
                    </w:rPr>
                    <w:t>操作；实现安全工作系统网络自动切换，为民警安全办公提供保障</w:t>
                  </w:r>
                  <w:r>
                    <w:rPr>
                      <w:sz w:val="21"/>
                    </w:rPr>
                    <w:t>。</w:t>
                  </w:r>
                </w:p>
              </w:tc>
            </w:tr>
            <w:tr>
              <w:tc>
                <w:tcPr>
                  <w:tcW w:type="dxa" w:w="825"/>
                  <w:vMerge/>
                  <w:tcBorders>
                    <w:top w:val="none" w:color="000000" w:sz="4"/>
                    <w:left w:val="single" w:color="000000" w:sz="4"/>
                    <w:bottom w:val="single" w:color="000000" w:sz="4"/>
                    <w:right w:val="single" w:color="000000" w:sz="4"/>
                  </w:tcBorders>
                </w:tcPr>
                <w:p/>
              </w:tc>
              <w:tc>
                <w:tcPr>
                  <w:tcW w:type="dxa" w:w="1266"/>
                  <w:tcBorders>
                    <w:top w:val="none" w:color="000000" w:sz="4"/>
                    <w:left w:val="single" w:color="000000" w:sz="4"/>
                    <w:bottom w:val="single" w:color="000000" w:sz="4"/>
                    <w:right w:val="single" w:color="000000" w:sz="4"/>
                  </w:tcBorders>
                  <w:vAlign w:val="top"/>
                </w:tcPr>
                <w:p>
                  <w:pPr>
                    <w:jc w:val="both"/>
                  </w:pPr>
                  <w:r>
                    <w:rPr>
                      <w:sz w:val="21"/>
                    </w:rPr>
                    <w:t>⑦应用管理</w:t>
                  </w:r>
                </w:p>
              </w:tc>
              <w:tc>
                <w:tcPr>
                  <w:tcW w:type="dxa" w:w="3505"/>
                  <w:tcBorders>
                    <w:top w:val="none" w:color="000000" w:sz="4"/>
                    <w:left w:val="single" w:color="000000" w:sz="4"/>
                    <w:bottom w:val="single" w:color="000000" w:sz="4"/>
                    <w:right w:val="single" w:color="000000" w:sz="4"/>
                  </w:tcBorders>
                  <w:vAlign w:val="top"/>
                </w:tcPr>
                <w:p>
                  <w:pPr>
                    <w:jc w:val="both"/>
                  </w:pPr>
                  <w:r>
                    <w:rPr>
                      <w:sz w:val="21"/>
                    </w:rPr>
                    <w:t>与</w:t>
                  </w:r>
                  <w:r>
                    <w:rPr>
                      <w:sz w:val="21"/>
                    </w:rPr>
                    <w:t>MDM服务器联动，终端侧可实现APP黑白名单管控，禁止安装和运行非可信程序；提供APP应用静默安装和静默卸载功能；提供指定APP防卸载功能；管控客户端定时上报终端软件资产信息至MDM服务器。</w:t>
                  </w:r>
                </w:p>
              </w:tc>
            </w:tr>
            <w:tr>
              <w:tc>
                <w:tcPr>
                  <w:tcW w:type="dxa" w:w="825"/>
                  <w:vMerge/>
                  <w:tcBorders>
                    <w:top w:val="none" w:color="000000" w:sz="4"/>
                    <w:left w:val="single" w:color="000000" w:sz="4"/>
                    <w:bottom w:val="single" w:color="000000" w:sz="4"/>
                    <w:right w:val="single" w:color="000000" w:sz="4"/>
                  </w:tcBorders>
                </w:tcPr>
                <w:p/>
              </w:tc>
              <w:tc>
                <w:tcPr>
                  <w:tcW w:type="dxa" w:w="1266"/>
                  <w:tcBorders>
                    <w:top w:val="none" w:color="000000" w:sz="4"/>
                    <w:left w:val="single" w:color="000000" w:sz="4"/>
                    <w:bottom w:val="single" w:color="000000" w:sz="4"/>
                    <w:right w:val="single" w:color="000000" w:sz="4"/>
                  </w:tcBorders>
                  <w:vAlign w:val="top"/>
                </w:tcPr>
                <w:p>
                  <w:pPr>
                    <w:jc w:val="both"/>
                  </w:pPr>
                  <w:r>
                    <w:rPr>
                      <w:sz w:val="21"/>
                    </w:rPr>
                    <w:t>⑧日志上报</w:t>
                  </w:r>
                </w:p>
              </w:tc>
              <w:tc>
                <w:tcPr>
                  <w:tcW w:type="dxa" w:w="3505"/>
                  <w:tcBorders>
                    <w:top w:val="none" w:color="000000" w:sz="4"/>
                    <w:left w:val="single" w:color="000000" w:sz="4"/>
                    <w:bottom w:val="single" w:color="000000" w:sz="4"/>
                    <w:right w:val="single" w:color="000000" w:sz="4"/>
                  </w:tcBorders>
                  <w:vAlign w:val="top"/>
                </w:tcPr>
                <w:p>
                  <w:pPr>
                    <w:jc w:val="both"/>
                  </w:pPr>
                  <w:r>
                    <w:rPr>
                      <w:sz w:val="21"/>
                    </w:rPr>
                    <w:t>提供警务应用运行情况统计和加密通讯隧道，并可由管控客户端后台发送应用行为日志。</w:t>
                  </w:r>
                </w:p>
              </w:tc>
            </w:tr>
          </w:tbl>
          <w:p>
            <w:r>
              <w:rPr>
                <w:sz w:val="21"/>
              </w:rPr>
              <w:t>4、后台设备管控系统</w:t>
            </w:r>
          </w:p>
          <w:p>
            <w:r>
              <w:rPr>
                <w:sz w:val="21"/>
              </w:rPr>
              <w:t>后台设备管控系统可集成在安全管控服务器和集中管控中心服务器上，部署在公安信息网服务子平台，在公安信息网提供系统对接的接口，实现日志共享以及用户、设备管理、报表统计等功能，对民警移动终端进行统一管理。主要实现移动终端设备的以下功能：</w:t>
            </w:r>
          </w:p>
          <w:tbl>
            <w:tblPr>
              <w:tblInd w:type="dxa" w:w="120"/>
              <w:tblBorders>
                <w:top w:val="none" w:color="000000" w:sz="4"/>
                <w:left w:val="none" w:color="000000" w:sz="4"/>
                <w:bottom w:val="none" w:color="000000" w:sz="4"/>
                <w:right w:val="none" w:color="000000" w:sz="4"/>
                <w:insideH w:val="none"/>
                <w:insideV w:val="none"/>
              </w:tblBorders>
            </w:tblPr>
            <w:tblGrid>
              <w:gridCol w:w="1034"/>
              <w:gridCol w:w="1053"/>
              <w:gridCol w:w="3511"/>
            </w:tblGrid>
            <w:tr>
              <w:tc>
                <w:tcPr>
                  <w:tcW w:type="dxa" w:w="1034"/>
                  <w:tcBorders>
                    <w:top w:val="single" w:color="000000" w:sz="4"/>
                    <w:left w:val="single" w:color="000000" w:sz="4"/>
                    <w:bottom w:val="single" w:color="000000" w:sz="4"/>
                    <w:right w:val="single" w:color="000000" w:sz="4"/>
                  </w:tcBorders>
                  <w:shd w:fill="FFFFFF"/>
                  <w:vAlign w:val="top"/>
                </w:tcPr>
                <w:p>
                  <w:pPr>
                    <w:jc w:val="center"/>
                  </w:pPr>
                  <w:r>
                    <w:rPr>
                      <w:b/>
                      <w:sz w:val="21"/>
                    </w:rPr>
                    <w:t>项目</w:t>
                  </w:r>
                </w:p>
              </w:tc>
              <w:tc>
                <w:tcPr>
                  <w:tcW w:type="dxa" w:w="1053"/>
                  <w:tcBorders>
                    <w:top w:val="single" w:color="000000" w:sz="4"/>
                    <w:left w:val="single" w:color="000000" w:sz="4"/>
                    <w:bottom w:val="single" w:color="000000" w:sz="4"/>
                    <w:right w:val="single" w:color="000000" w:sz="4"/>
                  </w:tcBorders>
                  <w:shd w:fill="FFFFFF"/>
                  <w:vAlign w:val="top"/>
                </w:tcPr>
                <w:p>
                  <w:pPr>
                    <w:jc w:val="center"/>
                  </w:pPr>
                  <w:r>
                    <w:rPr>
                      <w:b/>
                      <w:sz w:val="21"/>
                    </w:rPr>
                    <w:t>功能模块</w:t>
                  </w:r>
                </w:p>
              </w:tc>
              <w:tc>
                <w:tcPr>
                  <w:tcW w:type="dxa" w:w="3511"/>
                  <w:tcBorders>
                    <w:top w:val="single" w:color="000000" w:sz="4"/>
                    <w:left w:val="single" w:color="000000" w:sz="4"/>
                    <w:bottom w:val="single" w:color="000000" w:sz="4"/>
                    <w:right w:val="single" w:color="000000" w:sz="4"/>
                  </w:tcBorders>
                  <w:shd w:fill="FFFFFF"/>
                  <w:vAlign w:val="top"/>
                </w:tcPr>
                <w:p>
                  <w:pPr>
                    <w:jc w:val="center"/>
                  </w:pPr>
                  <w:r>
                    <w:rPr>
                      <w:b/>
                      <w:sz w:val="21"/>
                    </w:rPr>
                    <w:t>功能描述</w:t>
                  </w:r>
                </w:p>
              </w:tc>
            </w:tr>
            <w:tr>
              <w:tc>
                <w:tcPr>
                  <w:tcW w:type="dxa" w:w="1034"/>
                  <w:vMerge w:val="restart"/>
                  <w:tcBorders>
                    <w:top w:val="none" w:color="000000" w:sz="4"/>
                    <w:left w:val="single" w:color="000000" w:sz="4"/>
                    <w:bottom w:val="single" w:color="000000" w:sz="4"/>
                    <w:right w:val="single" w:color="000000" w:sz="4"/>
                  </w:tcBorders>
                  <w:vAlign w:val="top"/>
                </w:tcPr>
                <w:p>
                  <w:pPr>
                    <w:jc w:val="center"/>
                  </w:pPr>
                  <w:r>
                    <w:rPr>
                      <w:sz w:val="21"/>
                    </w:rPr>
                    <w:t>后台设备管控系统</w:t>
                  </w:r>
                </w:p>
              </w:tc>
              <w:tc>
                <w:tcPr>
                  <w:tcW w:type="dxa" w:w="1053"/>
                  <w:tcBorders>
                    <w:top w:val="none" w:color="000000" w:sz="4"/>
                    <w:left w:val="single" w:color="000000" w:sz="4"/>
                    <w:bottom w:val="single" w:color="000000" w:sz="4"/>
                    <w:right w:val="single" w:color="000000" w:sz="4"/>
                  </w:tcBorders>
                  <w:vAlign w:val="top"/>
                </w:tcPr>
                <w:p>
                  <w:pPr>
                    <w:jc w:val="both"/>
                  </w:pPr>
                  <w:r>
                    <w:rPr>
                      <w:sz w:val="21"/>
                    </w:rPr>
                    <w:t>①运行监测</w:t>
                  </w:r>
                </w:p>
              </w:tc>
              <w:tc>
                <w:tcPr>
                  <w:tcW w:type="dxa" w:w="3511"/>
                  <w:tcBorders>
                    <w:top w:val="none" w:color="000000" w:sz="4"/>
                    <w:left w:val="single" w:color="000000" w:sz="4"/>
                    <w:bottom w:val="single" w:color="000000" w:sz="4"/>
                    <w:right w:val="single" w:color="000000" w:sz="4"/>
                  </w:tcBorders>
                  <w:vAlign w:val="top"/>
                </w:tcPr>
                <w:p>
                  <w:pPr>
                    <w:jc w:val="both"/>
                  </w:pPr>
                  <w:r>
                    <w:rPr>
                      <w:sz w:val="21"/>
                    </w:rPr>
                    <w:t>将终端的硬件信息、运行状态、位置信息等将在平台中呈现，管理人员可根据不同的情况，通过平台对移动终端进行远程的管理操作，如锁定、解锁或销毁设备等。移动设备管理功能应包括但不限于：设备注册、设备激活、设备锁定、设备解锁、设备销毁、数据擦除、设备监控、密码重置、消息推送，威胁告警。当终端发生遗失等情况时，通过使用远程设备锁定、设备销毁、数据擦除等功能，可以实现锁定手机的正常使用、对特定数据进行擦除，有效防止终端被非法人员使用，敏感信息被非法人员获取。</w:t>
                  </w:r>
                </w:p>
              </w:tc>
            </w:tr>
            <w:tr>
              <w:tc>
                <w:tcPr>
                  <w:tcW w:type="dxa" w:w="1034"/>
                  <w:vMerge/>
                  <w:tcBorders>
                    <w:top w:val="none" w:color="000000" w:sz="4"/>
                    <w:left w:val="single" w:color="000000" w:sz="4"/>
                    <w:bottom w:val="single" w:color="000000" w:sz="4"/>
                    <w:right w:val="single" w:color="000000" w:sz="4"/>
                  </w:tcBorders>
                </w:tcPr>
                <w:p/>
              </w:tc>
              <w:tc>
                <w:tcPr>
                  <w:tcW w:type="dxa" w:w="1053"/>
                  <w:tcBorders>
                    <w:top w:val="none" w:color="000000" w:sz="4"/>
                    <w:left w:val="single" w:color="000000" w:sz="4"/>
                    <w:bottom w:val="single" w:color="000000" w:sz="4"/>
                    <w:right w:val="single" w:color="000000" w:sz="4"/>
                  </w:tcBorders>
                  <w:vAlign w:val="top"/>
                </w:tcPr>
                <w:p>
                  <w:pPr>
                    <w:jc w:val="both"/>
                  </w:pPr>
                  <w:r>
                    <w:rPr>
                      <w:sz w:val="21"/>
                    </w:rPr>
                    <w:t>②应用管理</w:t>
                  </w:r>
                </w:p>
              </w:tc>
              <w:tc>
                <w:tcPr>
                  <w:tcW w:type="dxa" w:w="3511"/>
                  <w:tcBorders>
                    <w:top w:val="none" w:color="000000" w:sz="4"/>
                    <w:left w:val="single" w:color="000000" w:sz="4"/>
                    <w:bottom w:val="single" w:color="000000" w:sz="4"/>
                    <w:right w:val="single" w:color="000000" w:sz="4"/>
                  </w:tcBorders>
                  <w:vAlign w:val="top"/>
                </w:tcPr>
                <w:p>
                  <w:pPr>
                    <w:jc w:val="both"/>
                  </w:pPr>
                  <w:r>
                    <w:rPr>
                      <w:sz w:val="21"/>
                    </w:rPr>
                    <w:t>应用管理功能，与应用支撑平台的应用发布管理系统结合，实现移动应用的高效分发、安装、更新和卸载等功能，并对终端设备中已安装应用进行安全监控。该类功能的使用必须取得相关管理权限，可以实现自动的应用分发、应用安装</w:t>
                  </w:r>
                  <w:r>
                    <w:rPr>
                      <w:sz w:val="21"/>
                    </w:rPr>
                    <w:t>/升级/卸载、应用黑白名单、应用监控等。通过移动应用管理，管理人员可批量分发安全应用到用户终端设备，并能够对特定用户实现指定的应用安装、升级和卸载等；可设置移动应用的黑白名单，指定特定范围内的手机按照此黑白名单，实现应用的安装管理。</w:t>
                  </w:r>
                </w:p>
              </w:tc>
            </w:tr>
            <w:tr>
              <w:tc>
                <w:tcPr>
                  <w:tcW w:type="dxa" w:w="1034"/>
                  <w:vMerge/>
                  <w:tcBorders>
                    <w:top w:val="none" w:color="000000" w:sz="4"/>
                    <w:left w:val="single" w:color="000000" w:sz="4"/>
                    <w:bottom w:val="single" w:color="000000" w:sz="4"/>
                    <w:right w:val="single" w:color="000000" w:sz="4"/>
                  </w:tcBorders>
                </w:tcPr>
                <w:p/>
              </w:tc>
              <w:tc>
                <w:tcPr>
                  <w:tcW w:type="dxa" w:w="1053"/>
                  <w:tcBorders>
                    <w:top w:val="none" w:color="000000" w:sz="4"/>
                    <w:left w:val="single" w:color="000000" w:sz="4"/>
                    <w:bottom w:val="single" w:color="000000" w:sz="4"/>
                    <w:right w:val="single" w:color="000000" w:sz="4"/>
                  </w:tcBorders>
                  <w:vAlign w:val="top"/>
                </w:tcPr>
                <w:p>
                  <w:pPr>
                    <w:jc w:val="both"/>
                  </w:pPr>
                  <w:r>
                    <w:rPr>
                      <w:sz w:val="21"/>
                    </w:rPr>
                    <w:t>③安全管控</w:t>
                  </w:r>
                </w:p>
              </w:tc>
              <w:tc>
                <w:tcPr>
                  <w:tcW w:type="dxa" w:w="3511"/>
                  <w:tcBorders>
                    <w:top w:val="none" w:color="000000" w:sz="4"/>
                    <w:left w:val="single" w:color="000000" w:sz="4"/>
                    <w:bottom w:val="single" w:color="000000" w:sz="4"/>
                    <w:right w:val="single" w:color="000000" w:sz="4"/>
                  </w:tcBorders>
                  <w:vAlign w:val="top"/>
                </w:tcPr>
                <w:p>
                  <w:pPr>
                    <w:jc w:val="both"/>
                  </w:pPr>
                  <w:r>
                    <w:rPr>
                      <w:sz w:val="21"/>
                    </w:rPr>
                    <w:t>对使用的应用及应用服务进行监测，包括应用进程以及应用传输内容，防止非法提取数据；响应后台监控中心发出的指令，实现终端安全事件的及时处置。</w:t>
                  </w:r>
                </w:p>
              </w:tc>
            </w:tr>
            <w:tr>
              <w:tc>
                <w:tcPr>
                  <w:tcW w:type="dxa" w:w="1034"/>
                  <w:vMerge/>
                  <w:tcBorders>
                    <w:top w:val="none" w:color="000000" w:sz="4"/>
                    <w:left w:val="single" w:color="000000" w:sz="4"/>
                    <w:bottom w:val="single" w:color="000000" w:sz="4"/>
                    <w:right w:val="single" w:color="000000" w:sz="4"/>
                  </w:tcBorders>
                </w:tcPr>
                <w:p/>
              </w:tc>
              <w:tc>
                <w:tcPr>
                  <w:tcW w:type="dxa" w:w="1053"/>
                  <w:tcBorders>
                    <w:top w:val="none" w:color="000000" w:sz="4"/>
                    <w:left w:val="single" w:color="000000" w:sz="4"/>
                    <w:bottom w:val="single" w:color="000000" w:sz="4"/>
                    <w:right w:val="single" w:color="000000" w:sz="4"/>
                  </w:tcBorders>
                  <w:vAlign w:val="top"/>
                </w:tcPr>
                <w:p>
                  <w:pPr>
                    <w:jc w:val="both"/>
                  </w:pPr>
                  <w:r>
                    <w:rPr>
                      <w:sz w:val="21"/>
                    </w:rPr>
                    <w:t>④策略管理</w:t>
                  </w:r>
                </w:p>
              </w:tc>
              <w:tc>
                <w:tcPr>
                  <w:tcW w:type="dxa" w:w="3511"/>
                  <w:tcBorders>
                    <w:top w:val="none" w:color="000000" w:sz="4"/>
                    <w:left w:val="single" w:color="000000" w:sz="4"/>
                    <w:bottom w:val="single" w:color="000000" w:sz="4"/>
                    <w:right w:val="single" w:color="000000" w:sz="4"/>
                  </w:tcBorders>
                  <w:vAlign w:val="top"/>
                </w:tcPr>
                <w:p>
                  <w:pPr>
                    <w:jc w:val="both"/>
                  </w:pPr>
                  <w:r>
                    <w:rPr>
                      <w:sz w:val="21"/>
                    </w:rPr>
                    <w:t>为用户提供全面统一的安全保障，还可根据用户类型的不同，制定有针对性的安全策略，实现更有效的安全保护。安全策略的下发，安全策略管理内容包括端口限制策略、蓝牙配对白名单策略、权限控制策略、系统信息推送策略及安全事件响应策略等。通过下发端口限制策略，可以控制终端上相关端口功能的开启和关闭，包括：蓝牙开启</w:t>
                  </w:r>
                  <w:r>
                    <w:rPr>
                      <w:sz w:val="21"/>
                    </w:rPr>
                    <w:t>/关闭、摄像头开启/关闭、麦克风开启/关闭、网络访问开关（WIFI开启/关闭、移动数据开启/关闭）、个人热点开启/关闭、GPS开启/关闭、USB开启/关闭、飞行模式功能开启/关闭，截屏功能开启/关闭，录屏功能开启/关闭；蓝牙配对白名单策略对于设置为白名单内的蓝牙设备，允许终端进行连接，白名单外的蓝牙设备，终端禁止连接；权限管控策略能够对指定应用进行赋权，被赋权的应用允许使用系统相应权限，例如使用摄像头、蓝牙、GPS等，而未赋权的应用无法使用这些功能；系统信息推送策略能够通过设备管控客户端读取工作系统提示及应用信息传递给第三方进行使用；安全事件响应策略可根据事先预置的响应策略，在发生各种安全事件时，对终端进行锁屏、断网、关机，甚至擦除数据等操作。</w:t>
                  </w:r>
                </w:p>
              </w:tc>
            </w:tr>
            <w:tr>
              <w:tc>
                <w:tcPr>
                  <w:tcW w:type="dxa" w:w="1034"/>
                  <w:vMerge/>
                  <w:tcBorders>
                    <w:top w:val="none" w:color="000000" w:sz="4"/>
                    <w:left w:val="single" w:color="000000" w:sz="4"/>
                    <w:bottom w:val="single" w:color="000000" w:sz="4"/>
                    <w:right w:val="single" w:color="000000" w:sz="4"/>
                  </w:tcBorders>
                </w:tcPr>
                <w:p/>
              </w:tc>
              <w:tc>
                <w:tcPr>
                  <w:tcW w:type="dxa" w:w="1053"/>
                  <w:tcBorders>
                    <w:top w:val="none" w:color="000000" w:sz="4"/>
                    <w:left w:val="single" w:color="000000" w:sz="4"/>
                    <w:bottom w:val="single" w:color="000000" w:sz="4"/>
                    <w:right w:val="single" w:color="000000" w:sz="4"/>
                  </w:tcBorders>
                  <w:vAlign w:val="top"/>
                </w:tcPr>
                <w:p>
                  <w:pPr>
                    <w:jc w:val="both"/>
                  </w:pPr>
                  <w:r>
                    <w:rPr>
                      <w:sz w:val="21"/>
                    </w:rPr>
                    <w:t>⑤报表管理</w:t>
                  </w:r>
                </w:p>
              </w:tc>
              <w:tc>
                <w:tcPr>
                  <w:tcW w:type="dxa" w:w="3511"/>
                  <w:tcBorders>
                    <w:top w:val="none" w:color="000000" w:sz="4"/>
                    <w:left w:val="single" w:color="000000" w:sz="4"/>
                    <w:bottom w:val="single" w:color="000000" w:sz="4"/>
                    <w:right w:val="single" w:color="000000" w:sz="4"/>
                  </w:tcBorders>
                  <w:vAlign w:val="top"/>
                </w:tcPr>
                <w:p>
                  <w:pPr>
                    <w:jc w:val="both"/>
                  </w:pPr>
                  <w:r>
                    <w:rPr>
                      <w:sz w:val="21"/>
                    </w:rPr>
                    <w:t>终端使用率报表：每月统计终端使用情况。符合广州市公安局终端使用率统计标准；</w:t>
                  </w:r>
                </w:p>
                <w:p>
                  <w:pPr>
                    <w:jc w:val="both"/>
                  </w:pPr>
                  <w:r>
                    <w:rPr>
                      <w:sz w:val="21"/>
                    </w:rPr>
                    <w:t>移动警务应用使用报表：平台提供每月按组织部门统计各应用使用次数的报表，并且能够统计使用应用次数最多的前三个组织部门。</w:t>
                  </w:r>
                </w:p>
              </w:tc>
            </w:tr>
            <w:tr>
              <w:tc>
                <w:tcPr>
                  <w:tcW w:type="dxa" w:w="1034"/>
                  <w:vMerge/>
                  <w:tcBorders>
                    <w:top w:val="none" w:color="000000" w:sz="4"/>
                    <w:left w:val="single" w:color="000000" w:sz="4"/>
                    <w:bottom w:val="single" w:color="000000" w:sz="4"/>
                    <w:right w:val="single" w:color="000000" w:sz="4"/>
                  </w:tcBorders>
                </w:tcPr>
                <w:p/>
              </w:tc>
              <w:tc>
                <w:tcPr>
                  <w:tcW w:type="dxa" w:w="1053"/>
                  <w:tcBorders>
                    <w:top w:val="none" w:color="000000" w:sz="4"/>
                    <w:left w:val="single" w:color="000000" w:sz="4"/>
                    <w:bottom w:val="single" w:color="000000" w:sz="4"/>
                    <w:right w:val="single" w:color="000000" w:sz="4"/>
                  </w:tcBorders>
                  <w:vAlign w:val="top"/>
                </w:tcPr>
                <w:p>
                  <w:pPr>
                    <w:jc w:val="both"/>
                  </w:pPr>
                  <w:r>
                    <w:rPr>
                      <w:sz w:val="21"/>
                    </w:rPr>
                    <w:t>⑥省、市两级集中管控平台对接</w:t>
                  </w:r>
                </w:p>
              </w:tc>
              <w:tc>
                <w:tcPr>
                  <w:tcW w:type="dxa" w:w="3511"/>
                  <w:tcBorders>
                    <w:top w:val="none" w:color="000000" w:sz="4"/>
                    <w:left w:val="single" w:color="000000" w:sz="4"/>
                    <w:bottom w:val="single" w:color="000000" w:sz="4"/>
                    <w:right w:val="single" w:color="000000" w:sz="4"/>
                  </w:tcBorders>
                  <w:vAlign w:val="top"/>
                </w:tcPr>
                <w:p>
                  <w:pPr>
                    <w:jc w:val="both"/>
                  </w:pPr>
                  <w:r>
                    <w:rPr>
                      <w:sz w:val="21"/>
                    </w:rPr>
                    <w:t>符合与省级、市级集中管控中心的接口设计，确保实现省级、市级平台（可以是不同厂商）接口对接</w:t>
                  </w:r>
                </w:p>
              </w:tc>
            </w:tr>
          </w:tbl>
          <w:p>
            <w:r>
              <w:rPr>
                <w:b/>
                <w:color w:val="000000"/>
                <w:sz w:val="21"/>
              </w:rPr>
              <w:t>三、移动警务终端硬件维修服务</w:t>
            </w:r>
          </w:p>
          <w:p>
            <w:r>
              <w:rPr>
                <w:color w:val="000000"/>
                <w:sz w:val="21"/>
              </w:rPr>
              <w:t>海珠分局原有的</w:t>
            </w:r>
            <w:r>
              <w:rPr>
                <w:color w:val="000000"/>
                <w:sz w:val="21"/>
              </w:rPr>
              <w:t>1035台双系统移动警务终端（华为NOVA8）于2021年11月采购，截至2023年11月使用满两年，经调研走访，采购人移动警务终端已使用较长时间，部分终端存在电池老化、电池容量衰减等问题，部分民警在终端使用过程中出现磕碰、碎屏等问题，为保障移动警务终端的正常使用，需提供移动警务终端的硬件维修（含配件更换）服务，以及终端日常使用过程中出现的各类硬件故障。</w:t>
            </w:r>
          </w:p>
          <w:p>
            <w:r>
              <w:rPr>
                <w:color w:val="000000"/>
                <w:sz w:val="21"/>
              </w:rPr>
              <w:t>维修期内，所有设备维修服务均为上门服务，由此产生的费用由采购人承担</w:t>
            </w:r>
            <w:r>
              <w:rPr>
                <w:color w:val="000000"/>
                <w:sz w:val="21"/>
              </w:rPr>
              <w:t>（已包含在投标报价中）</w:t>
            </w:r>
            <w:r>
              <w:rPr>
                <w:color w:val="000000"/>
                <w:sz w:val="21"/>
              </w:rPr>
              <w:t>。维修费用据实结算，且累计不能超过</w:t>
            </w:r>
            <w:r>
              <w:rPr>
                <w:color w:val="000000"/>
                <w:sz w:val="21"/>
              </w:rPr>
              <w:t>5万元。</w:t>
            </w:r>
          </w:p>
          <w:tbl>
            <w:tblPr>
              <w:tblInd w:type="dxa" w:w="120"/>
              <w:tblBorders>
                <w:top w:val="none" w:color="000000" w:sz="4"/>
                <w:left w:val="none" w:color="000000" w:sz="4"/>
                <w:bottom w:val="none" w:color="000000" w:sz="4"/>
                <w:right w:val="none" w:color="000000" w:sz="4"/>
                <w:insideH w:val="none"/>
                <w:insideV w:val="none"/>
              </w:tblBorders>
            </w:tblPr>
            <w:tblGrid>
              <w:gridCol w:w="490"/>
              <w:gridCol w:w="3562"/>
              <w:gridCol w:w="1545"/>
            </w:tblGrid>
            <w:tr>
              <w:tc>
                <w:tcPr>
                  <w:tcW w:type="dxa" w:w="5597"/>
                  <w:gridSpan w:val="3"/>
                  <w:tcBorders>
                    <w:top w:val="single" w:color="000000" w:sz="4"/>
                    <w:left w:val="single" w:color="000000" w:sz="4"/>
                    <w:bottom w:val="single" w:color="000000" w:sz="4"/>
                    <w:right w:val="single" w:color="000000" w:sz="4"/>
                  </w:tcBorders>
                  <w:vAlign w:val="bottom"/>
                </w:tcPr>
                <w:p>
                  <w:pPr>
                    <w:jc w:val="center"/>
                  </w:pPr>
                  <w:r>
                    <w:rPr>
                      <w:b/>
                      <w:sz w:val="21"/>
                    </w:rPr>
                    <w:t>华为</w:t>
                  </w:r>
                  <w:r>
                    <w:rPr>
                      <w:b/>
                      <w:sz w:val="21"/>
                    </w:rPr>
                    <w:t>NOVA8移动警务终端维修服务明细</w:t>
                  </w:r>
                </w:p>
              </w:tc>
            </w:tr>
            <w:tr>
              <w:tc>
                <w:tcPr>
                  <w:tcW w:type="dxa" w:w="490"/>
                  <w:tcBorders>
                    <w:top w:val="none" w:color="000000" w:sz="4"/>
                    <w:left w:val="single" w:color="000000" w:sz="4"/>
                    <w:bottom w:val="single" w:color="000000" w:sz="4"/>
                    <w:right w:val="single" w:color="000000" w:sz="4"/>
                  </w:tcBorders>
                  <w:vAlign w:val="bottom"/>
                </w:tcPr>
                <w:p>
                  <w:pPr>
                    <w:jc w:val="center"/>
                  </w:pPr>
                  <w:r>
                    <w:rPr>
                      <w:b/>
                      <w:sz w:val="21"/>
                    </w:rPr>
                    <w:t>序号</w:t>
                  </w:r>
                </w:p>
              </w:tc>
              <w:tc>
                <w:tcPr>
                  <w:tcW w:type="dxa" w:w="3562"/>
                  <w:tcBorders>
                    <w:top w:val="none" w:color="000000" w:sz="4"/>
                    <w:left w:val="none" w:color="000000" w:sz="4"/>
                    <w:bottom w:val="single" w:color="000000" w:sz="4"/>
                    <w:right w:val="single" w:color="000000" w:sz="4"/>
                  </w:tcBorders>
                  <w:vAlign w:val="bottom"/>
                </w:tcPr>
                <w:p>
                  <w:pPr>
                    <w:jc w:val="center"/>
                  </w:pPr>
                  <w:r>
                    <w:rPr>
                      <w:b/>
                      <w:sz w:val="21"/>
                    </w:rPr>
                    <w:t>项目</w:t>
                  </w:r>
                </w:p>
              </w:tc>
              <w:tc>
                <w:tcPr>
                  <w:tcW w:type="dxa" w:w="1545"/>
                  <w:tcBorders>
                    <w:top w:val="none" w:color="000000" w:sz="4"/>
                    <w:left w:val="none" w:color="000000" w:sz="4"/>
                    <w:bottom w:val="single" w:color="000000" w:sz="4"/>
                    <w:right w:val="single" w:color="000000" w:sz="4"/>
                  </w:tcBorders>
                  <w:vAlign w:val="bottom"/>
                </w:tcPr>
                <w:p>
                  <w:pPr>
                    <w:jc w:val="center"/>
                  </w:pPr>
                  <w:r>
                    <w:rPr>
                      <w:b/>
                      <w:sz w:val="21"/>
                    </w:rPr>
                    <w:t>最高限价</w:t>
                  </w:r>
                  <w:r>
                    <w:rPr>
                      <w:sz w:val="21"/>
                    </w:rPr>
                    <w:t>（元</w:t>
                  </w:r>
                  <w:r>
                    <w:rPr>
                      <w:sz w:val="21"/>
                    </w:rPr>
                    <w:t>/次）</w:t>
                  </w:r>
                </w:p>
              </w:tc>
            </w:tr>
            <w:tr>
              <w:tc>
                <w:tcPr>
                  <w:tcW w:type="dxa" w:w="490"/>
                  <w:tcBorders>
                    <w:top w:val="none" w:color="000000" w:sz="4"/>
                    <w:left w:val="single" w:color="000000" w:sz="4"/>
                    <w:bottom w:val="single" w:color="000000" w:sz="4"/>
                    <w:right w:val="single" w:color="000000" w:sz="4"/>
                  </w:tcBorders>
                  <w:vAlign w:val="bottom"/>
                </w:tcPr>
                <w:p>
                  <w:pPr>
                    <w:jc w:val="center"/>
                  </w:pPr>
                  <w:r>
                    <w:rPr>
                      <w:sz w:val="21"/>
                    </w:rPr>
                    <w:t>1</w:t>
                  </w:r>
                </w:p>
              </w:tc>
              <w:tc>
                <w:tcPr>
                  <w:tcW w:type="dxa" w:w="3562"/>
                  <w:tcBorders>
                    <w:top w:val="none" w:color="000000" w:sz="4"/>
                    <w:left w:val="none" w:color="000000" w:sz="4"/>
                    <w:bottom w:val="single" w:color="000000" w:sz="4"/>
                    <w:right w:val="single" w:color="000000" w:sz="4"/>
                  </w:tcBorders>
                  <w:vAlign w:val="bottom"/>
                </w:tcPr>
                <w:p>
                  <w:pPr>
                    <w:jc w:val="center"/>
                  </w:pPr>
                  <w:r>
                    <w:rPr>
                      <w:sz w:val="21"/>
                    </w:rPr>
                    <w:t>更换电池（非保维修包含原装电池及人工费用）</w:t>
                  </w:r>
                </w:p>
              </w:tc>
              <w:tc>
                <w:tcPr>
                  <w:tcW w:type="dxa" w:w="1545"/>
                  <w:tcBorders>
                    <w:top w:val="none" w:color="000000" w:sz="4"/>
                    <w:left w:val="none" w:color="000000" w:sz="4"/>
                    <w:bottom w:val="single" w:color="000000" w:sz="4"/>
                    <w:right w:val="single" w:color="000000" w:sz="4"/>
                  </w:tcBorders>
                  <w:vAlign w:val="bottom"/>
                </w:tcPr>
                <w:p>
                  <w:pPr>
                    <w:jc w:val="center"/>
                  </w:pPr>
                  <w:r>
                    <w:rPr>
                      <w:sz w:val="21"/>
                    </w:rPr>
                    <w:t>199</w:t>
                  </w:r>
                </w:p>
              </w:tc>
            </w:tr>
            <w:tr>
              <w:tc>
                <w:tcPr>
                  <w:tcW w:type="dxa" w:w="490"/>
                  <w:tcBorders>
                    <w:top w:val="none" w:color="000000" w:sz="4"/>
                    <w:left w:val="single" w:color="000000" w:sz="4"/>
                    <w:bottom w:val="single" w:color="000000" w:sz="4"/>
                    <w:right w:val="single" w:color="000000" w:sz="4"/>
                  </w:tcBorders>
                  <w:vAlign w:val="bottom"/>
                </w:tcPr>
                <w:p>
                  <w:pPr>
                    <w:jc w:val="center"/>
                  </w:pPr>
                  <w:r>
                    <w:rPr>
                      <w:sz w:val="21"/>
                    </w:rPr>
                    <w:t>2</w:t>
                  </w:r>
                </w:p>
              </w:tc>
              <w:tc>
                <w:tcPr>
                  <w:tcW w:type="dxa" w:w="3562"/>
                  <w:tcBorders>
                    <w:top w:val="none" w:color="000000" w:sz="4"/>
                    <w:left w:val="none" w:color="000000" w:sz="4"/>
                    <w:bottom w:val="single" w:color="000000" w:sz="4"/>
                    <w:right w:val="single" w:color="000000" w:sz="4"/>
                  </w:tcBorders>
                  <w:vAlign w:val="bottom"/>
                </w:tcPr>
                <w:p>
                  <w:pPr>
                    <w:jc w:val="center"/>
                  </w:pPr>
                  <w:r>
                    <w:rPr>
                      <w:sz w:val="21"/>
                    </w:rPr>
                    <w:t>更换外屏</w:t>
                  </w:r>
                </w:p>
              </w:tc>
              <w:tc>
                <w:tcPr>
                  <w:tcW w:type="dxa" w:w="1545"/>
                  <w:tcBorders>
                    <w:top w:val="none" w:color="000000" w:sz="4"/>
                    <w:left w:val="none" w:color="000000" w:sz="4"/>
                    <w:bottom w:val="single" w:color="000000" w:sz="4"/>
                    <w:right w:val="single" w:color="000000" w:sz="4"/>
                  </w:tcBorders>
                  <w:vAlign w:val="bottom"/>
                </w:tcPr>
                <w:p>
                  <w:pPr>
                    <w:jc w:val="center"/>
                  </w:pPr>
                  <w:r>
                    <w:rPr>
                      <w:sz w:val="21"/>
                    </w:rPr>
                    <w:t>300</w:t>
                  </w:r>
                </w:p>
              </w:tc>
            </w:tr>
            <w:tr>
              <w:tc>
                <w:tcPr>
                  <w:tcW w:type="dxa" w:w="490"/>
                  <w:tcBorders>
                    <w:top w:val="none" w:color="000000" w:sz="4"/>
                    <w:left w:val="single" w:color="000000" w:sz="4"/>
                    <w:bottom w:val="single" w:color="000000" w:sz="4"/>
                    <w:right w:val="single" w:color="000000" w:sz="4"/>
                  </w:tcBorders>
                  <w:vAlign w:val="bottom"/>
                </w:tcPr>
                <w:p>
                  <w:pPr>
                    <w:jc w:val="center"/>
                  </w:pPr>
                  <w:r>
                    <w:rPr>
                      <w:sz w:val="21"/>
                    </w:rPr>
                    <w:t>3</w:t>
                  </w:r>
                </w:p>
              </w:tc>
              <w:tc>
                <w:tcPr>
                  <w:tcW w:type="dxa" w:w="3562"/>
                  <w:tcBorders>
                    <w:top w:val="none" w:color="000000" w:sz="4"/>
                    <w:left w:val="none" w:color="000000" w:sz="4"/>
                    <w:bottom w:val="single" w:color="000000" w:sz="4"/>
                    <w:right w:val="single" w:color="000000" w:sz="4"/>
                  </w:tcBorders>
                  <w:vAlign w:val="bottom"/>
                </w:tcPr>
                <w:p>
                  <w:pPr>
                    <w:jc w:val="center"/>
                  </w:pPr>
                  <w:r>
                    <w:rPr>
                      <w:sz w:val="21"/>
                    </w:rPr>
                    <w:t>更换内屏</w:t>
                  </w:r>
                </w:p>
              </w:tc>
              <w:tc>
                <w:tcPr>
                  <w:tcW w:type="dxa" w:w="1545"/>
                  <w:tcBorders>
                    <w:top w:val="none" w:color="000000" w:sz="4"/>
                    <w:left w:val="none" w:color="000000" w:sz="4"/>
                    <w:bottom w:val="single" w:color="000000" w:sz="4"/>
                    <w:right w:val="single" w:color="000000" w:sz="4"/>
                  </w:tcBorders>
                  <w:vAlign w:val="bottom"/>
                </w:tcPr>
                <w:p>
                  <w:pPr>
                    <w:jc w:val="center"/>
                  </w:pPr>
                  <w:r>
                    <w:rPr>
                      <w:sz w:val="21"/>
                    </w:rPr>
                    <w:t>550</w:t>
                  </w:r>
                </w:p>
              </w:tc>
            </w:tr>
            <w:tr>
              <w:tc>
                <w:tcPr>
                  <w:tcW w:type="dxa" w:w="490"/>
                  <w:tcBorders>
                    <w:top w:val="none" w:color="000000" w:sz="4"/>
                    <w:left w:val="single" w:color="000000" w:sz="4"/>
                    <w:bottom w:val="single" w:color="000000" w:sz="4"/>
                    <w:right w:val="single" w:color="000000" w:sz="4"/>
                  </w:tcBorders>
                  <w:vAlign w:val="bottom"/>
                </w:tcPr>
                <w:p>
                  <w:pPr>
                    <w:jc w:val="center"/>
                  </w:pPr>
                  <w:r>
                    <w:rPr>
                      <w:sz w:val="21"/>
                    </w:rPr>
                    <w:t>4</w:t>
                  </w:r>
                </w:p>
              </w:tc>
              <w:tc>
                <w:tcPr>
                  <w:tcW w:type="dxa" w:w="3562"/>
                  <w:tcBorders>
                    <w:top w:val="none" w:color="000000" w:sz="4"/>
                    <w:left w:val="none" w:color="000000" w:sz="4"/>
                    <w:bottom w:val="single" w:color="000000" w:sz="4"/>
                    <w:right w:val="single" w:color="000000" w:sz="4"/>
                  </w:tcBorders>
                  <w:vAlign w:val="bottom"/>
                </w:tcPr>
                <w:p>
                  <w:pPr>
                    <w:jc w:val="center"/>
                  </w:pPr>
                  <w:r>
                    <w:rPr>
                      <w:sz w:val="21"/>
                    </w:rPr>
                    <w:t>充电器（</w:t>
                  </w:r>
                  <w:r>
                    <w:rPr>
                      <w:sz w:val="21"/>
                    </w:rPr>
                    <w:t>2米66W快充线，Type-C插口）</w:t>
                  </w:r>
                </w:p>
              </w:tc>
              <w:tc>
                <w:tcPr>
                  <w:tcW w:type="dxa" w:w="1545"/>
                  <w:tcBorders>
                    <w:top w:val="none" w:color="000000" w:sz="4"/>
                    <w:left w:val="none" w:color="000000" w:sz="4"/>
                    <w:bottom w:val="single" w:color="000000" w:sz="4"/>
                    <w:right w:val="single" w:color="000000" w:sz="4"/>
                  </w:tcBorders>
                  <w:vAlign w:val="bottom"/>
                </w:tcPr>
                <w:p>
                  <w:pPr>
                    <w:jc w:val="center"/>
                  </w:pPr>
                  <w:r>
                    <w:rPr>
                      <w:sz w:val="21"/>
                    </w:rPr>
                    <w:t>80</w:t>
                  </w:r>
                </w:p>
              </w:tc>
            </w:tr>
            <w:tr>
              <w:tc>
                <w:tcPr>
                  <w:tcW w:type="dxa" w:w="490"/>
                  <w:tcBorders>
                    <w:top w:val="none" w:color="000000" w:sz="4"/>
                    <w:left w:val="single" w:color="000000" w:sz="4"/>
                    <w:bottom w:val="single" w:color="000000" w:sz="4"/>
                    <w:right w:val="single" w:color="000000" w:sz="4"/>
                  </w:tcBorders>
                  <w:vAlign w:val="bottom"/>
                </w:tcPr>
                <w:p>
                  <w:pPr>
                    <w:jc w:val="center"/>
                  </w:pPr>
                  <w:r>
                    <w:rPr>
                      <w:sz w:val="21"/>
                    </w:rPr>
                    <w:t>5</w:t>
                  </w:r>
                </w:p>
              </w:tc>
              <w:tc>
                <w:tcPr>
                  <w:tcW w:type="dxa" w:w="3562"/>
                  <w:tcBorders>
                    <w:top w:val="none" w:color="000000" w:sz="4"/>
                    <w:left w:val="none" w:color="000000" w:sz="4"/>
                    <w:bottom w:val="single" w:color="000000" w:sz="4"/>
                    <w:right w:val="single" w:color="000000" w:sz="4"/>
                  </w:tcBorders>
                  <w:vAlign w:val="bottom"/>
                </w:tcPr>
                <w:p>
                  <w:pPr>
                    <w:jc w:val="center"/>
                  </w:pPr>
                  <w:r>
                    <w:rPr>
                      <w:sz w:val="21"/>
                    </w:rPr>
                    <w:t>数据线（</w:t>
                  </w:r>
                  <w:r>
                    <w:rPr>
                      <w:sz w:val="21"/>
                    </w:rPr>
                    <w:t>2米66W数据线，Type-C插口）</w:t>
                  </w:r>
                </w:p>
              </w:tc>
              <w:tc>
                <w:tcPr>
                  <w:tcW w:type="dxa" w:w="1545"/>
                  <w:tcBorders>
                    <w:top w:val="none" w:color="000000" w:sz="4"/>
                    <w:left w:val="none" w:color="000000" w:sz="4"/>
                    <w:bottom w:val="single" w:color="000000" w:sz="4"/>
                    <w:right w:val="single" w:color="000000" w:sz="4"/>
                  </w:tcBorders>
                  <w:vAlign w:val="bottom"/>
                </w:tcPr>
                <w:p>
                  <w:pPr>
                    <w:jc w:val="center"/>
                  </w:pPr>
                  <w:r>
                    <w:rPr>
                      <w:sz w:val="21"/>
                    </w:rPr>
                    <w:t>80</w:t>
                  </w:r>
                </w:p>
              </w:tc>
            </w:tr>
            <w:tr>
              <w:tc>
                <w:tcPr>
                  <w:tcW w:type="dxa" w:w="490"/>
                  <w:tcBorders>
                    <w:top w:val="none" w:color="000000" w:sz="4"/>
                    <w:left w:val="single" w:color="000000" w:sz="4"/>
                    <w:bottom w:val="single" w:color="000000" w:sz="4"/>
                    <w:right w:val="single" w:color="000000" w:sz="4"/>
                  </w:tcBorders>
                  <w:vAlign w:val="bottom"/>
                </w:tcPr>
                <w:p>
                  <w:pPr>
                    <w:jc w:val="center"/>
                  </w:pPr>
                  <w:r>
                    <w:rPr>
                      <w:sz w:val="21"/>
                    </w:rPr>
                    <w:t>6</w:t>
                  </w:r>
                </w:p>
              </w:tc>
              <w:tc>
                <w:tcPr>
                  <w:tcW w:type="dxa" w:w="3562"/>
                  <w:tcBorders>
                    <w:top w:val="none" w:color="000000" w:sz="4"/>
                    <w:left w:val="none" w:color="000000" w:sz="4"/>
                    <w:bottom w:val="single" w:color="000000" w:sz="4"/>
                    <w:right w:val="single" w:color="000000" w:sz="4"/>
                  </w:tcBorders>
                  <w:vAlign w:val="bottom"/>
                </w:tcPr>
                <w:p>
                  <w:pPr>
                    <w:jc w:val="center"/>
                  </w:pPr>
                  <w:r>
                    <w:rPr>
                      <w:sz w:val="21"/>
                    </w:rPr>
                    <w:t>加密卡</w:t>
                  </w:r>
                </w:p>
              </w:tc>
              <w:tc>
                <w:tcPr>
                  <w:tcW w:type="dxa" w:w="1545"/>
                  <w:tcBorders>
                    <w:top w:val="none" w:color="000000" w:sz="4"/>
                    <w:left w:val="none" w:color="000000" w:sz="4"/>
                    <w:bottom w:val="single" w:color="000000" w:sz="4"/>
                    <w:right w:val="single" w:color="000000" w:sz="4"/>
                  </w:tcBorders>
                  <w:vAlign w:val="bottom"/>
                </w:tcPr>
                <w:p>
                  <w:pPr>
                    <w:jc w:val="center"/>
                  </w:pPr>
                  <w:r>
                    <w:rPr>
                      <w:sz w:val="21"/>
                    </w:rPr>
                    <w:t>480</w:t>
                  </w:r>
                </w:p>
              </w:tc>
            </w:tr>
          </w:tbl>
          <w:p>
            <w:pPr>
              <w:jc w:val="both"/>
            </w:pPr>
            <w:r>
              <w:rPr>
                <w:b/>
                <w:sz w:val="21"/>
              </w:rPr>
              <w:t>四、网络技术要求</w:t>
            </w:r>
          </w:p>
          <w:p>
            <w:r>
              <w:rPr>
                <w:b/>
                <w:color w:val="000000"/>
                <w:sz w:val="21"/>
              </w:rPr>
              <w:t>（</w:t>
            </w:r>
            <w:r>
              <w:rPr>
                <w:b/>
                <w:color w:val="000000"/>
                <w:sz w:val="21"/>
              </w:rPr>
              <w:t>1）网络总体要求</w:t>
            </w:r>
          </w:p>
          <w:p>
            <w:r>
              <w:rPr>
                <w:color w:val="000000"/>
                <w:sz w:val="21"/>
              </w:rPr>
              <w:t>全网络采用</w:t>
            </w:r>
            <w:r>
              <w:rPr>
                <w:color w:val="000000"/>
                <w:sz w:val="21"/>
              </w:rPr>
              <w:t>4G/5G无线技术，使移动终端从接入点到公安内网接入设备之间使用4G/5G网络，数据在4G/5G网络中传输，即为移动终端提供基于4G/5G的专网接入服务。</w:t>
            </w:r>
          </w:p>
          <w:p>
            <w:r>
              <w:rPr>
                <w:b/>
                <w:color w:val="000000"/>
                <w:sz w:val="21"/>
              </w:rPr>
              <w:t>（</w:t>
            </w:r>
            <w:r>
              <w:rPr>
                <w:b/>
                <w:color w:val="000000"/>
                <w:sz w:val="21"/>
              </w:rPr>
              <w:t>2）无线网安全性要求</w:t>
            </w:r>
          </w:p>
          <w:p>
            <w:r>
              <w:rPr>
                <w:color w:val="000000"/>
                <w:sz w:val="21"/>
              </w:rPr>
              <w:t>由中标人负责相关的网络安全解决方案，承诺确保网络安全，符合国家相关网络安全管理法规要求；使用</w:t>
            </w:r>
            <w:r>
              <w:rPr>
                <w:color w:val="000000"/>
                <w:sz w:val="21"/>
              </w:rPr>
              <w:t>4G/5G无线宽带的公众用户不会对公安内网的用户和业务系统进行干扰。</w:t>
            </w:r>
          </w:p>
          <w:p>
            <w:r>
              <w:rPr>
                <w:b/>
                <w:color w:val="000000"/>
                <w:sz w:val="21"/>
              </w:rPr>
              <w:t>五、技术服务要求</w:t>
            </w:r>
          </w:p>
          <w:p>
            <w:r>
              <w:rPr>
                <w:color w:val="000000"/>
                <w:sz w:val="21"/>
              </w:rPr>
              <w:t>（</w:t>
            </w:r>
            <w:r>
              <w:rPr>
                <w:color w:val="000000"/>
                <w:sz w:val="21"/>
              </w:rPr>
              <w:t>1）技术服务地点：广州市内采购人指定地点。</w:t>
            </w:r>
          </w:p>
          <w:p>
            <w:r>
              <w:rPr>
                <w:color w:val="000000"/>
                <w:sz w:val="21"/>
              </w:rPr>
              <w:t>（</w:t>
            </w:r>
            <w:r>
              <w:rPr>
                <w:color w:val="000000"/>
                <w:sz w:val="21"/>
              </w:rPr>
              <w:t>2）常驻备勤地点：广州市内。</w:t>
            </w:r>
          </w:p>
          <w:p>
            <w:r>
              <w:rPr>
                <w:color w:val="000000"/>
                <w:sz w:val="21"/>
              </w:rPr>
              <w:t>（</w:t>
            </w:r>
            <w:r>
              <w:rPr>
                <w:color w:val="000000"/>
                <w:sz w:val="21"/>
              </w:rPr>
              <w:t>3）技术服务年限：一年。</w:t>
            </w:r>
          </w:p>
          <w:p>
            <w:r>
              <w:rPr>
                <w:color w:val="000000"/>
                <w:sz w:val="21"/>
              </w:rPr>
              <w:t>（</w:t>
            </w:r>
            <w:r>
              <w:rPr>
                <w:color w:val="000000"/>
                <w:sz w:val="21"/>
              </w:rPr>
              <w:t>4）技术服务质量要求：保证公安专用网络链路畅通、移动警务终端、加密卡能正常工作。</w:t>
            </w:r>
          </w:p>
          <w:p>
            <w:pPr>
              <w:jc w:val="both"/>
            </w:pPr>
            <w:r>
              <w:rPr>
                <w:color w:val="000000"/>
                <w:sz w:val="21"/>
              </w:rPr>
              <w:t>（</w:t>
            </w:r>
            <w:r>
              <w:rPr>
                <w:color w:val="000000"/>
                <w:sz w:val="21"/>
              </w:rPr>
              <w:t>5）中标人交付前要对采购人技术人员进行使用及后期维护的相关培训。</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广州市公安局海珠区分局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 ￥16,200.00元（大写：人民币壹万陆仟贰佰元整）。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郭俊贤、陈蔚</w:t>
      </w:r>
    </w:p>
    <w:p>
      <w:pPr>
        <w:ind w:firstLine="480"/>
      </w:pPr>
      <w:r>
        <w:rPr/>
        <w:t>电话：</w:t>
      </w:r>
      <w:r>
        <w:rPr/>
        <w:t>020-87687427、87688049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政府采购监督管理机构名称：广州市海珠区财政局综合法规科</w:t>
      </w:r>
    </w:p>
    <w:p>
      <w:r>
        <w:rPr/>
        <w:t>地  址：广州市海珠区宝岗大道龙骧大街5号</w:t>
      </w:r>
    </w:p>
    <w:p>
      <w:r>
        <w:rPr/>
        <w:t>电  话：020-84121563、020-84156814</w:t>
      </w:r>
    </w:p>
    <w:p>
      <w:r>
        <w:rPr/>
        <w:t>邮  编：510220</w:t>
      </w:r>
    </w:p>
    <w:p>
      <w:r>
        <w:rPr/>
        <w:t>传  真：</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采购包1(移动警务通信服务)：综合评分法,是指投标文件满足招标文件全部实质性要求，且按照评审因素的量化指标评审得分最高的投标人为中标候选人的评标方法。（最低报价不是中标的唯一依据。）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采购包1（移动警务通信服务）：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采购包1（移动警务通信服务）：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采购包1（移动警务通信服务）：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采购包1(移动警务通信服务):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技术部分50.0分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整体技术服务方案 (6.0分)</w:t>
            </w:r>
          </w:p>
        </w:tc>
        <w:tc>
          <w:tcPr>
            <w:tcW w:type="dxa" w:w="5076"/>
          </w:tcPr>
          <w:p>
            <w:pPr>
              <w:jc w:val="left"/>
            </w:pPr>
            <w:r>
              <w:rPr/>
              <w:t>根据各投标人的整体技术服务方案（包括但不限于：①服务方案、②服务质量保障措施、③对采购需求的理解和认知）情况进行评审：  1、响应内容包含以上3项，整体技术服务方案内容详细完善，对采购需求的理解程度高，可行性高，得6分； 2、响应内容包含以上3项，整体技术服务方案内容较详细完善，对采购需求的理解程度较高，可行性较高，得3分；  3、响应内容有遗漏，整体技术服务方案内容不够详细完善，对采购需求有一定的理解，可行性较低，得1分；  4、响应内容有遗漏，整体技术服务方案内容不详细完善， 对采购需求理解度不高，可行性低，或未提供整体技术服务方案，得0分 。</w:t>
            </w:r>
          </w:p>
        </w:tc>
      </w:tr>
      <w:tr>
        <w:tc>
          <w:tcPr>
            <w:tcW w:type="dxa" w:w="922"/>
            <w:gridSpan w:val="2"/>
            <w:vMerge/>
          </w:tcPr>
          <w:p/>
        </w:tc>
        <w:tc>
          <w:tcPr>
            <w:tcW w:type="dxa" w:w="2307"/>
          </w:tcPr>
          <w:p>
            <w:pPr>
              <w:jc w:val="left"/>
            </w:pPr>
            <w:r>
              <w:rPr/>
              <w:t>警务应用语音流量套餐响应情况 (22.0分)</w:t>
            </w:r>
          </w:p>
        </w:tc>
        <w:tc>
          <w:tcPr>
            <w:tcW w:type="dxa" w:w="5076"/>
          </w:tcPr>
          <w:p>
            <w:pPr>
              <w:jc w:val="left"/>
            </w:pPr>
            <w:r>
              <w:rPr/>
              <w:t>根据供应商对采购需求中“技术标准与要求”（共22项）的一般性条款响应情况：完全满足或优于，得22分；有一项不满足或负偏离的扣1分，扣完为止。  备注：如采购需求中有明确提供证明材料的，以采购需求中要求的证明材料为准；如采购需求中未明确证明材料的，以投标人响应文件中的《技术和服务要求响应表》中的响应情况填写内容为准，未填写的或参数不满足的都视为负偏离或不满足；有多级序号的，细化到最末级序号。无多级序号的，则一个序号为1项条款；其中“三、移动警务终端硬件维修服务”、“五、技术服务要求”，视为1项。</w:t>
            </w:r>
          </w:p>
        </w:tc>
      </w:tr>
      <w:tr>
        <w:tc>
          <w:tcPr>
            <w:tcW w:type="dxa" w:w="922"/>
            <w:gridSpan w:val="2"/>
            <w:vMerge/>
          </w:tcPr>
          <w:p/>
        </w:tc>
        <w:tc>
          <w:tcPr>
            <w:tcW w:type="dxa" w:w="2307"/>
          </w:tcPr>
          <w:p>
            <w:pPr>
              <w:jc w:val="left"/>
            </w:pPr>
            <w:r>
              <w:rPr/>
              <w:t>移动警务整体运维服务方案 (8.0分)</w:t>
            </w:r>
          </w:p>
        </w:tc>
        <w:tc>
          <w:tcPr>
            <w:tcW w:type="dxa" w:w="5076"/>
          </w:tcPr>
          <w:p>
            <w:pPr>
              <w:jc w:val="left"/>
            </w:pPr>
            <w:r>
              <w:rPr/>
              <w:t>根据各供应商响应方案的①移动警务通信服务、②终端服务、③安装服务、④维修服务、⑤日常检测机制、⑥运维团队构成（含驻场人员）、⑦应急响应机制综合评比： 1、响应内容包含以上7项，并整体运维服务方案说明详细具体，运维团队构成合理，日常检测机制详尽，应急响应机制可行的，保障措施详细，得8分； 2、响应内容包含以上7项，并整体运维服务方案说明详细一般，供货计划及时且有一定的合理性，日常检测机制有一定的详尽度，应急响应机制有一定的可行性，有一定的保障措施，得4分； 3、响应内容有遗漏，整体运维服务方案说明粗劣，供货计划拖沓且不合理，日常检测机制不详尽，应急响应机制不可行，无保障措施，得1分； 4、响应内容有遗漏，实施方案部分满足套餐语音流量要求，或未提供方案，得0分。</w:t>
            </w:r>
          </w:p>
        </w:tc>
      </w:tr>
      <w:tr>
        <w:tc>
          <w:tcPr>
            <w:tcW w:type="dxa" w:w="922"/>
            <w:gridSpan w:val="2"/>
            <w:vMerge/>
          </w:tcPr>
          <w:p/>
        </w:tc>
        <w:tc>
          <w:tcPr>
            <w:tcW w:type="dxa" w:w="2307"/>
          </w:tcPr>
          <w:p>
            <w:pPr>
              <w:jc w:val="left"/>
            </w:pPr>
            <w:r>
              <w:rPr/>
              <w:t>安全生产 (6.0分)</w:t>
            </w:r>
          </w:p>
        </w:tc>
        <w:tc>
          <w:tcPr>
            <w:tcW w:type="dxa" w:w="5076"/>
          </w:tcPr>
          <w:p>
            <w:pPr>
              <w:jc w:val="left"/>
            </w:pPr>
            <w:r>
              <w:rPr/>
              <w:t>根据各供应商网络安全事故情况的进行评审： 1、所投移动业务运营商2022年1月1日以来无发生通信中断1小时或以上的重大网络安全事故，得6分。 2、所投移动业务运营商2022年1月1日以来发生通信中断1小时至5小时内的重大网络安全事故，得3分。 3、其他情况或未提供承诺的，得0分。 注：本项由供应商提供承诺函。</w:t>
            </w:r>
          </w:p>
        </w:tc>
      </w:tr>
      <w:tr>
        <w:tc>
          <w:tcPr>
            <w:tcW w:type="dxa" w:w="922"/>
            <w:gridSpan w:val="2"/>
            <w:vMerge/>
          </w:tcPr>
          <w:p/>
        </w:tc>
        <w:tc>
          <w:tcPr>
            <w:tcW w:type="dxa" w:w="2307"/>
          </w:tcPr>
          <w:p>
            <w:pPr>
              <w:jc w:val="left"/>
            </w:pPr>
            <w:r>
              <w:rPr/>
              <w:t>验收标准和实施方案 (3.0分)</w:t>
            </w:r>
          </w:p>
        </w:tc>
        <w:tc>
          <w:tcPr>
            <w:tcW w:type="dxa" w:w="5076"/>
          </w:tcPr>
          <w:p>
            <w:pPr>
              <w:jc w:val="left"/>
            </w:pPr>
            <w:r>
              <w:rPr/>
              <w:t>根据供应商针对本项目提供的实施和验收方案（包括但不限于：①所有硬件的安装、②调试和维护服务、③供货计划、④验收方案等）进行评审： 1、响应内容包含以上4项，验收标准和实施方案详细完善，可行性高、操作性强，得3分； 2、响应内容包含以上4项，验收标准和实施方案较详细完善，可行性、操作性较强，得2分； 3、响应内容有遗漏，验收标准和实施方案部分详细完善，具有一定的可行性、操作性，得1分； 4、响应内容有遗漏，验收标准和实施方案不详细完善，可行性、操作性较低，或无提供验收标准和实施方案得0分。</w:t>
            </w:r>
          </w:p>
        </w:tc>
      </w:tr>
      <w:tr>
        <w:tc>
          <w:tcPr>
            <w:tcW w:type="dxa" w:w="922"/>
            <w:gridSpan w:val="2"/>
            <w:vMerge/>
          </w:tcPr>
          <w:p/>
        </w:tc>
        <w:tc>
          <w:tcPr>
            <w:tcW w:type="dxa" w:w="2307"/>
          </w:tcPr>
          <w:p>
            <w:pPr>
              <w:jc w:val="left"/>
            </w:pPr>
            <w:r>
              <w:rPr/>
              <w:t>售后服务和技术培训方案 (3.0分)</w:t>
            </w:r>
          </w:p>
        </w:tc>
        <w:tc>
          <w:tcPr>
            <w:tcW w:type="dxa" w:w="5076"/>
          </w:tcPr>
          <w:p>
            <w:pPr>
              <w:jc w:val="left"/>
            </w:pPr>
            <w:r>
              <w:rPr/>
              <w:t>售后服务和技术培训包含但不限于：①硬件送检修安排、②应急备用设备支援安排、③设备管控和MDM后台技术支撑； 1、响应内容包含以上3项，售后服务和技术培训方案详细完善，可行性高、操作性强，得3分； 1、响应内容包含以上3项，售后服务和技术培训方案较详细完善，可行性、操作性较强，得2分； 3、响应内容有遗漏，售后服务和技术培训方案部分详细完善，具有一定的可行性、操作性，得1分； 4、响应内容有遗漏，售后服务和技术培训方案不详细完善，可行性、操作性较低，或无提供售后服务和技术培训方案得 0分。</w:t>
            </w:r>
          </w:p>
        </w:tc>
      </w:tr>
      <w:tr>
        <w:tc>
          <w:tcPr>
            <w:tcW w:type="dxa" w:w="922"/>
            <w:gridSpan w:val="2"/>
            <w:vMerge/>
          </w:tcPr>
          <w:p/>
        </w:tc>
        <w:tc>
          <w:tcPr>
            <w:tcW w:type="dxa" w:w="2307"/>
          </w:tcPr>
          <w:p>
            <w:pPr>
              <w:jc w:val="left"/>
            </w:pPr>
            <w:r>
              <w:rPr/>
              <w:t>服务响应时间 (2.0分)</w:t>
            </w:r>
          </w:p>
        </w:tc>
        <w:tc>
          <w:tcPr>
            <w:tcW w:type="dxa" w:w="5076"/>
          </w:tcPr>
          <w:p>
            <w:pPr>
              <w:jc w:val="left"/>
            </w:pPr>
            <w:r>
              <w:rPr/>
              <w:t>1、网络故障恢复时限≤4小时，得2分； 2、4小时＜网络故障恢复时限≤6小时，得1分； 3、无响应或其他，不得分。 备注：提供服务承诺（格式自定）。</w:t>
            </w:r>
          </w:p>
        </w:tc>
      </w:tr>
      <w:tr>
        <w:tc>
          <w:tcPr>
            <w:tcW w:type="dxa" w:w="922"/>
            <w:gridSpan w:val="2"/>
            <w:vMerge w:val="restart"/>
          </w:tcPr>
          <w:p>
            <w:pPr>
              <w:jc w:val="center"/>
            </w:pPr>
            <w:r>
              <w:rPr/>
              <w:t>商务部分</w:t>
            </w:r>
          </w:p>
        </w:tc>
        <w:tc>
          <w:tcPr>
            <w:tcW w:type="dxa" w:w="2307"/>
          </w:tcPr>
          <w:p>
            <w:pPr>
              <w:jc w:val="left"/>
            </w:pPr>
            <w:r>
              <w:rPr/>
              <w:t>供应商2020年1月1日以来具有同类项目（移动警务通信服务）经验（分公司投标的，总公司业绩可纳入评审） (5.0分)</w:t>
            </w:r>
          </w:p>
        </w:tc>
        <w:tc>
          <w:tcPr>
            <w:tcW w:type="dxa" w:w="5076"/>
          </w:tcPr>
          <w:p>
            <w:pPr>
              <w:jc w:val="left"/>
            </w:pPr>
            <w:r>
              <w:rPr/>
              <w:t>根据投标人提供同类项目（移动警务通信服务）经验进行评审，每提供一个得1分，满分5分。备注：以合同关键页为准。（供应商所提供的合同关键页必须包括甲乙双方名称、项目名称、项目内容、合同签订时间、甲乙双方盖章），无或未按要求递交证明材料的不得分</w:t>
            </w:r>
          </w:p>
        </w:tc>
      </w:tr>
      <w:tr>
        <w:tc>
          <w:tcPr>
            <w:tcW w:type="dxa" w:w="922"/>
            <w:gridSpan w:val="2"/>
            <w:vMerge/>
          </w:tcPr>
          <w:p/>
        </w:tc>
        <w:tc>
          <w:tcPr>
            <w:tcW w:type="dxa" w:w="2307"/>
          </w:tcPr>
          <w:p>
            <w:pPr>
              <w:jc w:val="left"/>
            </w:pPr>
            <w:r>
              <w:rPr/>
              <w:t>用户满意度评价 (5.0分)</w:t>
            </w:r>
          </w:p>
        </w:tc>
        <w:tc>
          <w:tcPr>
            <w:tcW w:type="dxa" w:w="5076"/>
          </w:tcPr>
          <w:p>
            <w:pPr>
              <w:jc w:val="left"/>
            </w:pPr>
            <w:r>
              <w:rPr/>
              <w:t>投标人提供符合上述要求的2020年1月1日以来同类项目的用户单位出具的满意度评价表，且评价结果为满意或类似好评或评分不低于90分： 每提供一项得1分 ，最高得5分。  备注： 1、同一客户或同一项目提供多项用户满意度评价的，按一项计算；2、用户满意度评价须经用户单位盖章，评价情况至少须为满意或类似好评或评分不低于90分的方可计分。</w:t>
            </w:r>
          </w:p>
        </w:tc>
      </w:tr>
      <w:tr>
        <w:tc>
          <w:tcPr>
            <w:tcW w:type="dxa" w:w="922"/>
            <w:gridSpan w:val="2"/>
            <w:vMerge/>
          </w:tcPr>
          <w:p/>
        </w:tc>
        <w:tc>
          <w:tcPr>
            <w:tcW w:type="dxa" w:w="2307"/>
          </w:tcPr>
          <w:p>
            <w:pPr>
              <w:jc w:val="left"/>
            </w:pPr>
            <w:r>
              <w:rPr/>
              <w:t>投标人认证证书 (6.0分)</w:t>
            </w:r>
          </w:p>
        </w:tc>
        <w:tc>
          <w:tcPr>
            <w:tcW w:type="dxa" w:w="5076"/>
          </w:tcPr>
          <w:p>
            <w:pPr>
              <w:jc w:val="left"/>
            </w:pPr>
            <w:r>
              <w:rPr/>
              <w:t>1、投标人取得有效期内的，信息技术服务管理体系认证，得3分；  2、投标人取得有效期内的，信息安全管理体系认证证书，得3分。  分支机构投标，总公司资质纳入评审。   备注： 同时提供有效期内的证书复印件；无或未按要求递交证明材料的不得分。</w:t>
            </w:r>
          </w:p>
        </w:tc>
      </w:tr>
      <w:tr>
        <w:tc>
          <w:tcPr>
            <w:tcW w:type="dxa" w:w="922"/>
            <w:gridSpan w:val="2"/>
            <w:vMerge/>
          </w:tcPr>
          <w:p/>
        </w:tc>
        <w:tc>
          <w:tcPr>
            <w:tcW w:type="dxa" w:w="2307"/>
          </w:tcPr>
          <w:p>
            <w:pPr>
              <w:jc w:val="left"/>
            </w:pPr>
            <w:r>
              <w:rPr/>
              <w:t>投标人拟派项目经理经验及资质能力水平情况 (8.0分)</w:t>
            </w:r>
          </w:p>
        </w:tc>
        <w:tc>
          <w:tcPr>
            <w:tcW w:type="dxa" w:w="5076"/>
          </w:tcPr>
          <w:p>
            <w:pPr>
              <w:jc w:val="left"/>
            </w:pPr>
            <w:r>
              <w:rPr/>
              <w:t>项目负责人须具备以下资质条件：  1、高级工程师或以上职称(电子技术或通信技术)；  2、信息系统管理工程师或系统规划与管理师；   3、网络工程师或网络规划设计师证书；   4、系统集成项目管理工程师或信息系统项目管理师；   5、软件设计师或系统架构设计师；  6、通信专业技术人员职业资格中级或以上证书； 7、IT服务项目经理证书；  8.硕士或以上学位（软件或计算机或通信专业）；   全部满足得8分，有一项不满足扣1分，扣完为止。注：须提供以上资质证明材料及项目负责人在投标人服务的外部证明材料扫描件，如投标截止日之前六个月以内任意月份的代缴个税税单或参加社会保险的《投保单》或《社会保险参保人员证明》等。不提供或专家无法认定的不得分。</w:t>
            </w:r>
          </w:p>
        </w:tc>
      </w:tr>
      <w:tr>
        <w:tc>
          <w:tcPr>
            <w:tcW w:type="dxa" w:w="922"/>
            <w:gridSpan w:val="2"/>
            <w:vMerge/>
          </w:tcPr>
          <w:p/>
        </w:tc>
        <w:tc>
          <w:tcPr>
            <w:tcW w:type="dxa" w:w="2307"/>
          </w:tcPr>
          <w:p>
            <w:pPr>
              <w:jc w:val="left"/>
            </w:pPr>
            <w:r>
              <w:rPr/>
              <w:t>参与本项目团队人员（除项目经理外）资质 (8.0分)</w:t>
            </w:r>
          </w:p>
        </w:tc>
        <w:tc>
          <w:tcPr>
            <w:tcW w:type="dxa" w:w="5076"/>
          </w:tcPr>
          <w:p>
            <w:pPr>
              <w:jc w:val="left"/>
            </w:pPr>
            <w:r>
              <w:rPr/>
              <w:t>二线技术支持服务团队人员：  1.本项目技术总负责人（1人），要求： ①具有硕士或以上学位（无线通信类或无线技术类专业），需提供学位证书证明； ②具有教授级高级工程师（电子专业或通信专业）证书； 每满足一项得1分，完全满足得2分。  2.本项目通信技术负责人（1人），要求具有高级通信工程师证书,完全满足得2分。  3.本项目无线专网技术负责人（1人），要求具有网络规划设计师证书,完全满足得2分。  4.本项目系统技术负责人（1人），要求具有系统架构设计师证书,完全满足得2分  注：一人有多证不累计得分。须提供以上资质证明材料及服务人员在投标人服务的外部证明材料扫描件，如投标截止日之前六个月以内任意月份的代缴个税税单或参加社会保险的《投保单》或《社会保险参保人员证明》等。无提供的不得分。</w:t>
            </w:r>
          </w:p>
        </w:tc>
      </w:tr>
      <w:tr>
        <w:tc>
          <w:tcPr>
            <w:tcW w:type="dxa" w:w="922"/>
            <w:gridSpan w:val="2"/>
            <w:vMerge/>
          </w:tcPr>
          <w:p/>
        </w:tc>
        <w:tc>
          <w:tcPr>
            <w:tcW w:type="dxa" w:w="2307"/>
          </w:tcPr>
          <w:p>
            <w:pPr>
              <w:jc w:val="left"/>
            </w:pPr>
            <w:r>
              <w:rPr/>
              <w:t>对非重大违法违规记录的扣分 (3.0分)</w:t>
            </w:r>
          </w:p>
        </w:tc>
        <w:tc>
          <w:tcPr>
            <w:tcW w:type="dxa" w:w="5076"/>
          </w:tcPr>
          <w:p>
            <w:pPr>
              <w:jc w:val="left"/>
            </w:pPr>
            <w:r>
              <w:rPr/>
              <w:t>以“信用中国”（www.creditchina.gov.cn）网站为查询渠道：1.对列入行政处罚的投标人每一条记录扣1分；2.对列入经营异常的投标人每一条记录扣0.5分。以上合计最高扣3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ind w:firstLine="211"/>
        <w:jc w:val="left"/>
      </w:pPr>
      <w:r>
        <w:rPr>
          <w:b/>
          <w:sz w:val="21"/>
        </w:rPr>
        <w:t>注：</w:t>
      </w:r>
      <w:r>
        <w:rPr>
          <w:b/>
          <w:sz w:val="21"/>
        </w:rPr>
        <w:t>合同具体事项须根据采购文件的约定及乙方投标文件的承诺执行</w:t>
      </w:r>
      <w:r>
        <w:rPr>
          <w:b/>
          <w:sz w:val="21"/>
        </w:rPr>
        <w:t>。</w:t>
      </w:r>
    </w:p>
    <w:p>
      <w:pPr>
        <w:ind w:firstLine="211"/>
        <w:jc w:val="left"/>
      </w:pPr>
    </w:p>
    <w:p>
      <w:pPr>
        <w:jc w:val="center"/>
      </w:pPr>
      <w:r>
        <w:rPr>
          <w:sz w:val="44"/>
        </w:rPr>
        <w:t>采购合同</w:t>
      </w:r>
    </w:p>
    <w:p>
      <w:pPr>
        <w:jc w:val="both"/>
      </w:pPr>
      <w:r>
        <w:rPr>
          <w:b/>
          <w:sz w:val="21"/>
        </w:rPr>
        <w:t>甲方</w:t>
      </w:r>
      <w:r>
        <w:rPr>
          <w:sz w:val="21"/>
        </w:rPr>
        <w:t>（采购人）</w:t>
      </w:r>
      <w:r>
        <w:rPr>
          <w:b/>
          <w:sz w:val="21"/>
        </w:rPr>
        <w:t>：</w:t>
      </w:r>
    </w:p>
    <w:p>
      <w:pPr>
        <w:jc w:val="both"/>
      </w:pPr>
      <w:r>
        <w:rPr>
          <w:b/>
          <w:sz w:val="21"/>
        </w:rPr>
        <w:t>乙方</w:t>
      </w:r>
      <w:r>
        <w:rPr>
          <w:sz w:val="21"/>
        </w:rPr>
        <w:t>（中标人）</w:t>
      </w:r>
      <w:r>
        <w:rPr>
          <w:b/>
          <w:sz w:val="21"/>
        </w:rPr>
        <w:t>：</w:t>
      </w:r>
    </w:p>
    <w:p>
      <w:pPr>
        <w:jc w:val="both"/>
      </w:pPr>
      <w:r>
        <w:rPr>
          <w:sz w:val="21"/>
        </w:rPr>
        <w:t>项目名称：</w:t>
      </w:r>
      <w:r>
        <w:rPr>
          <w:sz w:val="21"/>
        </w:rPr>
        <w:t>广州市公安局海珠区分局移动警务通信服务项目</w:t>
      </w:r>
    </w:p>
    <w:p>
      <w:pPr>
        <w:jc w:val="both"/>
      </w:pPr>
      <w:r>
        <w:rPr>
          <w:sz w:val="21"/>
        </w:rPr>
        <w:t>项目</w:t>
      </w:r>
      <w:r>
        <w:rPr>
          <w:sz w:val="21"/>
        </w:rPr>
        <w:t>编号：</w:t>
      </w:r>
      <w:r>
        <w:rPr>
          <w:sz w:val="21"/>
        </w:rPr>
        <w:t>GZGK23D246C0765Z</w:t>
      </w:r>
    </w:p>
    <w:p>
      <w:pPr>
        <w:ind w:firstLine="420"/>
        <w:jc w:val="both"/>
      </w:pPr>
      <w:r>
        <w:rPr>
          <w:sz w:val="21"/>
        </w:rPr>
        <w:t>根据</w:t>
      </w:r>
      <w:r>
        <w:rPr>
          <w:sz w:val="21"/>
        </w:rPr>
        <w:t>广州市公安局海珠区分局移动警务通信服务项目</w:t>
      </w:r>
      <w:r>
        <w:rPr>
          <w:sz w:val="21"/>
        </w:rPr>
        <w:t>（项目编号：</w:t>
      </w:r>
      <w:r>
        <w:rPr>
          <w:sz w:val="21"/>
        </w:rPr>
        <w:t>GZGK23D246C0765Z</w:t>
      </w:r>
      <w:r>
        <w:rPr>
          <w:sz w:val="21"/>
        </w:rPr>
        <w:t>）</w:t>
      </w:r>
      <w:r>
        <w:rPr>
          <w:sz w:val="21"/>
        </w:rPr>
        <w:t>的采购结果，按照《中华人民共和国政府采购法》</w:t>
      </w:r>
      <w:r>
        <w:rPr>
          <w:sz w:val="21"/>
        </w:rPr>
        <w:t>及其实施条例</w:t>
      </w:r>
      <w:r>
        <w:rPr>
          <w:sz w:val="21"/>
        </w:rPr>
        <w:t>、《中华人民共和国民法典》的规定，</w:t>
      </w:r>
      <w:r>
        <w:rPr>
          <w:sz w:val="21"/>
        </w:rPr>
        <w:t>经双方协商，</w:t>
      </w:r>
      <w:r>
        <w:rPr>
          <w:sz w:val="21"/>
        </w:rPr>
        <w:t>本着平等互利和诚实信用的原则，</w:t>
      </w:r>
      <w:r>
        <w:rPr>
          <w:sz w:val="21"/>
        </w:rPr>
        <w:t>一致同意签订本合同如下</w:t>
      </w:r>
      <w:r>
        <w:rPr>
          <w:sz w:val="21"/>
        </w:rPr>
        <w:t>。</w:t>
      </w:r>
    </w:p>
    <w:p>
      <w:pPr>
        <w:jc w:val="both"/>
      </w:pPr>
      <w:r>
        <w:rPr>
          <w:b/>
          <w:sz w:val="21"/>
        </w:rPr>
        <w:t>采购标的、数量</w:t>
      </w:r>
    </w:p>
    <w:tbl>
      <w:tblPr>
        <w:tblW w:w="0" w:type="auto"/>
        <w:tblBorders>
          <w:top w:val="none" w:color="000000" w:sz="4"/>
          <w:left w:val="none" w:color="000000" w:sz="4"/>
          <w:bottom w:val="none" w:color="000000" w:sz="4"/>
          <w:right w:val="none" w:color="000000" w:sz="4"/>
          <w:insideH w:val="none"/>
          <w:insideV w:val="none"/>
        </w:tblBorders>
      </w:tblPr>
      <w:tblGrid>
        <w:gridCol w:w="1116"/>
        <w:gridCol w:w="4424"/>
        <w:gridCol w:w="2761"/>
      </w:tblGrid>
      <w:tr>
        <w:tc>
          <w:tcPr>
            <w:tcW w:type="dxa" w:w="1116"/>
            <w:tcBorders>
              <w:top w:val="single" w:color="000000" w:sz="4"/>
              <w:left w:val="single" w:color="000000" w:sz="4"/>
              <w:bottom w:val="single" w:color="000000" w:sz="4"/>
              <w:right w:val="single" w:color="000000" w:sz="4"/>
            </w:tcBorders>
            <w:vAlign w:val="top"/>
          </w:tcPr>
          <w:p>
            <w:pPr>
              <w:ind w:firstLine="422"/>
              <w:jc w:val="center"/>
            </w:pPr>
            <w:r>
              <w:rPr>
                <w:b/>
                <w:sz w:val="21"/>
              </w:rPr>
              <w:t>序号</w:t>
            </w:r>
          </w:p>
        </w:tc>
        <w:tc>
          <w:tcPr>
            <w:tcW w:type="dxa" w:w="4424"/>
            <w:tcBorders>
              <w:top w:val="single" w:color="000000" w:sz="4"/>
              <w:left w:val="single" w:color="000000" w:sz="4"/>
              <w:bottom w:val="single" w:color="000000" w:sz="4"/>
              <w:right w:val="single" w:color="000000" w:sz="4"/>
            </w:tcBorders>
            <w:vAlign w:val="top"/>
          </w:tcPr>
          <w:p>
            <w:pPr>
              <w:ind w:firstLine="422"/>
              <w:jc w:val="center"/>
            </w:pPr>
            <w:r>
              <w:rPr>
                <w:b/>
                <w:sz w:val="21"/>
              </w:rPr>
              <w:t>采购标的</w:t>
            </w:r>
          </w:p>
        </w:tc>
        <w:tc>
          <w:tcPr>
            <w:tcW w:type="dxa" w:w="2761"/>
            <w:tcBorders>
              <w:top w:val="single" w:color="000000" w:sz="4"/>
              <w:left w:val="single" w:color="000000" w:sz="4"/>
              <w:bottom w:val="single" w:color="000000" w:sz="4"/>
              <w:right w:val="single" w:color="000000" w:sz="4"/>
            </w:tcBorders>
            <w:vAlign w:val="top"/>
          </w:tcPr>
          <w:p>
            <w:pPr>
              <w:ind w:firstLine="422"/>
              <w:jc w:val="center"/>
            </w:pPr>
            <w:r>
              <w:rPr>
                <w:b/>
                <w:sz w:val="21"/>
              </w:rPr>
              <w:t>数量</w:t>
            </w:r>
          </w:p>
        </w:tc>
      </w:tr>
      <w:tr>
        <w:tc>
          <w:tcPr>
            <w:tcW w:type="dxa" w:w="1116"/>
            <w:tcBorders>
              <w:top w:val="none" w:color="000000" w:sz="4"/>
              <w:left w:val="single" w:color="000000" w:sz="4"/>
              <w:bottom w:val="single" w:color="000000" w:sz="4"/>
              <w:right w:val="single" w:color="000000" w:sz="4"/>
            </w:tcBorders>
            <w:vAlign w:val="top"/>
          </w:tcPr>
          <w:p>
            <w:pPr>
              <w:ind w:firstLine="420"/>
              <w:jc w:val="center"/>
            </w:pPr>
            <w:r>
              <w:rPr>
                <w:sz w:val="21"/>
              </w:rPr>
              <w:t>1</w:t>
            </w:r>
          </w:p>
        </w:tc>
        <w:tc>
          <w:tcPr>
            <w:tcW w:type="dxa" w:w="4424"/>
            <w:tcBorders>
              <w:top w:val="none" w:color="000000" w:sz="4"/>
              <w:left w:val="single" w:color="000000" w:sz="4"/>
              <w:bottom w:val="single" w:color="000000" w:sz="4"/>
              <w:right w:val="single" w:color="000000" w:sz="4"/>
            </w:tcBorders>
            <w:vAlign w:val="top"/>
          </w:tcPr>
          <w:p>
            <w:pPr>
              <w:jc w:val="center"/>
            </w:pPr>
            <w:r>
              <w:rPr>
                <w:sz w:val="21"/>
              </w:rPr>
              <w:t>移动警务通信服务</w:t>
            </w:r>
          </w:p>
        </w:tc>
        <w:tc>
          <w:tcPr>
            <w:tcW w:type="dxa" w:w="2761"/>
            <w:tcBorders>
              <w:top w:val="none" w:color="000000" w:sz="4"/>
              <w:left w:val="single" w:color="000000" w:sz="4"/>
              <w:bottom w:val="single" w:color="000000" w:sz="4"/>
              <w:right w:val="single" w:color="000000" w:sz="4"/>
            </w:tcBorders>
            <w:vAlign w:val="top"/>
          </w:tcPr>
          <w:p>
            <w:pPr>
              <w:ind w:firstLine="420"/>
              <w:jc w:val="center"/>
            </w:pPr>
            <w:r>
              <w:rPr>
                <w:sz w:val="21"/>
              </w:rPr>
              <w:t>1批</w:t>
            </w:r>
          </w:p>
        </w:tc>
      </w:tr>
    </w:tbl>
    <w:p>
      <w:pPr>
        <w:jc w:val="both"/>
      </w:pPr>
      <w:r>
        <w:rPr>
          <w:b/>
          <w:sz w:val="21"/>
        </w:rPr>
        <w:t>合同金额</w:t>
      </w:r>
    </w:p>
    <w:p>
      <w:pPr>
        <w:ind w:firstLine="420"/>
        <w:jc w:val="left"/>
      </w:pPr>
      <w:r>
        <w:rPr>
          <w:sz w:val="21"/>
        </w:rPr>
        <w:t>合同金额为（大写）：</w:t>
      </w:r>
      <w:r>
        <w:rPr>
          <w:sz w:val="21"/>
        </w:rPr>
        <w:t xml:space="preserve">  </w:t>
      </w:r>
      <w:r>
        <w:rPr>
          <w:sz w:val="21"/>
        </w:rPr>
        <w:t>元（￥</w:t>
      </w:r>
      <w:r>
        <w:rPr>
          <w:sz w:val="21"/>
        </w:rPr>
        <w:t xml:space="preserve">  </w:t>
      </w:r>
      <w:r>
        <w:rPr>
          <w:sz w:val="21"/>
        </w:rPr>
        <w:t>元）。其中通讯服务费部分总额为：</w:t>
      </w:r>
      <w:r>
        <w:rPr>
          <w:sz w:val="21"/>
        </w:rPr>
        <w:t xml:space="preserve"> </w:t>
      </w:r>
      <w:r>
        <w:rPr>
          <w:sz w:val="21"/>
        </w:rPr>
        <w:t>元（</w:t>
      </w:r>
      <w:r>
        <w:rPr>
          <w:sz w:val="21"/>
        </w:rPr>
        <w:t xml:space="preserve">  </w:t>
      </w:r>
      <w:r>
        <w:rPr>
          <w:sz w:val="21"/>
        </w:rPr>
        <w:t>元整），维修费用最高限额</w:t>
      </w:r>
      <w:r>
        <w:rPr>
          <w:sz w:val="21"/>
        </w:rPr>
        <w:t>50000</w:t>
      </w:r>
      <w:r>
        <w:rPr>
          <w:sz w:val="21"/>
        </w:rPr>
        <w:t>元（</w:t>
      </w:r>
      <w:r>
        <w:rPr>
          <w:sz w:val="21"/>
        </w:rPr>
        <w:t>伍万</w:t>
      </w:r>
      <w:r>
        <w:rPr>
          <w:sz w:val="21"/>
        </w:rPr>
        <w:t>元整）。</w:t>
      </w:r>
    </w:p>
    <w:p>
      <w:pPr>
        <w:jc w:val="both"/>
      </w:pPr>
      <w:r>
        <w:rPr>
          <w:b/>
          <w:sz w:val="21"/>
        </w:rPr>
        <w:t>服务范围</w:t>
      </w:r>
    </w:p>
    <w:p>
      <w:pPr>
        <w:jc w:val="both"/>
      </w:pPr>
      <w:r>
        <w:rPr>
          <w:sz w:val="21"/>
        </w:rPr>
        <w:t>　　甲方聘请乙方提供以下服务：</w:t>
      </w:r>
    </w:p>
    <w:p>
      <w:pPr>
        <w:ind w:firstLine="420"/>
        <w:jc w:val="both"/>
      </w:pPr>
      <w:r>
        <w:rPr>
          <w:sz w:val="21"/>
        </w:rPr>
        <w:t>1.1035个移动4G专网服务账号。</w:t>
      </w:r>
    </w:p>
    <w:p>
      <w:pPr>
        <w:ind w:firstLine="420"/>
        <w:jc w:val="both"/>
      </w:pPr>
      <w:r>
        <w:rPr>
          <w:sz w:val="21"/>
        </w:rPr>
        <w:t>2.终端安全管控系统（MDM）。</w:t>
      </w:r>
    </w:p>
    <w:p>
      <w:pPr>
        <w:ind w:firstLine="420"/>
        <w:jc w:val="both"/>
      </w:pPr>
      <w:r>
        <w:rPr>
          <w:sz w:val="21"/>
        </w:rPr>
        <w:t>3.加密卡。</w:t>
      </w:r>
    </w:p>
    <w:p>
      <w:pPr>
        <w:ind w:firstLine="420"/>
        <w:jc w:val="both"/>
      </w:pPr>
      <w:r>
        <w:rPr>
          <w:sz w:val="21"/>
        </w:rPr>
        <w:t>4.日常网络运维服务。</w:t>
      </w:r>
    </w:p>
    <w:p>
      <w:pPr>
        <w:jc w:val="both"/>
      </w:pPr>
      <w:r>
        <w:rPr>
          <w:b/>
          <w:sz w:val="21"/>
        </w:rPr>
        <w:t>四、质量要求：</w:t>
      </w:r>
    </w:p>
    <w:p>
      <w:pPr>
        <w:jc w:val="both"/>
      </w:pPr>
      <w:r>
        <w:rPr>
          <w:b/>
          <w:sz w:val="21"/>
        </w:rPr>
        <w:t>（一）</w:t>
      </w:r>
      <w:r>
        <w:rPr>
          <w:b/>
          <w:sz w:val="21"/>
        </w:rPr>
        <w:t>1035个专网服务账号</w:t>
      </w:r>
    </w:p>
    <w:tbl>
      <w:tblPr>
        <w:tblW w:w="0" w:type="auto"/>
        <w:tblBorders>
          <w:top w:val="none" w:color="000000" w:sz="4"/>
          <w:left w:val="none" w:color="000000" w:sz="4"/>
          <w:bottom w:val="none" w:color="000000" w:sz="4"/>
          <w:right w:val="none" w:color="000000" w:sz="4"/>
          <w:insideH w:val="none"/>
          <w:insideV w:val="none"/>
        </w:tblBorders>
      </w:tblPr>
      <w:tblGrid>
        <w:gridCol w:w="1445"/>
        <w:gridCol w:w="6859"/>
      </w:tblGrid>
      <w:tr>
        <w:tc>
          <w:tcPr>
            <w:tcW w:type="dxa" w:w="1445"/>
            <w:tcBorders>
              <w:top w:val="single" w:color="000000" w:sz="4"/>
              <w:left w:val="single" w:color="000000" w:sz="4"/>
              <w:bottom w:val="single" w:color="000000" w:sz="4"/>
              <w:right w:val="single" w:color="000000" w:sz="4"/>
            </w:tcBorders>
            <w:vAlign w:val="top"/>
          </w:tcPr>
          <w:p>
            <w:pPr>
              <w:jc w:val="center"/>
            </w:pPr>
            <w:r>
              <w:rPr>
                <w:b/>
                <w:sz w:val="21"/>
              </w:rPr>
              <w:t>服务内容</w:t>
            </w:r>
          </w:p>
        </w:tc>
        <w:tc>
          <w:tcPr>
            <w:tcW w:type="dxa" w:w="6859"/>
            <w:tcBorders>
              <w:top w:val="single" w:color="000000" w:sz="4"/>
              <w:left w:val="none" w:color="000000" w:sz="4"/>
              <w:bottom w:val="single" w:color="000000" w:sz="4"/>
              <w:right w:val="single" w:color="000000" w:sz="4"/>
            </w:tcBorders>
            <w:vAlign w:val="top"/>
          </w:tcPr>
          <w:p>
            <w:pPr>
              <w:jc w:val="center"/>
            </w:pPr>
            <w:r>
              <w:rPr>
                <w:b/>
                <w:sz w:val="21"/>
              </w:rPr>
              <w:t>主要性能要求</w:t>
            </w:r>
          </w:p>
        </w:tc>
      </w:tr>
      <w:tr>
        <w:tc>
          <w:tcPr>
            <w:tcW w:type="dxa" w:w="1445"/>
            <w:tcBorders>
              <w:top w:val="none" w:color="000000" w:sz="4"/>
              <w:left w:val="single" w:color="000000" w:sz="4"/>
              <w:bottom w:val="single" w:color="000000" w:sz="4"/>
              <w:right w:val="single" w:color="000000" w:sz="4"/>
            </w:tcBorders>
            <w:vAlign w:val="top"/>
          </w:tcPr>
          <w:p>
            <w:pPr>
              <w:jc w:val="center"/>
            </w:pPr>
            <w:r>
              <w:rPr>
                <w:sz w:val="18"/>
              </w:rPr>
              <w:t>专网账号服务内容</w:t>
            </w:r>
          </w:p>
        </w:tc>
        <w:tc>
          <w:tcPr>
            <w:tcW w:type="dxa" w:w="6859"/>
            <w:tcBorders>
              <w:top w:val="none" w:color="000000" w:sz="4"/>
              <w:left w:val="none" w:color="000000" w:sz="4"/>
              <w:bottom w:val="single" w:color="000000" w:sz="4"/>
              <w:right w:val="single" w:color="000000" w:sz="4"/>
            </w:tcBorders>
            <w:vAlign w:val="top"/>
          </w:tcPr>
          <w:p>
            <w:pPr>
              <w:ind w:firstLine="466"/>
              <w:jc w:val="both"/>
            </w:pPr>
            <w:r>
              <w:rPr>
                <w:sz w:val="21"/>
              </w:rPr>
              <w:t>（</w:t>
            </w:r>
            <w:r>
              <w:rPr>
                <w:sz w:val="21"/>
              </w:rPr>
              <w:t>1）4G网速流量不少于40G（含互联网和公安专网）：每号每月全国流量不低于40G。</w:t>
            </w:r>
          </w:p>
          <w:p>
            <w:pPr>
              <w:ind w:firstLine="466"/>
              <w:jc w:val="both"/>
            </w:pPr>
            <w:r>
              <w:rPr>
                <w:sz w:val="21"/>
              </w:rPr>
              <w:t>（</w:t>
            </w:r>
            <w:r>
              <w:rPr>
                <w:sz w:val="21"/>
              </w:rPr>
              <w:t>2）每号每月不少于500分钟通话时长，不少于100条短信，集群网扩展免费通话。</w:t>
            </w:r>
          </w:p>
          <w:p>
            <w:pPr>
              <w:ind w:firstLine="466"/>
              <w:jc w:val="both"/>
            </w:pPr>
            <w:r>
              <w:rPr>
                <w:sz w:val="21"/>
              </w:rPr>
              <w:t>（</w:t>
            </w:r>
            <w:r>
              <w:rPr>
                <w:sz w:val="21"/>
              </w:rPr>
              <w:t>3）提供的账号能够沿用海珠分局原有的1035台双系统移动终端（华为NOVA8）的手机号码（需提供携号转网服务，并且要在合同签订后5个工作日内完成），并保证账号能正常通话及使用通信网络。</w:t>
            </w:r>
          </w:p>
          <w:p>
            <w:pPr>
              <w:ind w:firstLine="466"/>
              <w:jc w:val="both"/>
            </w:pPr>
            <w:r>
              <w:rPr>
                <w:sz w:val="21"/>
              </w:rPr>
              <w:t>（</w:t>
            </w:r>
            <w:r>
              <w:rPr>
                <w:sz w:val="21"/>
              </w:rPr>
              <w:t>4）提供的SIM卡可与加密卡一起安装使用，能够与广州市公安局移动警务后台进行互通工作。</w:t>
            </w:r>
          </w:p>
          <w:p>
            <w:pPr>
              <w:ind w:firstLine="466"/>
              <w:jc w:val="both"/>
            </w:pPr>
            <w:r>
              <w:rPr>
                <w:sz w:val="21"/>
              </w:rPr>
              <w:t>（</w:t>
            </w:r>
            <w:r>
              <w:rPr>
                <w:sz w:val="21"/>
              </w:rPr>
              <w:t>5</w:t>
            </w:r>
            <w:r>
              <w:rPr>
                <w:sz w:val="21"/>
              </w:rPr>
              <w:t>）移动警务终端硬件维修服务：包括终端的电池、屏幕等硬件的维修（含配件更换）服务。</w:t>
            </w:r>
          </w:p>
          <w:p>
            <w:pPr>
              <w:ind w:firstLine="466"/>
              <w:jc w:val="both"/>
            </w:pPr>
            <w:r>
              <w:rPr>
                <w:sz w:val="21"/>
              </w:rPr>
              <w:t>（</w:t>
            </w:r>
            <w:r>
              <w:rPr>
                <w:sz w:val="21"/>
              </w:rPr>
              <w:t>6</w:t>
            </w:r>
            <w:r>
              <w:rPr>
                <w:sz w:val="21"/>
              </w:rPr>
              <w:t>）法定工作日期间安排不少于</w:t>
            </w:r>
            <w:r>
              <w:rPr>
                <w:sz w:val="21"/>
              </w:rPr>
              <w:t>1人在分局驻点对接相关运维服务。</w:t>
            </w:r>
          </w:p>
          <w:p>
            <w:pPr>
              <w:ind w:firstLine="466"/>
              <w:jc w:val="both"/>
            </w:pPr>
            <w:r>
              <w:rPr>
                <w:sz w:val="21"/>
              </w:rPr>
              <w:t>（</w:t>
            </w:r>
            <w:r>
              <w:rPr>
                <w:sz w:val="21"/>
              </w:rPr>
              <w:t>7</w:t>
            </w:r>
            <w:r>
              <w:rPr>
                <w:sz w:val="21"/>
              </w:rPr>
              <w:t>）</w:t>
            </w:r>
            <w:r>
              <w:rPr>
                <w:sz w:val="21"/>
              </w:rPr>
              <w:t>4G/5G信号须覆盖广州市行政区域，在无5G信号区域可自动切换至4G或3G网络使用，在5G网络信号不佳的使用环境，</w:t>
            </w:r>
            <w:r>
              <w:rPr>
                <w:sz w:val="21"/>
              </w:rPr>
              <w:t>乙方</w:t>
            </w:r>
            <w:r>
              <w:rPr>
                <w:sz w:val="21"/>
              </w:rPr>
              <w:t>应承诺提供网络优化的服务。</w:t>
            </w:r>
          </w:p>
        </w:tc>
      </w:tr>
    </w:tbl>
    <w:p>
      <w:pPr>
        <w:ind w:firstLine="466"/>
        <w:jc w:val="both"/>
      </w:pPr>
    </w:p>
    <w:p>
      <w:pPr>
        <w:ind w:firstLine="468"/>
        <w:jc w:val="both"/>
      </w:pPr>
      <w:r>
        <w:rPr>
          <w:b/>
          <w:sz w:val="21"/>
        </w:rPr>
        <w:t>（二）终端安全管控系统</w:t>
      </w:r>
    </w:p>
    <w:p>
      <w:pPr>
        <w:ind w:firstLine="466"/>
        <w:jc w:val="both"/>
      </w:pPr>
      <w:r>
        <w:rPr>
          <w:sz w:val="21"/>
        </w:rPr>
        <w:t>终端安全管控系统包括以下内容：</w:t>
      </w:r>
    </w:p>
    <w:p>
      <w:pPr>
        <w:ind w:firstLine="466"/>
        <w:jc w:val="both"/>
      </w:pPr>
      <w:r>
        <w:rPr>
          <w:sz w:val="21"/>
        </w:rPr>
        <w:t>（</w:t>
      </w:r>
      <w:r>
        <w:rPr>
          <w:sz w:val="21"/>
        </w:rPr>
        <w:t>1）承载终端安全管控系统的相关服务器硬件、网络环境及系统软件环境。</w:t>
      </w:r>
    </w:p>
    <w:p>
      <w:pPr>
        <w:ind w:firstLine="466"/>
        <w:jc w:val="both"/>
      </w:pPr>
      <w:r>
        <w:rPr>
          <w:sz w:val="21"/>
        </w:rPr>
        <w:t>（</w:t>
      </w:r>
      <w:r>
        <w:rPr>
          <w:sz w:val="21"/>
        </w:rPr>
        <w:t>2）提供甲方</w:t>
      </w:r>
      <w:r>
        <w:rPr>
          <w:sz w:val="21"/>
        </w:rPr>
        <w:t>1035</w:t>
      </w:r>
      <w:r>
        <w:rPr>
          <w:sz w:val="21"/>
        </w:rPr>
        <w:t>台移动警务终端集中管理的后台管控平台服务</w:t>
      </w:r>
      <w:r>
        <w:rPr>
          <w:sz w:val="21"/>
        </w:rPr>
        <w:t>。</w:t>
      </w:r>
    </w:p>
    <w:p>
      <w:pPr>
        <w:ind w:firstLine="466"/>
        <w:jc w:val="both"/>
      </w:pPr>
      <w:r>
        <w:rPr>
          <w:sz w:val="21"/>
        </w:rPr>
        <w:t>（</w:t>
      </w:r>
      <w:r>
        <w:rPr>
          <w:sz w:val="21"/>
        </w:rPr>
        <w:t>3）可以与广州市公安局终端安全管控平台进行数据对接。</w:t>
      </w:r>
    </w:p>
    <w:p>
      <w:pPr>
        <w:ind w:firstLine="466"/>
        <w:jc w:val="both"/>
      </w:pPr>
      <w:r>
        <w:rPr>
          <w:sz w:val="21"/>
        </w:rPr>
        <w:t>（</w:t>
      </w:r>
      <w:r>
        <w:rPr>
          <w:sz w:val="21"/>
        </w:rPr>
        <w:t>4）终端设备管控系统的功能模块。</w:t>
      </w:r>
    </w:p>
    <w:p>
      <w:pPr>
        <w:ind w:firstLine="420"/>
      </w:pPr>
      <w:r>
        <w:rPr>
          <w:sz w:val="21"/>
        </w:rPr>
        <w:t>终端设备管控系统需要满足对移动终端的入库登记、发放用户、使用运行、终止销毁等全生命周期进行全流程管控，主要可分为设备管控客户端和后台设备客管控户端两部分需求。</w:t>
      </w:r>
    </w:p>
    <w:p>
      <w:pPr>
        <w:ind w:firstLine="420"/>
      </w:pPr>
      <w:r>
        <w:rPr>
          <w:sz w:val="21"/>
        </w:rPr>
        <w:t>1.设备管控客户端</w:t>
      </w:r>
    </w:p>
    <w:p>
      <w:pPr>
        <w:ind w:firstLine="420"/>
      </w:pPr>
      <w:r>
        <w:rPr>
          <w:sz w:val="21"/>
        </w:rPr>
        <w:t>安全管控（简称</w:t>
      </w:r>
      <w:r>
        <w:rPr>
          <w:sz w:val="21"/>
        </w:rPr>
        <w:t>MDM）内置于1035台移动警务终端，实现终端注册激活、初始化配置、设备管理、网络管理、安全管理、多模式管理、应用管理、日志上报等功能。具体要求如下：</w:t>
      </w:r>
    </w:p>
    <w:tbl>
      <w:tblPr>
        <w:tblW w:w="0" w:type="auto"/>
        <w:tblBorders>
          <w:top w:val="none" w:color="000000" w:sz="4"/>
          <w:left w:val="none" w:color="000000" w:sz="4"/>
          <w:bottom w:val="none" w:color="000000" w:sz="4"/>
          <w:right w:val="none" w:color="000000" w:sz="4"/>
          <w:insideH w:val="none"/>
          <w:insideV w:val="none"/>
        </w:tblBorders>
      </w:tblPr>
      <w:tblGrid>
        <w:gridCol w:w="1224"/>
        <w:gridCol w:w="1879"/>
        <w:gridCol w:w="5200"/>
      </w:tblGrid>
      <w:tr>
        <w:tc>
          <w:tcPr>
            <w:tcW w:type="dxa" w:w="1224"/>
            <w:tcBorders>
              <w:top w:val="single" w:color="000000" w:sz="4"/>
              <w:left w:val="single" w:color="000000" w:sz="4"/>
              <w:bottom w:val="single" w:color="000000" w:sz="4"/>
              <w:right w:val="single" w:color="000000" w:sz="4"/>
            </w:tcBorders>
            <w:shd w:fill="FFFFFF"/>
            <w:vAlign w:val="top"/>
          </w:tcPr>
          <w:p>
            <w:pPr>
              <w:jc w:val="center"/>
            </w:pPr>
            <w:r>
              <w:rPr>
                <w:b/>
                <w:sz w:val="21"/>
              </w:rPr>
              <w:t>项目</w:t>
            </w:r>
          </w:p>
        </w:tc>
        <w:tc>
          <w:tcPr>
            <w:tcW w:type="dxa" w:w="1879"/>
            <w:tcBorders>
              <w:top w:val="single" w:color="000000" w:sz="4"/>
              <w:left w:val="single" w:color="000000" w:sz="4"/>
              <w:bottom w:val="single" w:color="000000" w:sz="4"/>
              <w:right w:val="single" w:color="000000" w:sz="4"/>
            </w:tcBorders>
            <w:shd w:fill="FFFFFF"/>
            <w:vAlign w:val="top"/>
          </w:tcPr>
          <w:p>
            <w:pPr>
              <w:jc w:val="center"/>
            </w:pPr>
            <w:r>
              <w:rPr>
                <w:b/>
                <w:sz w:val="21"/>
              </w:rPr>
              <w:t>功能模块</w:t>
            </w:r>
          </w:p>
        </w:tc>
        <w:tc>
          <w:tcPr>
            <w:tcW w:type="dxa" w:w="5200"/>
            <w:tcBorders>
              <w:top w:val="single" w:color="000000" w:sz="4"/>
              <w:left w:val="single" w:color="000000" w:sz="4"/>
              <w:bottom w:val="single" w:color="000000" w:sz="4"/>
              <w:right w:val="single" w:color="000000" w:sz="4"/>
            </w:tcBorders>
            <w:shd w:fill="FFFFFF"/>
            <w:vAlign w:val="top"/>
          </w:tcPr>
          <w:p>
            <w:pPr>
              <w:jc w:val="center"/>
            </w:pPr>
            <w:r>
              <w:rPr>
                <w:b/>
                <w:sz w:val="21"/>
              </w:rPr>
              <w:t>功能描述</w:t>
            </w:r>
          </w:p>
        </w:tc>
      </w:tr>
      <w:tr>
        <w:tc>
          <w:tcPr>
            <w:tcW w:type="dxa" w:w="1224"/>
            <w:vMerge w:val="restart"/>
            <w:tcBorders>
              <w:top w:val="none" w:color="000000" w:sz="4"/>
              <w:left w:val="single" w:color="000000" w:sz="4"/>
              <w:bottom w:val="single" w:color="000000" w:sz="4"/>
              <w:right w:val="single" w:color="000000" w:sz="4"/>
            </w:tcBorders>
            <w:vAlign w:val="top"/>
          </w:tcPr>
          <w:p>
            <w:pPr>
              <w:jc w:val="center"/>
            </w:pPr>
            <w:r>
              <w:rPr>
                <w:sz w:val="21"/>
              </w:rPr>
              <w:t>设备管控客户端</w:t>
            </w:r>
          </w:p>
        </w:tc>
        <w:tc>
          <w:tcPr>
            <w:tcW w:type="dxa" w:w="1879"/>
            <w:tcBorders>
              <w:top w:val="none" w:color="000000" w:sz="4"/>
              <w:left w:val="single" w:color="000000" w:sz="4"/>
              <w:bottom w:val="single" w:color="000000" w:sz="4"/>
              <w:right w:val="single" w:color="000000" w:sz="4"/>
            </w:tcBorders>
            <w:vAlign w:val="top"/>
          </w:tcPr>
          <w:p>
            <w:pPr>
              <w:jc w:val="both"/>
            </w:pPr>
            <w:r>
              <w:rPr>
                <w:sz w:val="21"/>
              </w:rPr>
              <w:t>安全管控（简称</w:t>
            </w:r>
            <w:r>
              <w:rPr>
                <w:sz w:val="21"/>
              </w:rPr>
              <w:t>MDM）</w:t>
            </w:r>
          </w:p>
        </w:tc>
        <w:tc>
          <w:tcPr>
            <w:tcW w:type="dxa" w:w="5200"/>
            <w:tcBorders>
              <w:top w:val="none" w:color="000000" w:sz="4"/>
              <w:left w:val="single" w:color="000000" w:sz="4"/>
              <w:bottom w:val="single" w:color="000000" w:sz="4"/>
              <w:right w:val="single" w:color="000000" w:sz="4"/>
            </w:tcBorders>
            <w:vAlign w:val="top"/>
          </w:tcPr>
          <w:p>
            <w:pPr>
              <w:jc w:val="both"/>
            </w:pPr>
            <w:r>
              <w:rPr>
                <w:sz w:val="21"/>
              </w:rPr>
              <w:t>设备管控客户端需与</w:t>
            </w:r>
            <w:r>
              <w:rPr>
                <w:sz w:val="21"/>
              </w:rPr>
              <w:t>MDM服务系统结合，内置于终端，实现终端注册激活、初始化配置、设备管理、网络管理、安全管理、多模式管理、应用管理、日志上报等功能</w:t>
            </w:r>
          </w:p>
        </w:tc>
      </w:tr>
      <w:tr>
        <w:tc>
          <w:tcPr>
            <w:tcW w:type="dxa" w:w="1224"/>
            <w:vMerge/>
            <w:tcBorders>
              <w:top w:val="none" w:color="000000" w:sz="4"/>
              <w:left w:val="single" w:color="000000" w:sz="4"/>
              <w:bottom w:val="single" w:color="000000" w:sz="4"/>
              <w:right w:val="single" w:color="000000" w:sz="4"/>
            </w:tcBorders>
          </w:tcPr>
          <w:p/>
        </w:tc>
        <w:tc>
          <w:tcPr>
            <w:tcW w:type="dxa" w:w="1879"/>
            <w:tcBorders>
              <w:top w:val="none" w:color="000000" w:sz="4"/>
              <w:left w:val="single" w:color="000000" w:sz="4"/>
              <w:bottom w:val="single" w:color="000000" w:sz="4"/>
              <w:right w:val="single" w:color="000000" w:sz="4"/>
            </w:tcBorders>
            <w:vAlign w:val="top"/>
          </w:tcPr>
          <w:p>
            <w:pPr>
              <w:jc w:val="both"/>
            </w:pPr>
            <w:r>
              <w:rPr>
                <w:sz w:val="21"/>
              </w:rPr>
              <w:t>注册激活管理</w:t>
            </w:r>
          </w:p>
        </w:tc>
        <w:tc>
          <w:tcPr>
            <w:tcW w:type="dxa" w:w="5200"/>
            <w:tcBorders>
              <w:top w:val="none" w:color="000000" w:sz="4"/>
              <w:left w:val="single" w:color="000000" w:sz="4"/>
              <w:bottom w:val="single" w:color="000000" w:sz="4"/>
              <w:right w:val="single" w:color="000000" w:sz="4"/>
            </w:tcBorders>
            <w:vAlign w:val="top"/>
          </w:tcPr>
          <w:p>
            <w:pPr>
              <w:jc w:val="both"/>
            </w:pPr>
            <w:r>
              <w:rPr>
                <w:sz w:val="21"/>
              </w:rPr>
              <w:t>需与</w:t>
            </w:r>
            <w:r>
              <w:rPr>
                <w:sz w:val="21"/>
              </w:rPr>
              <w:t>MDM服务器联动，实施终端设备注册激活、用户机卡绑定等管理。并收集终端资产信息上报至MDM服务器进行存档，供终端下发后认证时使用</w:t>
            </w:r>
          </w:p>
        </w:tc>
      </w:tr>
      <w:tr>
        <w:tc>
          <w:tcPr>
            <w:tcW w:type="dxa" w:w="1224"/>
            <w:vMerge/>
            <w:tcBorders>
              <w:top w:val="none" w:color="000000" w:sz="4"/>
              <w:left w:val="single" w:color="000000" w:sz="4"/>
              <w:bottom w:val="single" w:color="000000" w:sz="4"/>
              <w:right w:val="single" w:color="000000" w:sz="4"/>
            </w:tcBorders>
          </w:tcPr>
          <w:p/>
        </w:tc>
        <w:tc>
          <w:tcPr>
            <w:tcW w:type="dxa" w:w="1879"/>
            <w:tcBorders>
              <w:top w:val="none" w:color="000000" w:sz="4"/>
              <w:left w:val="single" w:color="000000" w:sz="4"/>
              <w:bottom w:val="single" w:color="000000" w:sz="4"/>
              <w:right w:val="single" w:color="000000" w:sz="4"/>
            </w:tcBorders>
            <w:vAlign w:val="top"/>
          </w:tcPr>
          <w:p>
            <w:pPr>
              <w:jc w:val="both"/>
            </w:pPr>
            <w:r>
              <w:rPr>
                <w:sz w:val="21"/>
              </w:rPr>
              <w:t>初始化配置</w:t>
            </w:r>
          </w:p>
        </w:tc>
        <w:tc>
          <w:tcPr>
            <w:tcW w:type="dxa" w:w="5200"/>
            <w:tcBorders>
              <w:top w:val="none" w:color="000000" w:sz="4"/>
              <w:left w:val="single" w:color="000000" w:sz="4"/>
              <w:bottom w:val="single" w:color="000000" w:sz="4"/>
              <w:right w:val="single" w:color="000000" w:sz="4"/>
            </w:tcBorders>
            <w:vAlign w:val="top"/>
          </w:tcPr>
          <w:p>
            <w:pPr>
              <w:jc w:val="both"/>
            </w:pPr>
            <w:r>
              <w:rPr>
                <w:sz w:val="21"/>
              </w:rPr>
              <w:t>与</w:t>
            </w:r>
            <w:r>
              <w:rPr>
                <w:sz w:val="21"/>
              </w:rPr>
              <w:t>MDM服务器联动，MDM服务器预先配置终端安全初始化策略：网络安全配置、端口使用规范等，以及根据部门结构预推送相关办公软件，终端注册激活完成后自动完成初始化配置</w:t>
            </w:r>
          </w:p>
        </w:tc>
      </w:tr>
      <w:tr>
        <w:tc>
          <w:tcPr>
            <w:tcW w:type="dxa" w:w="1224"/>
            <w:vMerge/>
            <w:tcBorders>
              <w:top w:val="none" w:color="000000" w:sz="4"/>
              <w:left w:val="single" w:color="000000" w:sz="4"/>
              <w:bottom w:val="single" w:color="000000" w:sz="4"/>
              <w:right w:val="single" w:color="000000" w:sz="4"/>
            </w:tcBorders>
          </w:tcPr>
          <w:p/>
        </w:tc>
        <w:tc>
          <w:tcPr>
            <w:tcW w:type="dxa" w:w="1879"/>
            <w:tcBorders>
              <w:top w:val="none" w:color="000000" w:sz="4"/>
              <w:left w:val="single" w:color="000000" w:sz="4"/>
              <w:bottom w:val="single" w:color="000000" w:sz="4"/>
              <w:right w:val="single" w:color="000000" w:sz="4"/>
            </w:tcBorders>
            <w:vAlign w:val="top"/>
          </w:tcPr>
          <w:p>
            <w:pPr>
              <w:jc w:val="both"/>
            </w:pPr>
            <w:r>
              <w:rPr>
                <w:sz w:val="21"/>
              </w:rPr>
              <w:t>设备管理</w:t>
            </w:r>
          </w:p>
        </w:tc>
        <w:tc>
          <w:tcPr>
            <w:tcW w:type="dxa" w:w="5200"/>
            <w:tcBorders>
              <w:top w:val="none" w:color="000000" w:sz="4"/>
              <w:left w:val="single" w:color="000000" w:sz="4"/>
              <w:bottom w:val="single" w:color="000000" w:sz="4"/>
              <w:right w:val="single" w:color="000000" w:sz="4"/>
            </w:tcBorders>
            <w:vAlign w:val="top"/>
          </w:tcPr>
          <w:p>
            <w:pPr>
              <w:jc w:val="both"/>
            </w:pPr>
            <w:r>
              <w:rPr>
                <w:sz w:val="21"/>
              </w:rPr>
              <w:t>可采集终端序列号、终端型号、终端类型、终端操作系统等设备基本信息；可采集</w:t>
            </w:r>
            <w:r>
              <w:rPr>
                <w:sz w:val="21"/>
              </w:rPr>
              <w:t>APN接入点信息；可采集蓝牙、WIFI等外设开启情况；可禁止终端网络非法外联；与MDM服务器联动，可实现通过服务器向指定终端推送文件，或者从终端抓取文件功能；可实现终端端口开启/关闭（例如蓝牙、WiFi、截屏等）功能；可实现管理员通过手机对受控终端进行管理的功能；可实现管理员远程接管终端界面进行协助操作的功能；可实现蓝牙白名单及WiFi热点白名单功能</w:t>
            </w:r>
          </w:p>
        </w:tc>
      </w:tr>
      <w:tr>
        <w:tc>
          <w:tcPr>
            <w:tcW w:type="dxa" w:w="1224"/>
            <w:vMerge/>
            <w:tcBorders>
              <w:top w:val="none" w:color="000000" w:sz="4"/>
              <w:left w:val="single" w:color="000000" w:sz="4"/>
              <w:bottom w:val="single" w:color="000000" w:sz="4"/>
              <w:right w:val="single" w:color="000000" w:sz="4"/>
            </w:tcBorders>
          </w:tcPr>
          <w:p/>
        </w:tc>
        <w:tc>
          <w:tcPr>
            <w:tcW w:type="dxa" w:w="1879"/>
            <w:tcBorders>
              <w:top w:val="none" w:color="000000" w:sz="4"/>
              <w:left w:val="single" w:color="000000" w:sz="4"/>
              <w:bottom w:val="single" w:color="000000" w:sz="4"/>
              <w:right w:val="single" w:color="000000" w:sz="4"/>
            </w:tcBorders>
            <w:vAlign w:val="top"/>
          </w:tcPr>
          <w:p>
            <w:pPr>
              <w:jc w:val="both"/>
            </w:pPr>
            <w:r>
              <w:rPr>
                <w:sz w:val="21"/>
              </w:rPr>
              <w:t>安全管控</w:t>
            </w:r>
          </w:p>
        </w:tc>
        <w:tc>
          <w:tcPr>
            <w:tcW w:type="dxa" w:w="5200"/>
            <w:tcBorders>
              <w:top w:val="none" w:color="000000" w:sz="4"/>
              <w:left w:val="single" w:color="000000" w:sz="4"/>
              <w:bottom w:val="single" w:color="000000" w:sz="4"/>
              <w:right w:val="single" w:color="000000" w:sz="4"/>
            </w:tcBorders>
            <w:vAlign w:val="top"/>
          </w:tcPr>
          <w:p>
            <w:pPr>
              <w:jc w:val="both"/>
            </w:pPr>
            <w:r>
              <w:rPr>
                <w:sz w:val="21"/>
              </w:rPr>
              <w:t>可在终端侧对终端工作区网络接入点进行源头限制，只能接入公安无线虚拟专网，不能接入互联网；可对终端网络资源进行访问控制；可实现远程屏幕监控；可对设备进行远程锁定；可远程擦除终端数据；可实现</w:t>
            </w:r>
            <w:r>
              <w:rPr>
                <w:sz w:val="21"/>
              </w:rPr>
              <w:t>APP管控，禁止运行非可信程序，提供APP应用静默安装功能；可对终端WIFI进行管理，实现只定位、不传输数据；提供反制措施，支持控制指令下发和操作，可以在终端违规时由后台发起对终端违规行为的制约</w:t>
            </w:r>
          </w:p>
        </w:tc>
      </w:tr>
      <w:tr>
        <w:tc>
          <w:tcPr>
            <w:tcW w:type="dxa" w:w="1224"/>
            <w:vMerge/>
            <w:tcBorders>
              <w:top w:val="none" w:color="000000" w:sz="4"/>
              <w:left w:val="single" w:color="000000" w:sz="4"/>
              <w:bottom w:val="single" w:color="000000" w:sz="4"/>
              <w:right w:val="single" w:color="000000" w:sz="4"/>
            </w:tcBorders>
          </w:tcPr>
          <w:p/>
        </w:tc>
        <w:tc>
          <w:tcPr>
            <w:tcW w:type="dxa" w:w="1879"/>
            <w:tcBorders>
              <w:top w:val="none" w:color="000000" w:sz="4"/>
              <w:left w:val="single" w:color="000000" w:sz="4"/>
              <w:bottom w:val="single" w:color="000000" w:sz="4"/>
              <w:right w:val="single" w:color="000000" w:sz="4"/>
            </w:tcBorders>
            <w:vAlign w:val="top"/>
          </w:tcPr>
          <w:p>
            <w:pPr>
              <w:jc w:val="both"/>
            </w:pPr>
            <w:r>
              <w:rPr>
                <w:sz w:val="21"/>
              </w:rPr>
              <w:t>多模式管理</w:t>
            </w:r>
          </w:p>
        </w:tc>
        <w:tc>
          <w:tcPr>
            <w:tcW w:type="dxa" w:w="5200"/>
            <w:tcBorders>
              <w:top w:val="none" w:color="000000" w:sz="4"/>
              <w:left w:val="single" w:color="000000" w:sz="4"/>
              <w:bottom w:val="single" w:color="000000" w:sz="4"/>
              <w:right w:val="single" w:color="000000" w:sz="4"/>
            </w:tcBorders>
            <w:vAlign w:val="top"/>
          </w:tcPr>
          <w:p>
            <w:pPr>
              <w:jc w:val="both"/>
            </w:pPr>
            <w:r>
              <w:rPr>
                <w:sz w:val="21"/>
              </w:rPr>
              <w:t>按照《全国公安移动警务建设总体技术方案（</w:t>
            </w:r>
            <w:r>
              <w:rPr>
                <w:sz w:val="21"/>
              </w:rPr>
              <w:t>2016版）》规定，警务终端需支持模式管理，实现安全办公系统下警务应用的统一安装或升级、回退、卸载等功能，且能够支持</w:t>
            </w:r>
            <w:r>
              <w:rPr>
                <w:sz w:val="21"/>
              </w:rPr>
              <w:t>大开发</w:t>
            </w:r>
            <w:r>
              <w:rPr>
                <w:sz w:val="21"/>
              </w:rPr>
              <w:t>操作；实现安全工作系统网络自动切换，为民警安全办公提供保障</w:t>
            </w:r>
          </w:p>
        </w:tc>
      </w:tr>
      <w:tr>
        <w:tc>
          <w:tcPr>
            <w:tcW w:type="dxa" w:w="1224"/>
            <w:vMerge/>
            <w:tcBorders>
              <w:top w:val="none" w:color="000000" w:sz="4"/>
              <w:left w:val="single" w:color="000000" w:sz="4"/>
              <w:bottom w:val="single" w:color="000000" w:sz="4"/>
              <w:right w:val="single" w:color="000000" w:sz="4"/>
            </w:tcBorders>
          </w:tcPr>
          <w:p/>
        </w:tc>
        <w:tc>
          <w:tcPr>
            <w:tcW w:type="dxa" w:w="1879"/>
            <w:tcBorders>
              <w:top w:val="none" w:color="000000" w:sz="4"/>
              <w:left w:val="single" w:color="000000" w:sz="4"/>
              <w:bottom w:val="single" w:color="000000" w:sz="4"/>
              <w:right w:val="single" w:color="000000" w:sz="4"/>
            </w:tcBorders>
            <w:vAlign w:val="top"/>
          </w:tcPr>
          <w:p>
            <w:pPr>
              <w:jc w:val="both"/>
            </w:pPr>
            <w:r>
              <w:rPr>
                <w:sz w:val="21"/>
              </w:rPr>
              <w:t>应用管理</w:t>
            </w:r>
          </w:p>
        </w:tc>
        <w:tc>
          <w:tcPr>
            <w:tcW w:type="dxa" w:w="5200"/>
            <w:tcBorders>
              <w:top w:val="none" w:color="000000" w:sz="4"/>
              <w:left w:val="single" w:color="000000" w:sz="4"/>
              <w:bottom w:val="single" w:color="000000" w:sz="4"/>
              <w:right w:val="single" w:color="000000" w:sz="4"/>
            </w:tcBorders>
            <w:vAlign w:val="top"/>
          </w:tcPr>
          <w:p>
            <w:pPr>
              <w:jc w:val="both"/>
            </w:pPr>
            <w:r>
              <w:rPr>
                <w:sz w:val="21"/>
              </w:rPr>
              <w:t>与</w:t>
            </w:r>
            <w:r>
              <w:rPr>
                <w:sz w:val="21"/>
              </w:rPr>
              <w:t>MDM服务器联动，终端侧可实现APP黑白名单管控，禁止安装和运行非可信程序；提供APP应用静默安装和静默卸载功能；提供指定APP防卸载功能；管控客户端定时上报终端软件资产信息至MDM服务器</w:t>
            </w:r>
          </w:p>
        </w:tc>
      </w:tr>
      <w:tr>
        <w:tc>
          <w:tcPr>
            <w:tcW w:type="dxa" w:w="1224"/>
            <w:vMerge/>
            <w:tcBorders>
              <w:top w:val="none" w:color="000000" w:sz="4"/>
              <w:left w:val="single" w:color="000000" w:sz="4"/>
              <w:bottom w:val="single" w:color="000000" w:sz="4"/>
              <w:right w:val="single" w:color="000000" w:sz="4"/>
            </w:tcBorders>
          </w:tcPr>
          <w:p/>
        </w:tc>
        <w:tc>
          <w:tcPr>
            <w:tcW w:type="dxa" w:w="1879"/>
            <w:tcBorders>
              <w:top w:val="none" w:color="000000" w:sz="4"/>
              <w:left w:val="single" w:color="000000" w:sz="4"/>
              <w:bottom w:val="single" w:color="000000" w:sz="4"/>
              <w:right w:val="single" w:color="000000" w:sz="4"/>
            </w:tcBorders>
            <w:vAlign w:val="top"/>
          </w:tcPr>
          <w:p>
            <w:pPr>
              <w:jc w:val="both"/>
            </w:pPr>
            <w:r>
              <w:rPr>
                <w:sz w:val="21"/>
              </w:rPr>
              <w:t>日志上报</w:t>
            </w:r>
          </w:p>
        </w:tc>
        <w:tc>
          <w:tcPr>
            <w:tcW w:type="dxa" w:w="5200"/>
            <w:tcBorders>
              <w:top w:val="none" w:color="000000" w:sz="4"/>
              <w:left w:val="single" w:color="000000" w:sz="4"/>
              <w:bottom w:val="single" w:color="000000" w:sz="4"/>
              <w:right w:val="single" w:color="000000" w:sz="4"/>
            </w:tcBorders>
            <w:vAlign w:val="top"/>
          </w:tcPr>
          <w:p>
            <w:pPr>
              <w:jc w:val="both"/>
            </w:pPr>
            <w:r>
              <w:rPr>
                <w:sz w:val="21"/>
              </w:rPr>
              <w:t>提供警务应用运行情况统计和加密通讯隧道，并可由管控客户端后台发送应用行为日志</w:t>
            </w:r>
          </w:p>
        </w:tc>
      </w:tr>
    </w:tbl>
    <w:p>
      <w:pPr>
        <w:ind w:firstLine="420"/>
      </w:pPr>
    </w:p>
    <w:p>
      <w:pPr>
        <w:ind w:firstLine="420"/>
      </w:pPr>
      <w:r>
        <w:rPr>
          <w:sz w:val="21"/>
        </w:rPr>
        <w:t>2）后台</w:t>
      </w:r>
      <w:r>
        <w:rPr>
          <w:sz w:val="21"/>
        </w:rPr>
        <w:t>设备管控系统</w:t>
      </w:r>
    </w:p>
    <w:p>
      <w:pPr>
        <w:ind w:firstLine="420"/>
      </w:pPr>
      <w:r>
        <w:rPr>
          <w:sz w:val="21"/>
        </w:rPr>
        <w:t>后台设备管控系统可集成在安全管控服务器和集中管控中心服务器上，部署在公安信息网服务子平台，在公安信息网提供系统对接的接口，实现日志共享以及用户、设备管理、报表统计等功能，对民警移动终端进行统一管理。主要实现移动终端设备的以下功能：</w:t>
      </w:r>
    </w:p>
    <w:tbl>
      <w:tblPr>
        <w:tblW w:w="0" w:type="auto"/>
        <w:tblBorders>
          <w:top w:val="none" w:color="000000" w:sz="4"/>
          <w:left w:val="none" w:color="000000" w:sz="4"/>
          <w:bottom w:val="none" w:color="000000" w:sz="4"/>
          <w:right w:val="none" w:color="000000" w:sz="4"/>
          <w:insideH w:val="none"/>
          <w:insideV w:val="none"/>
        </w:tblBorders>
      </w:tblPr>
      <w:tblGrid>
        <w:gridCol w:w="1321"/>
        <w:gridCol w:w="1610"/>
        <w:gridCol w:w="5372"/>
      </w:tblGrid>
      <w:tr>
        <w:tc>
          <w:tcPr>
            <w:tcW w:type="dxa" w:w="1321"/>
            <w:tcBorders>
              <w:top w:val="single" w:color="000000" w:sz="4"/>
              <w:left w:val="single" w:color="000000" w:sz="4"/>
              <w:bottom w:val="single" w:color="000000" w:sz="4"/>
              <w:right w:val="single" w:color="000000" w:sz="4"/>
            </w:tcBorders>
            <w:shd w:fill="FFFFFF"/>
            <w:vAlign w:val="top"/>
          </w:tcPr>
          <w:p>
            <w:pPr>
              <w:jc w:val="center"/>
            </w:pPr>
            <w:r>
              <w:rPr>
                <w:b/>
                <w:sz w:val="21"/>
              </w:rPr>
              <w:t>项目</w:t>
            </w:r>
          </w:p>
        </w:tc>
        <w:tc>
          <w:tcPr>
            <w:tcW w:type="dxa" w:w="1610"/>
            <w:tcBorders>
              <w:top w:val="single" w:color="000000" w:sz="4"/>
              <w:left w:val="single" w:color="000000" w:sz="4"/>
              <w:bottom w:val="single" w:color="000000" w:sz="4"/>
              <w:right w:val="single" w:color="000000" w:sz="4"/>
            </w:tcBorders>
            <w:shd w:fill="FFFFFF"/>
            <w:vAlign w:val="top"/>
          </w:tcPr>
          <w:p>
            <w:pPr>
              <w:jc w:val="center"/>
            </w:pPr>
            <w:r>
              <w:rPr>
                <w:b/>
                <w:sz w:val="21"/>
              </w:rPr>
              <w:t>功能模块</w:t>
            </w:r>
          </w:p>
        </w:tc>
        <w:tc>
          <w:tcPr>
            <w:tcW w:type="dxa" w:w="5372"/>
            <w:tcBorders>
              <w:top w:val="single" w:color="000000" w:sz="4"/>
              <w:left w:val="single" w:color="000000" w:sz="4"/>
              <w:bottom w:val="single" w:color="000000" w:sz="4"/>
              <w:right w:val="single" w:color="000000" w:sz="4"/>
            </w:tcBorders>
            <w:shd w:fill="FFFFFF"/>
            <w:vAlign w:val="top"/>
          </w:tcPr>
          <w:p>
            <w:pPr>
              <w:jc w:val="center"/>
            </w:pPr>
            <w:r>
              <w:rPr>
                <w:b/>
                <w:sz w:val="21"/>
              </w:rPr>
              <w:t>功能描述</w:t>
            </w:r>
          </w:p>
        </w:tc>
      </w:tr>
      <w:tr>
        <w:tc>
          <w:tcPr>
            <w:tcW w:type="dxa" w:w="1321"/>
            <w:vMerge w:val="restart"/>
            <w:tcBorders>
              <w:top w:val="none" w:color="000000" w:sz="4"/>
              <w:left w:val="single" w:color="000000" w:sz="4"/>
              <w:bottom w:val="single" w:color="000000" w:sz="4"/>
              <w:right w:val="single" w:color="000000" w:sz="4"/>
            </w:tcBorders>
            <w:vAlign w:val="top"/>
          </w:tcPr>
          <w:p>
            <w:pPr>
              <w:jc w:val="center"/>
            </w:pPr>
            <w:r>
              <w:rPr>
                <w:sz w:val="21"/>
              </w:rPr>
              <w:t>后台设备管控系统</w:t>
            </w:r>
          </w:p>
        </w:tc>
        <w:tc>
          <w:tcPr>
            <w:tcW w:type="dxa" w:w="1610"/>
            <w:tcBorders>
              <w:top w:val="none" w:color="000000" w:sz="4"/>
              <w:left w:val="single" w:color="000000" w:sz="4"/>
              <w:bottom w:val="single" w:color="000000" w:sz="4"/>
              <w:right w:val="single" w:color="000000" w:sz="4"/>
            </w:tcBorders>
            <w:vAlign w:val="top"/>
          </w:tcPr>
          <w:p>
            <w:pPr>
              <w:jc w:val="both"/>
            </w:pPr>
            <w:r>
              <w:rPr>
                <w:sz w:val="21"/>
              </w:rPr>
              <w:t>运行监测</w:t>
            </w:r>
          </w:p>
        </w:tc>
        <w:tc>
          <w:tcPr>
            <w:tcW w:type="dxa" w:w="5372"/>
            <w:tcBorders>
              <w:top w:val="none" w:color="000000" w:sz="4"/>
              <w:left w:val="single" w:color="000000" w:sz="4"/>
              <w:bottom w:val="single" w:color="000000" w:sz="4"/>
              <w:right w:val="single" w:color="000000" w:sz="4"/>
            </w:tcBorders>
            <w:vAlign w:val="top"/>
          </w:tcPr>
          <w:p>
            <w:pPr>
              <w:jc w:val="both"/>
            </w:pPr>
            <w:r>
              <w:rPr>
                <w:sz w:val="21"/>
              </w:rPr>
              <w:t>将终端的硬件信息、运行状态、位置信息等在平台中呈现，管理人员可根据不同的情况，通过平台对移动终端进行远程的管理操作，如锁定、解锁或销毁设备等。移动设备管理功能应包括：设备注册、设备激活、设备锁定、设备解锁、设备销毁、数据擦除、设备监控、密码重置、消息推送，威胁告警等。当终端发生遗失等情况时，通过使用远程设备锁定、设备销毁、数据擦除等功能，可以实现锁定手机的正常使用、对特定数据进行擦除，有效防止终端被非法人员使用，敏感信息被非法人员获取</w:t>
            </w:r>
          </w:p>
        </w:tc>
      </w:tr>
      <w:tr>
        <w:tc>
          <w:tcPr>
            <w:tcW w:type="dxa" w:w="1321"/>
            <w:vMerge/>
            <w:tcBorders>
              <w:top w:val="none" w:color="000000" w:sz="4"/>
              <w:left w:val="single" w:color="000000" w:sz="4"/>
              <w:bottom w:val="single" w:color="000000" w:sz="4"/>
              <w:right w:val="single" w:color="000000" w:sz="4"/>
            </w:tcBorders>
          </w:tcPr>
          <w:p/>
        </w:tc>
        <w:tc>
          <w:tcPr>
            <w:tcW w:type="dxa" w:w="1610"/>
            <w:tcBorders>
              <w:top w:val="none" w:color="000000" w:sz="4"/>
              <w:left w:val="single" w:color="000000" w:sz="4"/>
              <w:bottom w:val="single" w:color="000000" w:sz="4"/>
              <w:right w:val="single" w:color="000000" w:sz="4"/>
            </w:tcBorders>
            <w:vAlign w:val="top"/>
          </w:tcPr>
          <w:p>
            <w:pPr>
              <w:jc w:val="both"/>
            </w:pPr>
            <w:r>
              <w:rPr>
                <w:sz w:val="21"/>
              </w:rPr>
              <w:t>应用管理</w:t>
            </w:r>
          </w:p>
        </w:tc>
        <w:tc>
          <w:tcPr>
            <w:tcW w:type="dxa" w:w="5372"/>
            <w:tcBorders>
              <w:top w:val="none" w:color="000000" w:sz="4"/>
              <w:left w:val="single" w:color="000000" w:sz="4"/>
              <w:bottom w:val="single" w:color="000000" w:sz="4"/>
              <w:right w:val="single" w:color="000000" w:sz="4"/>
            </w:tcBorders>
            <w:vAlign w:val="top"/>
          </w:tcPr>
          <w:p>
            <w:pPr>
              <w:jc w:val="both"/>
            </w:pPr>
            <w:r>
              <w:rPr>
                <w:sz w:val="21"/>
              </w:rPr>
              <w:t>应用管理功能，与应用支撑平台的应用发布管理系统结合，实现移动应用的高效分发、安装、更新和卸载等功能，并对终端设备中已安装应用进行安全监控。该类功能的使用必须取得相关管理权限，可以实现自动的应用分发、应用安装</w:t>
            </w:r>
            <w:r>
              <w:rPr>
                <w:sz w:val="21"/>
              </w:rPr>
              <w:t>/升级/卸载、应用黑白名单、应用监控等。通过移动应用管理，管理人员可批量分发安全应用到用户终端设备，并能够对特定用户实现指定的应用安装、升级和卸载等；可设置移动应用的黑白名单，指定特定范围内的手机按照此黑白名单，实现应用的安装管理</w:t>
            </w:r>
          </w:p>
        </w:tc>
      </w:tr>
      <w:tr>
        <w:tc>
          <w:tcPr>
            <w:tcW w:type="dxa" w:w="1321"/>
            <w:vMerge/>
            <w:tcBorders>
              <w:top w:val="none" w:color="000000" w:sz="4"/>
              <w:left w:val="single" w:color="000000" w:sz="4"/>
              <w:bottom w:val="single" w:color="000000" w:sz="4"/>
              <w:right w:val="single" w:color="000000" w:sz="4"/>
            </w:tcBorders>
          </w:tcPr>
          <w:p/>
        </w:tc>
        <w:tc>
          <w:tcPr>
            <w:tcW w:type="dxa" w:w="1610"/>
            <w:tcBorders>
              <w:top w:val="none" w:color="000000" w:sz="4"/>
              <w:left w:val="single" w:color="000000" w:sz="4"/>
              <w:bottom w:val="single" w:color="000000" w:sz="4"/>
              <w:right w:val="single" w:color="000000" w:sz="4"/>
            </w:tcBorders>
            <w:vAlign w:val="top"/>
          </w:tcPr>
          <w:p>
            <w:pPr>
              <w:jc w:val="both"/>
            </w:pPr>
            <w:r>
              <w:rPr>
                <w:sz w:val="21"/>
              </w:rPr>
              <w:t>安全管控</w:t>
            </w:r>
          </w:p>
        </w:tc>
        <w:tc>
          <w:tcPr>
            <w:tcW w:type="dxa" w:w="5372"/>
            <w:tcBorders>
              <w:top w:val="none" w:color="000000" w:sz="4"/>
              <w:left w:val="single" w:color="000000" w:sz="4"/>
              <w:bottom w:val="single" w:color="000000" w:sz="4"/>
              <w:right w:val="single" w:color="000000" w:sz="4"/>
            </w:tcBorders>
            <w:vAlign w:val="top"/>
          </w:tcPr>
          <w:p>
            <w:pPr>
              <w:jc w:val="both"/>
            </w:pPr>
            <w:r>
              <w:rPr>
                <w:sz w:val="21"/>
              </w:rPr>
              <w:t>对使用的应用及应用服务进行监测，包括应用进程以及应用传输内容，防止非法提取数据；响应后台监控中心发出的指令，实现终端安全事件的及时处置</w:t>
            </w:r>
          </w:p>
        </w:tc>
      </w:tr>
      <w:tr>
        <w:tc>
          <w:tcPr>
            <w:tcW w:type="dxa" w:w="1321"/>
            <w:vMerge/>
            <w:tcBorders>
              <w:top w:val="none" w:color="000000" w:sz="4"/>
              <w:left w:val="single" w:color="000000" w:sz="4"/>
              <w:bottom w:val="single" w:color="000000" w:sz="4"/>
              <w:right w:val="single" w:color="000000" w:sz="4"/>
            </w:tcBorders>
          </w:tcPr>
          <w:p/>
        </w:tc>
        <w:tc>
          <w:tcPr>
            <w:tcW w:type="dxa" w:w="1610"/>
            <w:tcBorders>
              <w:top w:val="none" w:color="000000" w:sz="4"/>
              <w:left w:val="single" w:color="000000" w:sz="4"/>
              <w:bottom w:val="single" w:color="000000" w:sz="4"/>
              <w:right w:val="single" w:color="000000" w:sz="4"/>
            </w:tcBorders>
            <w:vAlign w:val="top"/>
          </w:tcPr>
          <w:p>
            <w:pPr>
              <w:jc w:val="both"/>
            </w:pPr>
            <w:r>
              <w:rPr>
                <w:sz w:val="21"/>
              </w:rPr>
              <w:t>策略管理</w:t>
            </w:r>
          </w:p>
        </w:tc>
        <w:tc>
          <w:tcPr>
            <w:tcW w:type="dxa" w:w="5372"/>
            <w:tcBorders>
              <w:top w:val="none" w:color="000000" w:sz="4"/>
              <w:left w:val="single" w:color="000000" w:sz="4"/>
              <w:bottom w:val="single" w:color="000000" w:sz="4"/>
              <w:right w:val="single" w:color="000000" w:sz="4"/>
            </w:tcBorders>
            <w:vAlign w:val="top"/>
          </w:tcPr>
          <w:p>
            <w:pPr>
              <w:jc w:val="both"/>
            </w:pPr>
            <w:r>
              <w:rPr>
                <w:sz w:val="21"/>
              </w:rPr>
              <w:t>为用户提供全面统一的安全保障，还可根据用户类型的不同，制定有针对性的安全策略，实现更有效的安全保护。安全策略的下发，安全策略管理内容包括端口限制策略、蓝牙配对白名单策略、权限控制策略、系统信息推送策略及安全事件响应策略等。通过下发端口限制策略，可以控制终端上相关端口功能的开启和关闭，包括：蓝牙开启</w:t>
            </w:r>
            <w:r>
              <w:rPr>
                <w:sz w:val="21"/>
              </w:rPr>
              <w:t>/关闭、摄像头开启/关闭、麦克风开启/关闭、网络访问开关（WIFI开启/关闭、移动数据开启/关闭）、个人热点开启/关闭、GPS开启/关闭、USB开启/关闭、飞行模式功能开启/关闭，截屏功能开启/关闭，录屏功能开启/关闭；蓝牙配对白名单策略对于设置为白名单内的蓝牙设备，允许终端进行连接，白名单外的蓝牙设备，终端禁止连接；权限管控策略能够对指定应用进行赋权，被赋权的应用允许使用系统相应权限，例如使用摄像头、蓝牙、GPS等，而未赋权的应用无法使用这些功能；系统信息推送策略能够通过设备管控客户端读取工作系统提示及应用信息传递给第三方进行使用；安全事件响应策略可根据事先预置的响应策略，在发生各种安全事件时，对终端进行锁屏、断网、关机，甚至擦除数据等操作。</w:t>
            </w:r>
          </w:p>
        </w:tc>
      </w:tr>
      <w:tr>
        <w:tc>
          <w:tcPr>
            <w:tcW w:type="dxa" w:w="1321"/>
            <w:vMerge/>
            <w:tcBorders>
              <w:top w:val="none" w:color="000000" w:sz="4"/>
              <w:left w:val="single" w:color="000000" w:sz="4"/>
              <w:bottom w:val="single" w:color="000000" w:sz="4"/>
              <w:right w:val="single" w:color="000000" w:sz="4"/>
            </w:tcBorders>
          </w:tcPr>
          <w:p/>
        </w:tc>
        <w:tc>
          <w:tcPr>
            <w:tcW w:type="dxa" w:w="1610"/>
            <w:tcBorders>
              <w:top w:val="none" w:color="000000" w:sz="4"/>
              <w:left w:val="single" w:color="000000" w:sz="4"/>
              <w:bottom w:val="single" w:color="000000" w:sz="4"/>
              <w:right w:val="single" w:color="000000" w:sz="4"/>
            </w:tcBorders>
            <w:vAlign w:val="top"/>
          </w:tcPr>
          <w:p>
            <w:pPr>
              <w:jc w:val="both"/>
            </w:pPr>
            <w:r>
              <w:rPr>
                <w:sz w:val="21"/>
              </w:rPr>
              <w:t>报表管理</w:t>
            </w:r>
          </w:p>
        </w:tc>
        <w:tc>
          <w:tcPr>
            <w:tcW w:type="dxa" w:w="5372"/>
            <w:tcBorders>
              <w:top w:val="none" w:color="000000" w:sz="4"/>
              <w:left w:val="single" w:color="000000" w:sz="4"/>
              <w:bottom w:val="single" w:color="000000" w:sz="4"/>
              <w:right w:val="single" w:color="000000" w:sz="4"/>
            </w:tcBorders>
            <w:vAlign w:val="top"/>
          </w:tcPr>
          <w:p>
            <w:pPr>
              <w:jc w:val="both"/>
            </w:pPr>
            <w:r>
              <w:rPr>
                <w:sz w:val="21"/>
              </w:rPr>
              <w:t>终端使用率报表：每月统计终端使用情况。符合广州市公安局终端使用率统计标准；</w:t>
            </w:r>
          </w:p>
          <w:p>
            <w:pPr>
              <w:jc w:val="both"/>
            </w:pPr>
            <w:r>
              <w:rPr>
                <w:sz w:val="21"/>
              </w:rPr>
              <w:t>移动警务应用使用报表：平台提供每月按组织部门统计各应用使用次数的报表，并且能够统计使用应用次数最多的前三个组织部门。</w:t>
            </w:r>
          </w:p>
        </w:tc>
      </w:tr>
      <w:tr>
        <w:tc>
          <w:tcPr>
            <w:tcW w:type="dxa" w:w="1321"/>
            <w:vMerge/>
            <w:tcBorders>
              <w:top w:val="none" w:color="000000" w:sz="4"/>
              <w:left w:val="single" w:color="000000" w:sz="4"/>
              <w:bottom w:val="single" w:color="000000" w:sz="4"/>
              <w:right w:val="single" w:color="000000" w:sz="4"/>
            </w:tcBorders>
          </w:tcPr>
          <w:p/>
        </w:tc>
        <w:tc>
          <w:tcPr>
            <w:tcW w:type="dxa" w:w="1610"/>
            <w:tcBorders>
              <w:top w:val="none" w:color="000000" w:sz="4"/>
              <w:left w:val="single" w:color="000000" w:sz="4"/>
              <w:bottom w:val="single" w:color="000000" w:sz="4"/>
              <w:right w:val="single" w:color="000000" w:sz="4"/>
            </w:tcBorders>
            <w:vAlign w:val="top"/>
          </w:tcPr>
          <w:p>
            <w:pPr>
              <w:jc w:val="both"/>
            </w:pPr>
            <w:r>
              <w:rPr>
                <w:sz w:val="21"/>
              </w:rPr>
              <w:t>省、市两级集中管控平台对接</w:t>
            </w:r>
          </w:p>
        </w:tc>
        <w:tc>
          <w:tcPr>
            <w:tcW w:type="dxa" w:w="5372"/>
            <w:tcBorders>
              <w:top w:val="none" w:color="000000" w:sz="4"/>
              <w:left w:val="single" w:color="000000" w:sz="4"/>
              <w:bottom w:val="single" w:color="000000" w:sz="4"/>
              <w:right w:val="single" w:color="000000" w:sz="4"/>
            </w:tcBorders>
            <w:vAlign w:val="top"/>
          </w:tcPr>
          <w:p>
            <w:pPr>
              <w:jc w:val="both"/>
            </w:pPr>
            <w:r>
              <w:rPr>
                <w:sz w:val="21"/>
              </w:rPr>
              <w:t>符合与省级、市级集中管控中心的接口设计，确保实现省级、市级平台（可以是不同厂商）接口对接</w:t>
            </w:r>
          </w:p>
        </w:tc>
      </w:tr>
    </w:tbl>
    <w:p>
      <w:pPr>
        <w:ind w:firstLine="422"/>
        <w:jc w:val="both"/>
      </w:pPr>
      <w:r>
        <w:rPr>
          <w:b/>
          <w:sz w:val="21"/>
        </w:rPr>
        <w:t>（</w:t>
      </w:r>
      <w:r>
        <w:rPr>
          <w:b/>
          <w:sz w:val="21"/>
        </w:rPr>
        <w:t>三</w:t>
      </w:r>
      <w:r>
        <w:rPr>
          <w:b/>
          <w:sz w:val="21"/>
        </w:rPr>
        <w:t>）</w:t>
      </w:r>
      <w:r>
        <w:rPr>
          <w:b/>
          <w:sz w:val="21"/>
        </w:rPr>
        <w:t>移动警务终端硬件维修服务</w:t>
      </w:r>
    </w:p>
    <w:p>
      <w:pPr>
        <w:ind w:firstLine="420"/>
      </w:pPr>
      <w:r>
        <w:rPr>
          <w:color w:val="000000"/>
          <w:sz w:val="21"/>
        </w:rPr>
        <w:t>乙方</w:t>
      </w:r>
      <w:r>
        <w:rPr>
          <w:color w:val="000000"/>
          <w:sz w:val="21"/>
        </w:rPr>
        <w:t>需提供移动警务终端的硬件维修（含配件更换）服务，以及终端日常使用过程中出现的各类硬件故障。维修期内，所有设备维修服务均为上门服务，由此产生的费用由</w:t>
      </w:r>
      <w:r>
        <w:rPr>
          <w:color w:val="000000"/>
          <w:sz w:val="21"/>
        </w:rPr>
        <w:t>甲方</w:t>
      </w:r>
      <w:r>
        <w:rPr>
          <w:color w:val="000000"/>
          <w:sz w:val="21"/>
        </w:rPr>
        <w:t>承担。维修费用据实结算，且累计不能超过</w:t>
      </w:r>
      <w:r>
        <w:rPr>
          <w:color w:val="000000"/>
          <w:sz w:val="21"/>
        </w:rPr>
        <w:t>5万元。</w:t>
      </w:r>
    </w:p>
    <w:tbl>
      <w:tblPr>
        <w:tblW w:w="0" w:type="auto"/>
        <w:tblBorders>
          <w:top w:val="none" w:color="000000" w:sz="4"/>
          <w:left w:val="none" w:color="000000" w:sz="4"/>
          <w:bottom w:val="none" w:color="000000" w:sz="4"/>
          <w:right w:val="none" w:color="000000" w:sz="4"/>
          <w:insideH w:val="none"/>
          <w:insideV w:val="none"/>
        </w:tblBorders>
      </w:tblPr>
      <w:tblGrid>
        <w:gridCol w:w="1878"/>
        <w:gridCol w:w="3133"/>
        <w:gridCol w:w="3175"/>
      </w:tblGrid>
      <w:tr>
        <w:tc>
          <w:tcPr>
            <w:tcW w:type="dxa" w:w="8186"/>
            <w:gridSpan w:val="3"/>
            <w:tcBorders>
              <w:top w:val="single" w:color="000000" w:sz="4"/>
              <w:left w:val="single" w:color="000000" w:sz="4"/>
              <w:bottom w:val="single" w:color="000000" w:sz="4"/>
              <w:right w:val="single" w:color="000000" w:sz="4"/>
            </w:tcBorders>
            <w:vAlign w:val="bottom"/>
          </w:tcPr>
          <w:p>
            <w:pPr>
              <w:jc w:val="center"/>
            </w:pPr>
            <w:r>
              <w:rPr>
                <w:b/>
                <w:sz w:val="21"/>
              </w:rPr>
              <w:t>华为</w:t>
            </w:r>
            <w:r>
              <w:rPr>
                <w:b/>
                <w:sz w:val="21"/>
              </w:rPr>
              <w:t>NOVA8移动警务终端维修服务明细</w:t>
            </w:r>
          </w:p>
        </w:tc>
      </w:tr>
      <w:tr>
        <w:tc>
          <w:tcPr>
            <w:tcW w:type="dxa" w:w="1878"/>
            <w:tcBorders>
              <w:top w:val="none" w:color="000000" w:sz="4"/>
              <w:left w:val="single" w:color="000000" w:sz="4"/>
              <w:bottom w:val="single" w:color="000000" w:sz="4"/>
              <w:right w:val="single" w:color="000000" w:sz="4"/>
            </w:tcBorders>
            <w:vAlign w:val="bottom"/>
          </w:tcPr>
          <w:p>
            <w:pPr>
              <w:jc w:val="center"/>
            </w:pPr>
            <w:r>
              <w:rPr>
                <w:b/>
                <w:sz w:val="21"/>
              </w:rPr>
              <w:t>序号</w:t>
            </w:r>
          </w:p>
        </w:tc>
        <w:tc>
          <w:tcPr>
            <w:tcW w:type="dxa" w:w="3133"/>
            <w:tcBorders>
              <w:top w:val="none" w:color="000000" w:sz="4"/>
              <w:left w:val="none" w:color="000000" w:sz="4"/>
              <w:bottom w:val="single" w:color="000000" w:sz="4"/>
              <w:right w:val="single" w:color="000000" w:sz="4"/>
            </w:tcBorders>
            <w:vAlign w:val="bottom"/>
          </w:tcPr>
          <w:p>
            <w:pPr>
              <w:jc w:val="center"/>
            </w:pPr>
            <w:r>
              <w:rPr>
                <w:b/>
                <w:sz w:val="21"/>
              </w:rPr>
              <w:t>项目</w:t>
            </w:r>
          </w:p>
        </w:tc>
        <w:tc>
          <w:tcPr>
            <w:tcW w:type="dxa" w:w="3175"/>
            <w:tcBorders>
              <w:top w:val="none" w:color="000000" w:sz="4"/>
              <w:left w:val="none" w:color="000000" w:sz="4"/>
              <w:bottom w:val="single" w:color="000000" w:sz="4"/>
              <w:right w:val="single" w:color="000000" w:sz="4"/>
            </w:tcBorders>
            <w:vAlign w:val="bottom"/>
          </w:tcPr>
          <w:p>
            <w:pPr>
              <w:jc w:val="center"/>
            </w:pPr>
            <w:r>
              <w:rPr>
                <w:b/>
                <w:sz w:val="21"/>
              </w:rPr>
              <w:t>维修费用</w:t>
            </w:r>
            <w:r>
              <w:rPr>
                <w:sz w:val="21"/>
              </w:rPr>
              <w:t>（元</w:t>
            </w:r>
            <w:r>
              <w:rPr>
                <w:sz w:val="21"/>
              </w:rPr>
              <w:t>/次）</w:t>
            </w:r>
          </w:p>
        </w:tc>
      </w:tr>
      <w:tr>
        <w:tc>
          <w:tcPr>
            <w:tcW w:type="dxa" w:w="1878"/>
            <w:tcBorders>
              <w:top w:val="none" w:color="000000" w:sz="4"/>
              <w:left w:val="single" w:color="000000" w:sz="4"/>
              <w:bottom w:val="single" w:color="000000" w:sz="4"/>
              <w:right w:val="single" w:color="000000" w:sz="4"/>
            </w:tcBorders>
            <w:vAlign w:val="bottom"/>
          </w:tcPr>
          <w:p>
            <w:pPr>
              <w:jc w:val="center"/>
            </w:pPr>
            <w:r>
              <w:rPr>
                <w:sz w:val="21"/>
              </w:rPr>
              <w:t>1</w:t>
            </w:r>
          </w:p>
        </w:tc>
        <w:tc>
          <w:tcPr>
            <w:tcW w:type="dxa" w:w="3133"/>
            <w:tcBorders>
              <w:top w:val="none" w:color="000000" w:sz="4"/>
              <w:left w:val="none" w:color="000000" w:sz="4"/>
              <w:bottom w:val="single" w:color="000000" w:sz="4"/>
              <w:right w:val="single" w:color="000000" w:sz="4"/>
            </w:tcBorders>
            <w:vAlign w:val="bottom"/>
          </w:tcPr>
          <w:p>
            <w:pPr>
              <w:jc w:val="center"/>
            </w:pPr>
            <w:r>
              <w:rPr>
                <w:sz w:val="21"/>
              </w:rPr>
              <w:t>更换电池（非保维修包含原装电池及人工费用）</w:t>
            </w:r>
          </w:p>
        </w:tc>
        <w:tc>
          <w:tcPr>
            <w:tcW w:type="dxa" w:w="3175"/>
            <w:tcBorders>
              <w:top w:val="none" w:color="000000" w:sz="4"/>
              <w:left w:val="none" w:color="000000" w:sz="4"/>
              <w:bottom w:val="single" w:color="000000" w:sz="4"/>
              <w:right w:val="single" w:color="000000" w:sz="4"/>
            </w:tcBorders>
            <w:vAlign w:val="bottom"/>
          </w:tcPr>
          <w:p>
            <w:pPr>
              <w:jc w:val="center"/>
            </w:pPr>
          </w:p>
        </w:tc>
      </w:tr>
      <w:tr>
        <w:tc>
          <w:tcPr>
            <w:tcW w:type="dxa" w:w="1878"/>
            <w:tcBorders>
              <w:top w:val="none" w:color="000000" w:sz="4"/>
              <w:left w:val="single" w:color="000000" w:sz="4"/>
              <w:bottom w:val="single" w:color="000000" w:sz="4"/>
              <w:right w:val="single" w:color="000000" w:sz="4"/>
            </w:tcBorders>
            <w:vAlign w:val="bottom"/>
          </w:tcPr>
          <w:p>
            <w:pPr>
              <w:jc w:val="center"/>
            </w:pPr>
            <w:r>
              <w:rPr>
                <w:sz w:val="21"/>
              </w:rPr>
              <w:t>2</w:t>
            </w:r>
          </w:p>
        </w:tc>
        <w:tc>
          <w:tcPr>
            <w:tcW w:type="dxa" w:w="3133"/>
            <w:tcBorders>
              <w:top w:val="none" w:color="000000" w:sz="4"/>
              <w:left w:val="none" w:color="000000" w:sz="4"/>
              <w:bottom w:val="single" w:color="000000" w:sz="4"/>
              <w:right w:val="single" w:color="000000" w:sz="4"/>
            </w:tcBorders>
            <w:vAlign w:val="bottom"/>
          </w:tcPr>
          <w:p>
            <w:pPr>
              <w:jc w:val="center"/>
            </w:pPr>
            <w:r>
              <w:rPr>
                <w:sz w:val="21"/>
              </w:rPr>
              <w:t>更换外屏</w:t>
            </w:r>
          </w:p>
        </w:tc>
        <w:tc>
          <w:tcPr>
            <w:tcW w:type="dxa" w:w="3175"/>
            <w:tcBorders>
              <w:top w:val="none" w:color="000000" w:sz="4"/>
              <w:left w:val="none" w:color="000000" w:sz="4"/>
              <w:bottom w:val="single" w:color="000000" w:sz="4"/>
              <w:right w:val="single" w:color="000000" w:sz="4"/>
            </w:tcBorders>
            <w:vAlign w:val="bottom"/>
          </w:tcPr>
          <w:p>
            <w:pPr>
              <w:jc w:val="center"/>
            </w:pPr>
          </w:p>
        </w:tc>
      </w:tr>
      <w:tr>
        <w:tc>
          <w:tcPr>
            <w:tcW w:type="dxa" w:w="1878"/>
            <w:tcBorders>
              <w:top w:val="none" w:color="000000" w:sz="4"/>
              <w:left w:val="single" w:color="000000" w:sz="4"/>
              <w:bottom w:val="single" w:color="000000" w:sz="4"/>
              <w:right w:val="single" w:color="000000" w:sz="4"/>
            </w:tcBorders>
            <w:vAlign w:val="bottom"/>
          </w:tcPr>
          <w:p>
            <w:pPr>
              <w:jc w:val="center"/>
            </w:pPr>
            <w:r>
              <w:rPr>
                <w:sz w:val="21"/>
              </w:rPr>
              <w:t>3</w:t>
            </w:r>
          </w:p>
        </w:tc>
        <w:tc>
          <w:tcPr>
            <w:tcW w:type="dxa" w:w="3133"/>
            <w:tcBorders>
              <w:top w:val="none" w:color="000000" w:sz="4"/>
              <w:left w:val="none" w:color="000000" w:sz="4"/>
              <w:bottom w:val="single" w:color="000000" w:sz="4"/>
              <w:right w:val="single" w:color="000000" w:sz="4"/>
            </w:tcBorders>
            <w:vAlign w:val="bottom"/>
          </w:tcPr>
          <w:p>
            <w:pPr>
              <w:jc w:val="center"/>
            </w:pPr>
            <w:r>
              <w:rPr>
                <w:sz w:val="21"/>
              </w:rPr>
              <w:t>更换内屏</w:t>
            </w:r>
          </w:p>
        </w:tc>
        <w:tc>
          <w:tcPr>
            <w:tcW w:type="dxa" w:w="3175"/>
            <w:tcBorders>
              <w:top w:val="none" w:color="000000" w:sz="4"/>
              <w:left w:val="none" w:color="000000" w:sz="4"/>
              <w:bottom w:val="single" w:color="000000" w:sz="4"/>
              <w:right w:val="single" w:color="000000" w:sz="4"/>
            </w:tcBorders>
            <w:vAlign w:val="bottom"/>
          </w:tcPr>
          <w:p>
            <w:pPr>
              <w:jc w:val="center"/>
            </w:pPr>
          </w:p>
        </w:tc>
      </w:tr>
      <w:tr>
        <w:tc>
          <w:tcPr>
            <w:tcW w:type="dxa" w:w="1878"/>
            <w:tcBorders>
              <w:top w:val="none" w:color="000000" w:sz="4"/>
              <w:left w:val="single" w:color="000000" w:sz="4"/>
              <w:bottom w:val="single" w:color="000000" w:sz="4"/>
              <w:right w:val="single" w:color="000000" w:sz="4"/>
            </w:tcBorders>
            <w:vAlign w:val="bottom"/>
          </w:tcPr>
          <w:p>
            <w:pPr>
              <w:jc w:val="center"/>
            </w:pPr>
            <w:r>
              <w:rPr>
                <w:sz w:val="21"/>
              </w:rPr>
              <w:t>4</w:t>
            </w:r>
          </w:p>
        </w:tc>
        <w:tc>
          <w:tcPr>
            <w:tcW w:type="dxa" w:w="3133"/>
            <w:tcBorders>
              <w:top w:val="none" w:color="000000" w:sz="4"/>
              <w:left w:val="none" w:color="000000" w:sz="4"/>
              <w:bottom w:val="single" w:color="000000" w:sz="4"/>
              <w:right w:val="single" w:color="000000" w:sz="4"/>
            </w:tcBorders>
            <w:vAlign w:val="bottom"/>
          </w:tcPr>
          <w:p>
            <w:pPr>
              <w:jc w:val="center"/>
            </w:pPr>
            <w:r>
              <w:rPr>
                <w:sz w:val="21"/>
              </w:rPr>
              <w:t>充电器（</w:t>
            </w:r>
            <w:r>
              <w:rPr>
                <w:sz w:val="21"/>
              </w:rPr>
              <w:t>2米66W快充线，Type-C插口）</w:t>
            </w:r>
          </w:p>
        </w:tc>
        <w:tc>
          <w:tcPr>
            <w:tcW w:type="dxa" w:w="3175"/>
            <w:tcBorders>
              <w:top w:val="none" w:color="000000" w:sz="4"/>
              <w:left w:val="none" w:color="000000" w:sz="4"/>
              <w:bottom w:val="single" w:color="000000" w:sz="4"/>
              <w:right w:val="single" w:color="000000" w:sz="4"/>
            </w:tcBorders>
            <w:vAlign w:val="bottom"/>
          </w:tcPr>
          <w:p>
            <w:pPr>
              <w:jc w:val="center"/>
            </w:pPr>
          </w:p>
        </w:tc>
      </w:tr>
      <w:tr>
        <w:tc>
          <w:tcPr>
            <w:tcW w:type="dxa" w:w="1878"/>
            <w:tcBorders>
              <w:top w:val="none" w:color="000000" w:sz="4"/>
              <w:left w:val="single" w:color="000000" w:sz="4"/>
              <w:bottom w:val="single" w:color="000000" w:sz="4"/>
              <w:right w:val="single" w:color="000000" w:sz="4"/>
            </w:tcBorders>
            <w:vAlign w:val="bottom"/>
          </w:tcPr>
          <w:p>
            <w:pPr>
              <w:jc w:val="center"/>
            </w:pPr>
            <w:r>
              <w:rPr>
                <w:sz w:val="21"/>
              </w:rPr>
              <w:t>5</w:t>
            </w:r>
          </w:p>
        </w:tc>
        <w:tc>
          <w:tcPr>
            <w:tcW w:type="dxa" w:w="3133"/>
            <w:tcBorders>
              <w:top w:val="none" w:color="000000" w:sz="4"/>
              <w:left w:val="none" w:color="000000" w:sz="4"/>
              <w:bottom w:val="single" w:color="000000" w:sz="4"/>
              <w:right w:val="single" w:color="000000" w:sz="4"/>
            </w:tcBorders>
            <w:vAlign w:val="bottom"/>
          </w:tcPr>
          <w:p>
            <w:pPr>
              <w:jc w:val="center"/>
            </w:pPr>
            <w:r>
              <w:rPr>
                <w:sz w:val="21"/>
              </w:rPr>
              <w:t>数据线（</w:t>
            </w:r>
            <w:r>
              <w:rPr>
                <w:sz w:val="21"/>
              </w:rPr>
              <w:t>2米66W数据线，Type-C插口）</w:t>
            </w:r>
          </w:p>
        </w:tc>
        <w:tc>
          <w:tcPr>
            <w:tcW w:type="dxa" w:w="3175"/>
            <w:tcBorders>
              <w:top w:val="none" w:color="000000" w:sz="4"/>
              <w:left w:val="none" w:color="000000" w:sz="4"/>
              <w:bottom w:val="single" w:color="000000" w:sz="4"/>
              <w:right w:val="single" w:color="000000" w:sz="4"/>
            </w:tcBorders>
            <w:vAlign w:val="bottom"/>
          </w:tcPr>
          <w:p>
            <w:pPr>
              <w:jc w:val="center"/>
            </w:pPr>
          </w:p>
        </w:tc>
      </w:tr>
      <w:tr>
        <w:tc>
          <w:tcPr>
            <w:tcW w:type="dxa" w:w="1878"/>
            <w:tcBorders>
              <w:top w:val="none" w:color="000000" w:sz="4"/>
              <w:left w:val="single" w:color="000000" w:sz="4"/>
              <w:bottom w:val="single" w:color="000000" w:sz="4"/>
              <w:right w:val="single" w:color="000000" w:sz="4"/>
            </w:tcBorders>
            <w:vAlign w:val="bottom"/>
          </w:tcPr>
          <w:p>
            <w:pPr>
              <w:jc w:val="center"/>
            </w:pPr>
            <w:r>
              <w:rPr>
                <w:sz w:val="21"/>
              </w:rPr>
              <w:t>6</w:t>
            </w:r>
          </w:p>
        </w:tc>
        <w:tc>
          <w:tcPr>
            <w:tcW w:type="dxa" w:w="3133"/>
            <w:tcBorders>
              <w:top w:val="none" w:color="000000" w:sz="4"/>
              <w:left w:val="none" w:color="000000" w:sz="4"/>
              <w:bottom w:val="single" w:color="000000" w:sz="4"/>
              <w:right w:val="single" w:color="000000" w:sz="4"/>
            </w:tcBorders>
            <w:vAlign w:val="bottom"/>
          </w:tcPr>
          <w:p>
            <w:pPr>
              <w:jc w:val="center"/>
            </w:pPr>
            <w:r>
              <w:rPr>
                <w:sz w:val="21"/>
              </w:rPr>
              <w:t>加密卡</w:t>
            </w:r>
          </w:p>
        </w:tc>
        <w:tc>
          <w:tcPr>
            <w:tcW w:type="dxa" w:w="3175"/>
            <w:tcBorders>
              <w:top w:val="none" w:color="000000" w:sz="4"/>
              <w:left w:val="none" w:color="000000" w:sz="4"/>
              <w:bottom w:val="single" w:color="000000" w:sz="4"/>
              <w:right w:val="single" w:color="000000" w:sz="4"/>
            </w:tcBorders>
            <w:vAlign w:val="bottom"/>
          </w:tcPr>
          <w:p>
            <w:pPr>
              <w:jc w:val="center"/>
            </w:pPr>
          </w:p>
        </w:tc>
      </w:tr>
    </w:tbl>
    <w:p>
      <w:pPr>
        <w:ind w:firstLine="401"/>
        <w:jc w:val="both"/>
      </w:pPr>
    </w:p>
    <w:p>
      <w:pPr>
        <w:ind w:firstLine="422"/>
        <w:jc w:val="both"/>
      </w:pPr>
      <w:r>
        <w:rPr>
          <w:b/>
          <w:sz w:val="21"/>
        </w:rPr>
        <w:t>（</w:t>
      </w:r>
      <w:r>
        <w:rPr>
          <w:b/>
          <w:sz w:val="21"/>
        </w:rPr>
        <w:t>四</w:t>
      </w:r>
      <w:r>
        <w:rPr>
          <w:b/>
          <w:sz w:val="21"/>
        </w:rPr>
        <w:t>）网络技术要求</w:t>
      </w:r>
    </w:p>
    <w:p>
      <w:pPr>
        <w:ind w:firstLine="422"/>
      </w:pPr>
      <w:r>
        <w:rPr>
          <w:b/>
          <w:color w:val="000000"/>
          <w:sz w:val="21"/>
        </w:rPr>
        <w:t>（</w:t>
      </w:r>
      <w:r>
        <w:rPr>
          <w:b/>
          <w:color w:val="000000"/>
          <w:sz w:val="21"/>
        </w:rPr>
        <w:t>1）网络总体要求</w:t>
      </w:r>
    </w:p>
    <w:p>
      <w:pPr>
        <w:ind w:firstLine="420"/>
      </w:pPr>
      <w:r>
        <w:rPr>
          <w:color w:val="000000"/>
          <w:sz w:val="21"/>
        </w:rPr>
        <w:t>全网络采用</w:t>
      </w:r>
      <w:r>
        <w:rPr>
          <w:color w:val="000000"/>
          <w:sz w:val="21"/>
        </w:rPr>
        <w:t>4G/5G无线技术，使移动终端从接入点到公安内网接入设备之间使用4G/5G网络，数据在4G/5G网络中传输，即为移动终端提供基于4G/5G的专网接入服务。</w:t>
      </w:r>
    </w:p>
    <w:p>
      <w:pPr>
        <w:ind w:firstLine="422"/>
      </w:pPr>
      <w:r>
        <w:rPr>
          <w:b/>
          <w:color w:val="000000"/>
          <w:sz w:val="21"/>
        </w:rPr>
        <w:t>（</w:t>
      </w:r>
      <w:r>
        <w:rPr>
          <w:b/>
          <w:color w:val="000000"/>
          <w:sz w:val="21"/>
        </w:rPr>
        <w:t>2）无线网安全性要求</w:t>
      </w:r>
    </w:p>
    <w:p>
      <w:pPr>
        <w:ind w:firstLine="420"/>
      </w:pPr>
      <w:r>
        <w:rPr>
          <w:color w:val="000000"/>
          <w:sz w:val="21"/>
        </w:rPr>
        <w:t>由乙方负责相关的网络安全解决方案，承诺确保网络安全，符合国家相关网络安全管理法规要求；使用</w:t>
      </w:r>
      <w:r>
        <w:rPr>
          <w:color w:val="000000"/>
          <w:sz w:val="21"/>
        </w:rPr>
        <w:t>4G/5G无线宽带的公众用户不会对公安内网的用户和业务系统进行干扰。</w:t>
      </w:r>
    </w:p>
    <w:p>
      <w:pPr>
        <w:ind w:firstLine="422"/>
      </w:pPr>
      <w:r>
        <w:rPr>
          <w:b/>
          <w:sz w:val="21"/>
        </w:rPr>
        <w:t>（</w:t>
      </w:r>
      <w:r>
        <w:rPr>
          <w:b/>
          <w:sz w:val="21"/>
        </w:rPr>
        <w:t>3）售后服务</w:t>
      </w:r>
    </w:p>
    <w:p>
      <w:pPr>
        <w:ind w:firstLine="420"/>
      </w:pPr>
      <w:r>
        <w:rPr>
          <w:color w:val="000000"/>
          <w:sz w:val="21"/>
        </w:rPr>
        <w:t>乙方在售后服务期内所提供的服务内容和范围包括以下几点：</w:t>
      </w:r>
    </w:p>
    <w:p>
      <w:pPr>
        <w:ind w:firstLine="420"/>
      </w:pPr>
      <w:r>
        <w:rPr>
          <w:color w:val="000000"/>
          <w:sz w:val="21"/>
        </w:rPr>
        <w:t>（</w:t>
      </w:r>
      <w:r>
        <w:rPr>
          <w:color w:val="000000"/>
          <w:sz w:val="21"/>
        </w:rPr>
        <w:t>1）保障4G网络的信号良好。</w:t>
      </w:r>
    </w:p>
    <w:p>
      <w:pPr>
        <w:ind w:firstLine="420"/>
      </w:pPr>
      <w:r>
        <w:rPr>
          <w:color w:val="000000"/>
          <w:sz w:val="21"/>
        </w:rPr>
        <w:t>（</w:t>
      </w:r>
      <w:r>
        <w:rPr>
          <w:color w:val="000000"/>
          <w:sz w:val="21"/>
        </w:rPr>
        <w:t>2）服务期内，乙方需按照甲方的要求到指定现场对设备进行维修、配置和有关软件的安装，适配广州市公安局移动警务平台等。</w:t>
      </w:r>
    </w:p>
    <w:p>
      <w:pPr>
        <w:ind w:firstLine="420"/>
      </w:pPr>
      <w:r>
        <w:rPr>
          <w:color w:val="000000"/>
          <w:sz w:val="21"/>
        </w:rPr>
        <w:t>乙方需根据甲方需求提供足够的技术人员到相关的下设机构提供现场办理开卡服务并参与全部终端设备的调试。</w:t>
      </w:r>
    </w:p>
    <w:p>
      <w:pPr>
        <w:ind w:firstLine="420"/>
      </w:pPr>
      <w:r>
        <w:rPr>
          <w:color w:val="000000"/>
          <w:sz w:val="21"/>
        </w:rPr>
        <w:t>（</w:t>
      </w:r>
      <w:r>
        <w:rPr>
          <w:color w:val="000000"/>
          <w:sz w:val="21"/>
        </w:rPr>
        <w:t>3）保障终端安全管控系统的正常使用，提供7*24小时报障受理。</w:t>
      </w:r>
    </w:p>
    <w:p>
      <w:pPr>
        <w:ind w:firstLine="420"/>
      </w:pPr>
      <w:r>
        <w:rPr>
          <w:color w:val="000000"/>
          <w:sz w:val="21"/>
        </w:rPr>
        <w:t>（</w:t>
      </w:r>
      <w:r>
        <w:rPr>
          <w:color w:val="000000"/>
          <w:sz w:val="21"/>
        </w:rPr>
        <w:t>4）确保与现时在用的终端安全管控平台进行数据对接，不影响甲方正常业务开展。</w:t>
      </w:r>
    </w:p>
    <w:p>
      <w:pPr>
        <w:ind w:firstLine="420"/>
      </w:pPr>
      <w:r>
        <w:rPr>
          <w:color w:val="000000"/>
          <w:sz w:val="21"/>
        </w:rPr>
        <w:t>（</w:t>
      </w:r>
      <w:r>
        <w:rPr>
          <w:color w:val="000000"/>
          <w:sz w:val="21"/>
        </w:rPr>
        <w:t>5）应每月向甲方提交4G网络及终端运行情况统计分析报告。</w:t>
      </w:r>
    </w:p>
    <w:p>
      <w:pPr>
        <w:ind w:firstLine="420"/>
      </w:pPr>
      <w:r>
        <w:rPr>
          <w:color w:val="000000"/>
          <w:sz w:val="21"/>
        </w:rPr>
        <w:t>（</w:t>
      </w:r>
      <w:r>
        <w:rPr>
          <w:color w:val="000000"/>
          <w:sz w:val="21"/>
        </w:rPr>
        <w:t>6）如甲方出现账号的使用人员变更，需及时配合完成。</w:t>
      </w:r>
    </w:p>
    <w:p>
      <w:pPr>
        <w:ind w:firstLine="420"/>
        <w:jc w:val="both"/>
      </w:pPr>
      <w:r>
        <w:rPr>
          <w:color w:val="000000"/>
          <w:sz w:val="21"/>
        </w:rPr>
        <w:t>（</w:t>
      </w:r>
      <w:r>
        <w:rPr>
          <w:color w:val="000000"/>
          <w:sz w:val="21"/>
        </w:rPr>
        <w:t>7）日常服务响应时效要求：工作日8：30～18:00期间为2小时，若电话中无法解决，4小时内到</w:t>
      </w:r>
      <w:r>
        <w:rPr>
          <w:color w:val="000000"/>
          <w:sz w:val="21"/>
        </w:rPr>
        <w:t>达现场进行维护。其余期间为</w:t>
      </w:r>
      <w:r>
        <w:rPr>
          <w:color w:val="000000"/>
          <w:sz w:val="21"/>
        </w:rPr>
        <w:t>15小时。</w:t>
      </w:r>
    </w:p>
    <w:p>
      <w:pPr>
        <w:ind w:firstLine="420"/>
        <w:jc w:val="both"/>
      </w:pPr>
      <w:r>
        <w:rPr>
          <w:color w:val="000000"/>
          <w:sz w:val="21"/>
        </w:rPr>
        <w:t>（</w:t>
      </w:r>
      <w:r>
        <w:rPr>
          <w:color w:val="000000"/>
          <w:sz w:val="21"/>
        </w:rPr>
        <w:t>8）保障服务响应时间：因警务工作的重要性，</w:t>
      </w:r>
      <w:r>
        <w:rPr>
          <w:color w:val="000000"/>
          <w:sz w:val="21"/>
        </w:rPr>
        <w:t>乙方</w:t>
      </w:r>
      <w:r>
        <w:rPr>
          <w:color w:val="000000"/>
          <w:sz w:val="21"/>
        </w:rPr>
        <w:t>网络故障恢复时限</w:t>
      </w:r>
      <w:r>
        <w:rPr>
          <w:color w:val="000000"/>
          <w:sz w:val="21"/>
        </w:rPr>
        <w:t>≤4小时。</w:t>
      </w:r>
    </w:p>
    <w:p>
      <w:pPr>
        <w:ind w:firstLine="420"/>
        <w:jc w:val="both"/>
      </w:pPr>
      <w:r>
        <w:rPr>
          <w:color w:val="000000"/>
          <w:sz w:val="21"/>
        </w:rPr>
        <w:t>（</w:t>
      </w:r>
      <w:r>
        <w:rPr>
          <w:color w:val="000000"/>
          <w:sz w:val="21"/>
        </w:rPr>
        <w:t>9）在服务期期间可以对服务号码进行报停，每月服务费用按实际开通使用进行结算。</w:t>
      </w:r>
    </w:p>
    <w:p>
      <w:pPr>
        <w:ind w:firstLine="420"/>
        <w:jc w:val="both"/>
      </w:pPr>
      <w:r>
        <w:rPr>
          <w:color w:val="000000"/>
          <w:sz w:val="21"/>
        </w:rPr>
        <w:t>（</w:t>
      </w:r>
      <w:r>
        <w:rPr>
          <w:color w:val="000000"/>
          <w:sz w:val="21"/>
        </w:rPr>
        <w:t>10）应提供系统扩充、升级方面的技术支持服务</w:t>
      </w:r>
    </w:p>
    <w:p>
      <w:pPr>
        <w:jc w:val="both"/>
      </w:pPr>
      <w:r>
        <w:rPr>
          <w:b/>
          <w:sz w:val="21"/>
        </w:rPr>
        <w:t>五、甲方乙方的权利和义务</w:t>
      </w:r>
    </w:p>
    <w:p>
      <w:pPr>
        <w:ind w:firstLine="405"/>
        <w:jc w:val="both"/>
      </w:pPr>
      <w:r>
        <w:rPr>
          <w:sz w:val="21"/>
        </w:rPr>
        <w:t>（一）甲方的权利和义务</w:t>
      </w:r>
    </w:p>
    <w:p>
      <w:pPr>
        <w:ind w:firstLine="405"/>
        <w:jc w:val="both"/>
      </w:pPr>
      <w:r>
        <w:rPr>
          <w:sz w:val="21"/>
        </w:rPr>
        <w:t>(1)甲方享有以下权利</w:t>
      </w:r>
    </w:p>
    <w:p>
      <w:pPr>
        <w:ind w:firstLine="405"/>
        <w:jc w:val="both"/>
      </w:pPr>
      <w:r>
        <w:rPr>
          <w:sz w:val="21"/>
        </w:rPr>
        <w:t>1）在租赁期内，享有对租赁服务、服务过程中产生的音视频信号和数据信息的唯一使用权。在租赁期内，甲方享有由于使用服务而获取的收益的支配权。</w:t>
      </w:r>
    </w:p>
    <w:p>
      <w:pPr>
        <w:ind w:firstLine="405"/>
        <w:jc w:val="both"/>
      </w:pPr>
      <w:r>
        <w:rPr>
          <w:sz w:val="21"/>
        </w:rPr>
        <w:t>2）因乙方迟延交付服务或服务内容不符合合同约定标准的，甲方享有向乙方追究违约责任和索取赔偿的权利。</w:t>
      </w:r>
    </w:p>
    <w:p>
      <w:pPr>
        <w:ind w:firstLine="405"/>
        <w:jc w:val="both"/>
      </w:pPr>
      <w:r>
        <w:rPr>
          <w:sz w:val="21"/>
        </w:rPr>
        <w:t>3）在租赁期限届满后，甲方保留服务内容（含移动警务终端和相关数据信息，不含管道、传输线路和机房）的唯一使用权（如甲方不继续使用服务所涉及的租赁物，则乙方不得将租赁物挪作他用或提供给除甲方以外的单位使用）。在租赁期限届满后，甲方继续使用服务及其所涉及的租赁物的，使用期间租赁物的维护保养费用由甲方承担。</w:t>
      </w:r>
    </w:p>
    <w:p>
      <w:pPr>
        <w:ind w:firstLine="405"/>
        <w:jc w:val="both"/>
      </w:pPr>
      <w:r>
        <w:rPr>
          <w:sz w:val="21"/>
        </w:rPr>
        <w:t>（</w:t>
      </w:r>
      <w:r>
        <w:rPr>
          <w:sz w:val="21"/>
        </w:rPr>
        <w:t>2）甲方应履行以下义务：</w:t>
      </w:r>
    </w:p>
    <w:p>
      <w:pPr>
        <w:ind w:firstLine="405"/>
        <w:jc w:val="both"/>
      </w:pPr>
      <w:r>
        <w:rPr>
          <w:sz w:val="21"/>
        </w:rPr>
        <w:t>1）依合同约定按期支付租金。</w:t>
      </w:r>
    </w:p>
    <w:p>
      <w:pPr>
        <w:ind w:firstLine="405"/>
        <w:jc w:val="both"/>
      </w:pPr>
      <w:r>
        <w:rPr>
          <w:sz w:val="21"/>
        </w:rPr>
        <w:t>2）在服务租赁期限内，甲方有妥善保管、使用乙方提供服务所涉及到的租赁物的义务。</w:t>
      </w:r>
    </w:p>
    <w:p>
      <w:pPr>
        <w:ind w:firstLine="405"/>
        <w:jc w:val="both"/>
      </w:pPr>
      <w:r>
        <w:rPr>
          <w:sz w:val="21"/>
        </w:rPr>
        <w:t>3）甲方除非征得乙方的书面同意，不得有转让、转租、抵押服务所涉及租赁物或将其投资给第三者或其他任何侵犯租赁物所有权的行为。</w:t>
      </w:r>
    </w:p>
    <w:p>
      <w:pPr>
        <w:numPr>
          <w:ilvl w:val="0"/>
          <w:numId w:val="1"/>
        </w:numPr>
      </w:pPr>
      <w:r>
        <w:rPr>
          <w:sz w:val="21"/>
        </w:rPr>
        <w:t>乙方的权利和义务</w:t>
      </w:r>
    </w:p>
    <w:p>
      <w:pPr>
        <w:jc w:val="both"/>
      </w:pPr>
      <w:r>
        <w:rPr>
          <w:sz w:val="21"/>
        </w:rPr>
        <w:t>（</w:t>
      </w:r>
      <w:r>
        <w:rPr>
          <w:sz w:val="21"/>
        </w:rPr>
        <w:t>1）乙方享有以下权利：</w:t>
      </w:r>
    </w:p>
    <w:p>
      <w:pPr>
        <w:ind w:firstLine="405"/>
        <w:jc w:val="both"/>
      </w:pPr>
      <w:r>
        <w:rPr>
          <w:sz w:val="21"/>
        </w:rPr>
        <w:t>1）享有按合同约定的时间、数额、方式收取服务费用的权利。</w:t>
      </w:r>
    </w:p>
    <w:p>
      <w:pPr>
        <w:ind w:firstLine="405"/>
        <w:jc w:val="both"/>
      </w:pPr>
      <w:r>
        <w:rPr>
          <w:sz w:val="21"/>
        </w:rPr>
        <w:t>2）租赁期满，如果甲方在双方约定期限不继续租赁服务时，乙方享有收回服务所涉租赁物的权利，并在30天内撤场，撤场期限内甲方有义务保证室内租赁物不被盗和不被人为破坏。撤场是指乙方撤出甲方办公地点、机房、线路和设备的维护人员，并不再承担维护责任。</w:t>
      </w:r>
    </w:p>
    <w:p>
      <w:pPr>
        <w:ind w:firstLine="405"/>
        <w:jc w:val="both"/>
      </w:pPr>
      <w:r>
        <w:rPr>
          <w:sz w:val="21"/>
        </w:rPr>
        <w:t>（</w:t>
      </w:r>
      <w:r>
        <w:rPr>
          <w:sz w:val="21"/>
        </w:rPr>
        <w:t>2）乙方应履行以下义务：</w:t>
      </w:r>
    </w:p>
    <w:p>
      <w:pPr>
        <w:ind w:firstLine="405"/>
        <w:jc w:val="both"/>
      </w:pPr>
      <w:r>
        <w:rPr>
          <w:sz w:val="21"/>
        </w:rPr>
        <w:t>1）负责租赁物维修、保养。负责检查服务所涉租赁物的使用和保养情况。如需更换租赁物的零件，原则上乙方应使用原制造厂提供的零件更换，如确需使用其他厂家产品的，由双方协商确定。</w:t>
      </w:r>
    </w:p>
    <w:p>
      <w:pPr>
        <w:ind w:firstLine="405"/>
        <w:jc w:val="both"/>
      </w:pPr>
      <w:r>
        <w:rPr>
          <w:sz w:val="21"/>
        </w:rPr>
        <w:t>2）因乙方原因导致在租赁期间改变甲方对服务所涉及租赁物的占有和使用权，由乙方承担赔偿责任。</w:t>
      </w:r>
    </w:p>
    <w:p>
      <w:pPr>
        <w:ind w:firstLine="405"/>
        <w:jc w:val="both"/>
      </w:pPr>
      <w:r>
        <w:rPr>
          <w:sz w:val="21"/>
        </w:rPr>
        <w:t>3）本合同有效期内，因乙方上市、被收购、与第三方合并、名称变更等事由，经甲方书面同意乙方可以将其在本合同中的权利和/或义务转让给相应的承受者，但应保证甲方在本合同中的权益不会因此而受到不利影响。</w:t>
      </w:r>
    </w:p>
    <w:p>
      <w:pPr>
        <w:ind w:firstLine="405"/>
        <w:jc w:val="both"/>
      </w:pPr>
      <w:r>
        <w:rPr>
          <w:sz w:val="21"/>
        </w:rPr>
        <w:t>4）合同有效期内，因乙方的建设、运行维护行为和服务所涉及租赁物给第三人的人身、财产造成损害的，乙方应自行承担全部赔偿责任。如由于甲方自身原因导致前述损害的，甲方承担相应赔偿责任。</w:t>
      </w:r>
    </w:p>
    <w:p>
      <w:pPr>
        <w:jc w:val="both"/>
      </w:pPr>
      <w:r>
        <w:rPr>
          <w:b/>
          <w:sz w:val="21"/>
        </w:rPr>
        <w:t>六、履行期限及地点和方式：</w:t>
      </w:r>
    </w:p>
    <w:p>
      <w:pPr>
        <w:ind w:firstLine="435"/>
        <w:jc w:val="both"/>
      </w:pPr>
      <w:r>
        <w:rPr>
          <w:sz w:val="21"/>
        </w:rPr>
        <w:t>履行期限：委托服务期间自</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日止。</w:t>
      </w:r>
    </w:p>
    <w:p>
      <w:pPr>
        <w:ind w:firstLine="435"/>
        <w:jc w:val="both"/>
      </w:pPr>
      <w:r>
        <w:rPr>
          <w:sz w:val="21"/>
        </w:rPr>
        <w:t>履约地点：广州市海珠区</w:t>
      </w:r>
    </w:p>
    <w:p>
      <w:pPr>
        <w:ind w:firstLine="435"/>
        <w:jc w:val="both"/>
      </w:pPr>
      <w:r>
        <w:rPr>
          <w:sz w:val="21"/>
        </w:rPr>
        <w:t>方式：提供</w:t>
      </w:r>
      <w:r>
        <w:rPr>
          <w:sz w:val="21"/>
        </w:rPr>
        <w:t>移动警务通信</w:t>
      </w:r>
      <w:r>
        <w:rPr>
          <w:sz w:val="21"/>
        </w:rPr>
        <w:t>服务及运维服务</w:t>
      </w:r>
    </w:p>
    <w:p>
      <w:pPr>
        <w:jc w:val="both"/>
      </w:pPr>
      <w:r>
        <w:rPr>
          <w:b/>
          <w:sz w:val="21"/>
        </w:rPr>
        <w:t>七、付款方式</w:t>
      </w:r>
      <w:r>
        <w:rPr>
          <w:b/>
          <w:sz w:val="21"/>
        </w:rPr>
        <w:t>：</w:t>
      </w:r>
    </w:p>
    <w:p>
      <w:pPr>
        <w:ind w:firstLine="466"/>
        <w:jc w:val="both"/>
      </w:pPr>
      <w:r>
        <w:rPr>
          <w:sz w:val="21"/>
        </w:rPr>
        <w:t>1、</w:t>
      </w:r>
      <w:r>
        <w:rPr>
          <w:sz w:val="21"/>
        </w:rPr>
        <w:t>乙方</w:t>
      </w:r>
      <w:r>
        <w:rPr>
          <w:sz w:val="21"/>
        </w:rPr>
        <w:t>应于</w:t>
      </w:r>
      <w:r>
        <w:rPr>
          <w:sz w:val="21"/>
        </w:rPr>
        <w:t>5个工作日内向</w:t>
      </w:r>
      <w:r>
        <w:rPr>
          <w:sz w:val="21"/>
        </w:rPr>
        <w:t>甲方</w:t>
      </w:r>
      <w:r>
        <w:rPr>
          <w:sz w:val="21"/>
        </w:rPr>
        <w:t>申请支付服务费用，</w:t>
      </w:r>
      <w:r>
        <w:rPr>
          <w:sz w:val="21"/>
        </w:rPr>
        <w:t>甲方</w:t>
      </w:r>
      <w:r>
        <w:rPr>
          <w:sz w:val="21"/>
        </w:rPr>
        <w:t>在收到发票后</w:t>
      </w:r>
      <w:r>
        <w:rPr>
          <w:sz w:val="21"/>
        </w:rPr>
        <w:t>5个工作日内办理支付手续，向</w:t>
      </w:r>
      <w:r>
        <w:rPr>
          <w:sz w:val="21"/>
        </w:rPr>
        <w:t>乙方</w:t>
      </w:r>
      <w:r>
        <w:rPr>
          <w:sz w:val="21"/>
        </w:rPr>
        <w:t>支付合同总价中的通讯服务费</w:t>
      </w:r>
      <w:r>
        <w:rPr>
          <w:sz w:val="21"/>
        </w:rPr>
        <w:t>30%。服务费总额为：人民币  元（  元整）</w:t>
      </w:r>
    </w:p>
    <w:p>
      <w:pPr>
        <w:ind w:firstLine="466"/>
        <w:jc w:val="both"/>
      </w:pPr>
      <w:r>
        <w:rPr>
          <w:sz w:val="21"/>
        </w:rPr>
        <w:t>2、本项目合同总价中的通讯服务费剩余的70%由</w:t>
      </w:r>
      <w:r>
        <w:rPr>
          <w:sz w:val="21"/>
        </w:rPr>
        <w:t>甲方</w:t>
      </w:r>
      <w:r>
        <w:rPr>
          <w:sz w:val="21"/>
        </w:rPr>
        <w:t>按季度平均分配支付给</w:t>
      </w:r>
      <w:r>
        <w:rPr>
          <w:sz w:val="21"/>
        </w:rPr>
        <w:t>乙方</w:t>
      </w:r>
      <w:r>
        <w:rPr>
          <w:sz w:val="21"/>
        </w:rPr>
        <w:t>，每季度第一个月支付本季度的通讯服务费，</w:t>
      </w:r>
      <w:r>
        <w:rPr>
          <w:sz w:val="21"/>
        </w:rPr>
        <w:t>乙方</w:t>
      </w:r>
      <w:r>
        <w:rPr>
          <w:sz w:val="21"/>
        </w:rPr>
        <w:t>需出示正式发票。</w:t>
      </w:r>
    </w:p>
    <w:p>
      <w:pPr>
        <w:ind w:firstLine="466"/>
        <w:jc w:val="both"/>
      </w:pPr>
      <w:r>
        <w:rPr>
          <w:sz w:val="21"/>
        </w:rPr>
        <w:t>3、合同总金额中维修费用由</w:t>
      </w:r>
      <w:r>
        <w:rPr>
          <w:sz w:val="21"/>
        </w:rPr>
        <w:t>甲方</w:t>
      </w:r>
      <w:r>
        <w:rPr>
          <w:sz w:val="21"/>
        </w:rPr>
        <w:t>每季度按实际支出支付给</w:t>
      </w:r>
      <w:r>
        <w:rPr>
          <w:sz w:val="21"/>
        </w:rPr>
        <w:t>乙方</w:t>
      </w:r>
      <w:r>
        <w:rPr>
          <w:sz w:val="21"/>
        </w:rPr>
        <w:t>，</w:t>
      </w:r>
      <w:r>
        <w:rPr>
          <w:sz w:val="21"/>
        </w:rPr>
        <w:t>乙方</w:t>
      </w:r>
      <w:r>
        <w:rPr>
          <w:sz w:val="21"/>
        </w:rPr>
        <w:t>需出示正式发票。维修</w:t>
      </w:r>
      <w:r>
        <w:rPr>
          <w:sz w:val="21"/>
        </w:rPr>
        <w:t>实际执行的服务期限的结束时间，以</w:t>
      </w:r>
      <w:r>
        <w:rPr>
          <w:sz w:val="21"/>
        </w:rPr>
        <w:t>“</w:t>
      </w:r>
      <w:r>
        <w:rPr>
          <w:sz w:val="21"/>
        </w:rPr>
        <w:t>服务</w:t>
      </w:r>
      <w:r>
        <w:rPr>
          <w:sz w:val="21"/>
        </w:rPr>
        <w:t>期限内累积结算金额达到</w:t>
      </w:r>
      <w:r>
        <w:rPr>
          <w:sz w:val="21"/>
        </w:rPr>
        <w:t>维修费用</w:t>
      </w:r>
      <w:r>
        <w:rPr>
          <w:sz w:val="21"/>
        </w:rPr>
        <w:t>的</w:t>
      </w:r>
      <w:r>
        <w:rPr>
          <w:sz w:val="21"/>
        </w:rPr>
        <w:t>预算金额（</w:t>
      </w:r>
      <w:r>
        <w:rPr>
          <w:sz w:val="21"/>
        </w:rPr>
        <w:t>人民币</w:t>
      </w:r>
      <w:r>
        <w:rPr>
          <w:sz w:val="21"/>
        </w:rPr>
        <w:t>5万元</w:t>
      </w:r>
      <w:r>
        <w:rPr>
          <w:sz w:val="21"/>
        </w:rPr>
        <w:t>）的时间</w:t>
      </w:r>
      <w:r>
        <w:rPr>
          <w:sz w:val="21"/>
        </w:rPr>
        <w:t>”或“</w:t>
      </w:r>
      <w:r>
        <w:rPr>
          <w:sz w:val="21"/>
        </w:rPr>
        <w:t>服务</w:t>
      </w:r>
      <w:r>
        <w:rPr>
          <w:sz w:val="21"/>
        </w:rPr>
        <w:t>期限</w:t>
      </w:r>
      <w:r>
        <w:rPr>
          <w:sz w:val="21"/>
        </w:rPr>
        <w:t>”先到者为准</w:t>
      </w:r>
      <w:r>
        <w:rPr>
          <w:sz w:val="21"/>
        </w:rPr>
        <w:t>。</w:t>
      </w:r>
    </w:p>
    <w:p>
      <w:pPr>
        <w:ind w:firstLine="466"/>
        <w:jc w:val="both"/>
      </w:pPr>
      <w:r>
        <w:rPr>
          <w:sz w:val="21"/>
        </w:rPr>
        <w:t>4</w:t>
      </w:r>
      <w:r>
        <w:rPr>
          <w:sz w:val="21"/>
        </w:rPr>
        <w:t>.付款方式：采用支票、银行汇付（含电汇）等形式。</w:t>
      </w:r>
    </w:p>
    <w:p>
      <w:pPr>
        <w:ind w:firstLine="466"/>
        <w:jc w:val="both"/>
      </w:pPr>
      <w:r>
        <w:rPr>
          <w:sz w:val="21"/>
        </w:rPr>
        <w:t>5</w:t>
      </w:r>
      <w:r>
        <w:rPr>
          <w:sz w:val="21"/>
        </w:rPr>
        <w:t>.每笔款项支付前5日，乙方同时向甲方提供相应金额的正式发票。</w:t>
      </w:r>
    </w:p>
    <w:p>
      <w:pPr>
        <w:ind w:firstLine="466"/>
        <w:jc w:val="both"/>
      </w:pPr>
      <w:r>
        <w:rPr>
          <w:sz w:val="21"/>
        </w:rPr>
        <w:t>6</w:t>
      </w:r>
      <w:r>
        <w:rPr>
          <w:sz w:val="21"/>
        </w:rPr>
        <w:t>.</w:t>
      </w:r>
      <w:r>
        <w:rPr>
          <w:sz w:val="21"/>
        </w:rPr>
        <w:t>合同的付款时间为甲方向政府采购支付部门提出支付申请的时间（不含政府财政支付部门审查的时间）。</w:t>
      </w:r>
      <w:r>
        <w:rPr>
          <w:sz w:val="21"/>
        </w:rPr>
        <w:t>鉴于甲方使用的是财政资金，甲方有义务配合相关拨付部门完成付款，甲方按期办理财政支付手续的（不含政府财政支付部门审核的时间），视为甲方已按月支付，但由于财政资金拨款不到位而导致的逾期付款的，乙方不能以此视为甲方存在违约行为并要求承担违约责任，且此情况不能成为乙方延期或拒绝提供服务的理由。</w:t>
      </w:r>
    </w:p>
    <w:p>
      <w:pPr>
        <w:ind w:firstLine="466"/>
        <w:jc w:val="both"/>
      </w:pPr>
      <w:r>
        <w:rPr>
          <w:sz w:val="21"/>
        </w:rPr>
        <w:t>7</w:t>
      </w:r>
      <w:r>
        <w:rPr>
          <w:sz w:val="21"/>
        </w:rPr>
        <w:t>.</w:t>
      </w:r>
      <w:r>
        <w:rPr>
          <w:sz w:val="21"/>
        </w:rPr>
        <w:t>本合同的每笔款项均以人民币方式支付。</w:t>
      </w:r>
    </w:p>
    <w:p>
      <w:pPr>
        <w:jc w:val="both"/>
      </w:pPr>
      <w:r>
        <w:rPr>
          <w:b/>
          <w:sz w:val="21"/>
        </w:rPr>
        <w:t>八、验收要求：</w:t>
      </w:r>
    </w:p>
    <w:p>
      <w:pPr>
        <w:ind w:firstLine="466"/>
        <w:jc w:val="both"/>
      </w:pPr>
      <w:r>
        <w:rPr>
          <w:sz w:val="21"/>
        </w:rPr>
        <w:t>（一）乙方负责完成</w:t>
      </w:r>
      <w:r>
        <w:rPr>
          <w:sz w:val="21"/>
        </w:rPr>
        <w:t>1035台移动警务终端SIM卡和加密卡正确安装和调试，保证每台移动警务终端能在公安专用网络上正常使用移动警务系统。</w:t>
      </w:r>
    </w:p>
    <w:p>
      <w:pPr>
        <w:ind w:firstLine="466"/>
        <w:jc w:val="both"/>
      </w:pPr>
      <w:r>
        <w:rPr>
          <w:sz w:val="21"/>
        </w:rPr>
        <w:t>（二）乙方提供的专网账号，如需要同步更新加密卡信息才能使用移动警务系统，乙方需按照甲方的要求到指定现场对加密卡进行信息更新，并对移动终端进行调试，保证移动终端正常使用移动警务系统。</w:t>
      </w:r>
    </w:p>
    <w:p>
      <w:pPr>
        <w:ind w:firstLine="466"/>
        <w:jc w:val="both"/>
      </w:pPr>
      <w:r>
        <w:rPr>
          <w:sz w:val="21"/>
        </w:rPr>
        <w:t>（三）乙方应负责在项目验收时将系统的全部有关技术文件、资料、及安装、验收报告等文档汇集成册交付设备使用单位。</w:t>
      </w:r>
    </w:p>
    <w:p>
      <w:pPr>
        <w:ind w:firstLine="466"/>
        <w:jc w:val="both"/>
      </w:pPr>
      <w:r>
        <w:rPr>
          <w:sz w:val="21"/>
        </w:rPr>
        <w:t>（四）乙方应确保提供服务的账号与广州市公安局、广州市公安局海珠分局正在使用的移动警用</w:t>
      </w:r>
      <w:r>
        <w:rPr>
          <w:sz w:val="21"/>
        </w:rPr>
        <w:t>App兼容。</w:t>
      </w:r>
    </w:p>
    <w:p>
      <w:pPr>
        <w:ind w:firstLine="466"/>
        <w:jc w:val="both"/>
      </w:pPr>
      <w:r>
        <w:rPr>
          <w:sz w:val="21"/>
        </w:rPr>
        <w:t>（五）若本项目采购的服务要求出现不合理或不完整的问题时，乙方有责任和义务在投标文件中提出补充修改方案并征得甲方同意后变更修改。</w:t>
      </w:r>
    </w:p>
    <w:p>
      <w:pPr>
        <w:ind w:firstLine="466"/>
        <w:jc w:val="both"/>
      </w:pPr>
      <w:r>
        <w:rPr>
          <w:sz w:val="21"/>
        </w:rPr>
        <w:t>（六）对乙方要求：</w:t>
      </w:r>
    </w:p>
    <w:p>
      <w:pPr>
        <w:ind w:firstLine="466"/>
        <w:jc w:val="both"/>
      </w:pPr>
      <w:r>
        <w:rPr>
          <w:sz w:val="21"/>
        </w:rPr>
        <w:t>（</w:t>
      </w:r>
      <w:r>
        <w:rPr>
          <w:sz w:val="21"/>
        </w:rPr>
        <w:t>1）要求乙方必须具有良好信誉和相关实力的技术队伍。</w:t>
      </w:r>
    </w:p>
    <w:p>
      <w:pPr>
        <w:ind w:firstLine="466"/>
        <w:jc w:val="both"/>
      </w:pPr>
      <w:r>
        <w:rPr>
          <w:sz w:val="21"/>
        </w:rPr>
        <w:t>（</w:t>
      </w:r>
      <w:r>
        <w:rPr>
          <w:sz w:val="21"/>
        </w:rPr>
        <w:t>2）乙方应本着认真负责态度，组织技术队伍，做好整体方案，并书面提出保修和维护服务以及今后技术支持的措施计划和承诺。</w:t>
      </w:r>
    </w:p>
    <w:p>
      <w:pPr>
        <w:ind w:firstLine="466"/>
        <w:jc w:val="both"/>
      </w:pPr>
      <w:r>
        <w:rPr>
          <w:sz w:val="21"/>
        </w:rPr>
        <w:t>（</w:t>
      </w:r>
      <w:r>
        <w:rPr>
          <w:sz w:val="21"/>
        </w:rPr>
        <w:t>3）所提供服务的标的均须由乙方送货上门并安装调试，甲方不再支付任何费用。</w:t>
      </w:r>
    </w:p>
    <w:p>
      <w:pPr>
        <w:ind w:firstLine="466"/>
        <w:jc w:val="both"/>
      </w:pPr>
      <w:r>
        <w:rPr>
          <w:sz w:val="21"/>
        </w:rPr>
        <w:t>（</w:t>
      </w:r>
      <w:r>
        <w:rPr>
          <w:sz w:val="21"/>
        </w:rPr>
        <w:t>4）乙方须允许甲方的工作人员一起参与项目的安装、测试、诊断及解决遇到的问题等各项工作。</w:t>
      </w:r>
    </w:p>
    <w:p>
      <w:pPr>
        <w:jc w:val="both"/>
      </w:pPr>
      <w:r>
        <w:rPr>
          <w:b/>
          <w:sz w:val="21"/>
        </w:rPr>
        <w:t>九、知识产权归属</w:t>
      </w:r>
    </w:p>
    <w:p>
      <w:pPr>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both"/>
      </w:pPr>
      <w:r>
        <w:rPr>
          <w:b/>
          <w:sz w:val="21"/>
        </w:rPr>
        <w:t>十、保密</w:t>
      </w:r>
    </w:p>
    <w:p>
      <w:pPr>
        <w:ind w:firstLine="420"/>
        <w:jc w:val="both"/>
      </w:pP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1）未经乙方事先书面同意，甲方不得将由乙方为本合同提供的条文、规格、计划、图纸、模型、样品或资料提供</w:t>
      </w:r>
      <w:r>
        <w:rPr>
          <w:sz w:val="21"/>
        </w:rPr>
        <w:t>给予</w:t>
      </w:r>
      <w:r>
        <w:rPr>
          <w:sz w:val="21"/>
        </w:rPr>
        <w:t>本合同无关的任何第三方，不得将其用于履行本合同之外的其它用途。即使向与履行本合同有关的人员提供，也应注意保密并限于履行合同所必需的范围。</w:t>
      </w:r>
    </w:p>
    <w:p>
      <w:pPr>
        <w:jc w:val="both"/>
      </w:pPr>
      <w:r>
        <w:rPr>
          <w:sz w:val="21"/>
        </w:rPr>
        <w:t>2）除了合同本身之外，上款所列举的任何物件均是乙方的财产。如果乙方有要求，甲方在完成合同后应将这些物件及全部复制件还给乙方。</w:t>
      </w:r>
    </w:p>
    <w:p>
      <w:pPr>
        <w:jc w:val="both"/>
      </w:pPr>
      <w:r>
        <w:rPr>
          <w:b/>
          <w:sz w:val="21"/>
        </w:rPr>
        <w:t>十一、违约责任与赔偿损失</w:t>
      </w:r>
    </w:p>
    <w:p>
      <w:pPr>
        <w:jc w:val="both"/>
      </w:pPr>
      <w:r>
        <w:rPr>
          <w:sz w:val="21"/>
        </w:rPr>
        <w:t>1）乙方提供的服务不符合采购文件、投标文件或本合同规定的，甲方有权拒绝接受，并且乙方须向甲方</w:t>
      </w:r>
      <w:r>
        <w:rPr>
          <w:sz w:val="21"/>
        </w:rPr>
        <w:t>支付本合同总价</w:t>
      </w:r>
      <w:r>
        <w:rPr>
          <w:sz w:val="21"/>
        </w:rPr>
        <w:t>5%的违约金</w:t>
      </w:r>
      <w:r>
        <w:rPr>
          <w:sz w:val="21"/>
        </w:rPr>
        <w:t>。</w:t>
      </w:r>
    </w:p>
    <w:p>
      <w:pPr>
        <w:jc w:val="both"/>
      </w:pPr>
      <w:r>
        <w:rPr>
          <w:sz w:val="21"/>
        </w:rPr>
        <w:t>2）乙方未能按本合同规定的交货时间交付货物的/提供服务，从逾期之日起每日按本合同总价</w:t>
      </w:r>
      <w:r>
        <w:rPr>
          <w:sz w:val="21"/>
        </w:rPr>
        <w:t>1</w:t>
      </w:r>
      <w:r>
        <w:rPr>
          <w:sz w:val="21"/>
        </w:rPr>
        <w:t>‰的数额向甲方支付违约金；逾期6</w:t>
      </w:r>
      <w:r>
        <w:rPr>
          <w:sz w:val="21"/>
        </w:rPr>
        <w:t>0</w:t>
      </w:r>
      <w:r>
        <w:rPr>
          <w:sz w:val="21"/>
        </w:rPr>
        <w:t>天的，甲方有权终止合同，要求乙方支付本合同总价</w:t>
      </w:r>
      <w:r>
        <w:rPr>
          <w:sz w:val="21"/>
        </w:rPr>
        <w:t>1</w:t>
      </w:r>
      <w:r>
        <w:rPr>
          <w:sz w:val="21"/>
        </w:rPr>
        <w:t>0</w:t>
      </w:r>
      <w:r>
        <w:rPr>
          <w:sz w:val="21"/>
        </w:rPr>
        <w:t>%的违约金，并且给甲方造成的经济损失由乙方承担赔偿责任。</w:t>
      </w:r>
    </w:p>
    <w:p>
      <w:pPr>
        <w:jc w:val="both"/>
      </w:pPr>
      <w:r>
        <w:rPr>
          <w:sz w:val="21"/>
        </w:rPr>
        <w:t>3）甲方无正当理由拒收接受服务，到期拒付服务款项的，甲方向乙方支付本合同总价0.5%的违约金。甲方逾期付款，则每日按应付而未付款项的0.3‰向乙方支付违约金。</w:t>
      </w:r>
    </w:p>
    <w:p>
      <w:pPr>
        <w:jc w:val="both"/>
      </w:pPr>
      <w:r>
        <w:rPr>
          <w:sz w:val="21"/>
        </w:rPr>
        <w:t>4）其它违约责任按《中华人民共和国民法典》处理。</w:t>
      </w:r>
    </w:p>
    <w:p>
      <w:pPr>
        <w:jc w:val="both"/>
      </w:pPr>
      <w:r>
        <w:rPr>
          <w:b/>
          <w:sz w:val="21"/>
        </w:rPr>
        <w:t>十二、争端的解决</w:t>
      </w:r>
    </w:p>
    <w:p>
      <w:pPr>
        <w:ind w:firstLine="420"/>
        <w:jc w:val="both"/>
      </w:pPr>
      <w:r>
        <w:rPr>
          <w:sz w:val="21"/>
        </w:rPr>
        <w:t>合同执行过程中发生的任何争议，如双方不能通过友好协商解决，甲、乙双方一致同意向甲方所在地有管辖权的人民法院提起诉讼。</w:t>
      </w:r>
    </w:p>
    <w:p>
      <w:pPr>
        <w:ind w:firstLine="420"/>
        <w:jc w:val="both"/>
      </w:pPr>
    </w:p>
    <w:p>
      <w:pPr>
        <w:jc w:val="both"/>
      </w:pPr>
      <w:r>
        <w:rPr>
          <w:b/>
          <w:sz w:val="21"/>
        </w:rPr>
        <w:t>十三、不可抗力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十四、税费</w:t>
      </w:r>
    </w:p>
    <w:p>
      <w:pPr>
        <w:ind w:firstLine="420"/>
        <w:jc w:val="both"/>
      </w:pPr>
      <w:r>
        <w:rPr>
          <w:sz w:val="21"/>
        </w:rPr>
        <w:t>在中国境内、外发生的与本合同执行有关的一切税费均由乙方负担。</w:t>
      </w:r>
    </w:p>
    <w:p>
      <w:pPr>
        <w:jc w:val="both"/>
      </w:pPr>
      <w:r>
        <w:rPr>
          <w:b/>
          <w:sz w:val="21"/>
        </w:rPr>
        <w:t>十五、其它</w:t>
      </w:r>
    </w:p>
    <w:p>
      <w:pPr>
        <w:jc w:val="both"/>
      </w:pPr>
      <w:r>
        <w:rPr>
          <w:sz w:val="21"/>
        </w:rPr>
        <w:t>1）本合同所有附件、采购文件、投标文件、中标通知书均为合同的有效组成部分，与本合同具有同等法律效力。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3）如一方地址、电话、传真号码有变更，应在变更当日内书面通知对方，否则，应承担相应责任。</w:t>
      </w:r>
    </w:p>
    <w:p>
      <w:pPr>
        <w:jc w:val="both"/>
      </w:pPr>
      <w:r>
        <w:rPr>
          <w:sz w:val="21"/>
        </w:rPr>
        <w:t>4）除甲方事先书面同意外，乙方不得部分或全部转让其应履行的合同项下的义务。</w:t>
      </w:r>
    </w:p>
    <w:p>
      <w:pPr>
        <w:jc w:val="both"/>
      </w:pPr>
      <w:r>
        <w:rPr>
          <w:b/>
          <w:sz w:val="21"/>
        </w:rPr>
        <w:t>十六、合同生效</w:t>
      </w:r>
    </w:p>
    <w:p>
      <w:pPr>
        <w:jc w:val="both"/>
      </w:pPr>
      <w:r>
        <w:rPr>
          <w:sz w:val="21"/>
        </w:rPr>
        <w:t>1）本合同自甲乙双方法人代表或其授权代表签字盖章之日起生效。</w:t>
      </w:r>
    </w:p>
    <w:p>
      <w:pPr>
        <w:jc w:val="both"/>
      </w:pPr>
      <w:r>
        <w:rPr>
          <w:sz w:val="21"/>
        </w:rPr>
        <w:t>2）本</w:t>
      </w:r>
      <w:r>
        <w:rPr>
          <w:sz w:val="21"/>
        </w:rPr>
        <w:t>合同壹式柒份，其中甲乙双方各执叁份，采购代理机构执壹份，均具有同等法律效力</w:t>
      </w:r>
      <w:r>
        <w:rPr>
          <w:sz w:val="21"/>
        </w:rPr>
        <w:t>。</w:t>
      </w:r>
    </w:p>
    <w:p>
      <w:pPr>
        <w:jc w:val="both"/>
      </w:pPr>
    </w:p>
    <w:p>
      <w:pPr>
        <w:jc w:val="both"/>
      </w:pPr>
      <w:r>
        <w:rPr>
          <w:sz w:val="21"/>
        </w:rPr>
        <w:t>甲方（盖章）：</w:t>
      </w:r>
      <w:r>
        <w:rPr>
          <w:sz w:val="21"/>
        </w:rPr>
        <w:t xml:space="preserve">                         </w:t>
      </w:r>
      <w:r>
        <w:rPr>
          <w:sz w:val="21"/>
        </w:rPr>
        <w:t>乙方（盖章）：</w:t>
      </w:r>
    </w:p>
    <w:p>
      <w:pPr>
        <w:jc w:val="both"/>
      </w:pPr>
      <w:r>
        <w:rPr>
          <w:sz w:val="21"/>
        </w:rPr>
        <w:t>代表：</w:t>
      </w:r>
      <w:r>
        <w:rPr>
          <w:sz w:val="21"/>
        </w:rPr>
        <w:t xml:space="preserve">                                 </w:t>
      </w:r>
      <w:r>
        <w:rPr>
          <w:sz w:val="21"/>
        </w:rPr>
        <w:t>代表：</w:t>
      </w:r>
    </w:p>
    <w:p>
      <w:pPr>
        <w:jc w:val="both"/>
      </w:pPr>
      <w:r>
        <w:rPr>
          <w:sz w:val="21"/>
        </w:rPr>
        <w:t>签定地点：</w:t>
      </w:r>
    </w:p>
    <w:p>
      <w:pPr>
        <w:jc w:val="both"/>
      </w:pPr>
      <w:r>
        <w:rPr>
          <w:sz w:val="21"/>
        </w:rPr>
        <w:t>签定日期：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 xml:space="preserve">           </w:t>
      </w:r>
      <w:r>
        <w:rPr>
          <w:sz w:val="21"/>
        </w:rPr>
        <w:t>签定日期：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440105-2023-05251</w:t>
      </w:r>
    </w:p>
    <w:p>
      <w:pPr>
        <w:jc w:val="center"/>
      </w:pPr>
      <w:r>
        <w:rPr>
          <w:b/>
          <w:sz w:val="24"/>
        </w:rPr>
        <w:t>采购项目编号：</w:t>
      </w:r>
      <w:r>
        <w:rPr>
          <w:b/>
          <w:sz w:val="24"/>
        </w:rPr>
        <w:t>GZGK23D246C0765Z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广州市公安局海珠区分局移动警务通信服务项目</w:t>
      </w:r>
      <w:r>
        <w:rPr>
          <w:u w:val="single"/>
        </w:rPr>
        <w:t>”</w:t>
      </w:r>
      <w:r>
        <w:rPr/>
        <w:t>项目的招标[采购项目编号为：</w:t>
      </w:r>
      <w:r>
        <w:rPr>
          <w:u w:val="single"/>
        </w:rPr>
        <w:t>GZGK23D246C0765Z</w:t>
      </w:r>
      <w:r>
        <w:rPr/>
        <w:t>]，我方愿参与投标。</w:t>
      </w:r>
    </w:p>
    <w:p>
      <w:pPr>
        <w:ind w:firstLine="480"/>
      </w:pPr>
      <w:r>
        <w:rPr/>
        <w:t>我方确认收到贵方提供的</w:t>
      </w:r>
      <w:r>
        <w:rPr>
          <w:u w:val="single"/>
        </w:rPr>
        <w:t>“</w:t>
      </w:r>
      <w:r>
        <w:rPr>
          <w:u w:val="single"/>
        </w:rPr>
        <w:t>广州市公安局海珠区分局移动警务通信服务项目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广州市公安局海珠区分局移动警务通信服务项目</w:t>
      </w:r>
      <w:r>
        <w:rPr/>
        <w:t>”项目采购[采购项目编号为</w:t>
      </w:r>
      <w:r>
        <w:rPr/>
        <w:t>GZGK23D246C0765Z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广州市公安局海珠区分局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广州市公安局海珠区分局移动警务通信服务项目</w:t>
      </w:r>
      <w:r>
        <w:rPr/>
        <w:t>招标中获中标（采购项目编号：</w:t>
      </w:r>
      <w:r>
        <w:rPr/>
        <w:t>GZGK23D246C0765Z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