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440101-2023-23333</w:t>
      </w:r>
    </w:p>
    <w:p>
      <w:pPr>
        <w:jc w:val="center"/>
      </w:pPr>
      <w:r>
        <w:rPr>
          <w:b/>
          <w:sz w:val="24"/>
        </w:rPr>
        <w:t>采购项目编号：</w:t>
      </w:r>
      <w:r>
        <w:rPr>
          <w:b/>
          <w:sz w:val="24"/>
        </w:rPr>
        <w:t>GZGK23D254A0794C</w:t>
      </w:r>
    </w:p>
    <w:p>
      <w:pPr>
        <w:jc w:val="center"/>
      </w:pPr>
      <w:r>
        <w:rPr>
          <w:b/>
          <w:sz w:val="24"/>
        </w:rPr>
        <w:t>项目名称：</w:t>
      </w:r>
      <w:r>
        <w:rPr>
          <w:b/>
          <w:sz w:val="24"/>
        </w:rPr>
        <w:t>全国工商联人才中心产教融合示范实训基地建设购置项目</w:t>
      </w:r>
    </w:p>
    <w:p>
      <w:pPr>
        <w:jc w:val="center"/>
      </w:pPr>
      <w:r>
        <w:rPr>
          <w:b/>
          <w:sz w:val="24"/>
        </w:rPr>
        <w:t>采购人：</w:t>
      </w:r>
      <w:r>
        <w:rPr>
          <w:b/>
          <w:sz w:val="24"/>
        </w:rPr>
        <w:t>广州铁路职业技术学院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广州铁路职业技术学院</w:t>
      </w:r>
      <w:r>
        <w:rPr/>
        <w:t>的委托，采用</w:t>
      </w:r>
      <w:r>
        <w:rPr/>
        <w:t>公开招标</w:t>
      </w:r>
      <w:r>
        <w:rPr/>
        <w:t>方式组织采购</w:t>
      </w:r>
      <w:r>
        <w:rPr/>
        <w:t>全国工商联人才中心产教融合示范实训基地建设购置项目</w:t>
      </w:r>
      <w:r>
        <w:rPr/>
        <w:t>。欢迎符合资格条件的国内供应商参加投标。</w:t>
      </w:r>
    </w:p>
    <w:p>
      <w:r>
        <w:rPr>
          <w:b/>
          <w:sz w:val="28"/>
        </w:rPr>
        <w:t>一.项目概述</w:t>
      </w:r>
    </w:p>
    <w:p>
      <w:r>
        <w:rPr>
          <w:b/>
          <w:sz w:val="24"/>
        </w:rPr>
        <w:t>1.名称与编号</w:t>
      </w:r>
    </w:p>
    <w:p>
      <w:pPr>
        <w:ind w:firstLine="480"/>
      </w:pPr>
      <w:r>
        <w:rPr/>
        <w:t>项目名称：</w:t>
      </w:r>
      <w:r>
        <w:rPr/>
        <w:t>全国工商联人才中心产教融合示范实训基地建设购置项目</w:t>
      </w:r>
    </w:p>
    <w:p>
      <w:pPr>
        <w:ind w:firstLine="480"/>
      </w:pPr>
      <w:r>
        <w:rPr/>
        <w:t>采购计划编号：</w:t>
      </w:r>
      <w:r>
        <w:rPr/>
        <w:t>440101-2023-23333</w:t>
      </w:r>
    </w:p>
    <w:p>
      <w:pPr>
        <w:ind w:firstLine="480"/>
      </w:pPr>
      <w:r>
        <w:rPr/>
        <w:t>采购项目编号：</w:t>
      </w:r>
      <w:r>
        <w:rPr/>
        <w:t>GZGK23D254A0794C</w:t>
      </w:r>
    </w:p>
    <w:p>
      <w:pPr>
        <w:ind w:firstLine="480"/>
      </w:pPr>
      <w:r>
        <w:rPr/>
        <w:t>采购方式：</w:t>
      </w:r>
      <w:r>
        <w:rPr/>
        <w:t>公开招标</w:t>
      </w:r>
    </w:p>
    <w:p>
      <w:pPr>
        <w:ind w:firstLine="480"/>
      </w:pPr>
      <w:r>
        <w:rPr/>
        <w:t>预算金额：</w:t>
      </w:r>
      <w:r>
        <w:rPr/>
        <w:t>838,000.00</w:t>
      </w:r>
      <w:r>
        <w:rPr/>
        <w:t>元</w:t>
      </w:r>
    </w:p>
    <w:p>
      <w:r>
        <w:rPr>
          <w:b/>
          <w:sz w:val="24"/>
        </w:rPr>
        <w:t>2.项目内容及需求情况（采购项目技术规格、参数及要求）</w:t>
      </w:r>
    </w:p>
    <w:p>
      <w:pPr>
        <w:ind w:firstLine="480"/>
      </w:pPr>
    </w:p>
    <w:p/>
    <w:p>
      <w:r>
        <w:rPr/>
        <w:t>采购包1(全国工商联人才中心产教融合示范实训基地建设购置):</w:t>
      </w:r>
    </w:p>
    <w:p>
      <w:r>
        <w:rPr/>
        <w:t>采购包预算金额：838,000.00元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应用软件</w:t>
            </w:r>
          </w:p>
        </w:tc>
        <w:tc>
          <w:tcPr>
            <w:tcW w:type="dxa" w:w="2136"/>
          </w:tcPr>
          <w:p>
            <w:r>
              <w:rPr/>
              <w:t>智能制造实训系统</w:t>
            </w:r>
          </w:p>
        </w:tc>
        <w:tc>
          <w:tcPr>
            <w:tcW w:type="dxa" w:w="1187"/>
          </w:tcPr>
          <w:p>
            <w:r>
              <w:rPr/>
              <w:t>1.00(项)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应用软件</w:t>
            </w:r>
          </w:p>
        </w:tc>
        <w:tc>
          <w:tcPr>
            <w:tcW w:type="dxa" w:w="2136"/>
          </w:tcPr>
          <w:p>
            <w:r>
              <w:rPr/>
              <w:t>智能制造单元三维数字化（三维模型-UI设计-动画模拟-交互功能）</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采购包1（全国工商联人才中心产教融合示范实训基地建设购置）：</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采购包1（全国工商联人才中心产教融合示范实训基地建设购置）：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广州铁路职业技术学院</w:t>
      </w:r>
    </w:p>
    <w:p>
      <w:pPr>
        <w:ind w:firstLine="480"/>
      </w:pPr>
      <w:r>
        <w:rPr/>
        <w:t>地址：</w:t>
      </w:r>
      <w:r>
        <w:rPr/>
        <w:t>广州市增城区科德大道198号</w:t>
      </w:r>
    </w:p>
    <w:p>
      <w:pPr>
        <w:ind w:firstLine="480"/>
      </w:pPr>
      <w:r>
        <w:rPr/>
        <w:t>联系方式：</w:t>
      </w:r>
      <w:r>
        <w:rPr/>
        <w:t>020-39709361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020-87688289、020-87684402</w:t>
      </w:r>
    </w:p>
    <w:p>
      <w:r>
        <w:rPr>
          <w:b/>
          <w:sz w:val="24"/>
        </w:rPr>
        <w:t>3.项目联系方式</w:t>
      </w:r>
    </w:p>
    <w:p>
      <w:pPr>
        <w:ind w:firstLine="480"/>
      </w:pPr>
      <w:r>
        <w:rPr/>
        <w:t>项目联系人：</w:t>
      </w:r>
      <w:r>
        <w:rPr/>
        <w:t>黎颖欣、吴秋娜</w:t>
      </w:r>
    </w:p>
    <w:p>
      <w:pPr>
        <w:ind w:firstLine="480"/>
      </w:pPr>
      <w:r>
        <w:rPr/>
        <w:t>电话：</w:t>
      </w:r>
      <w:r>
        <w:rPr/>
        <w:t>020-87688289、020-87684402</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GZGK23D254A0794C</w:t>
      </w:r>
    </w:p>
    <w:p>
      <w:pPr>
        <w:jc w:val="both"/>
      </w:pPr>
      <w:r>
        <w:rPr>
          <w:b/>
          <w:sz w:val="21"/>
        </w:rPr>
        <w:t>（二）</w:t>
      </w:r>
      <w:r>
        <w:rPr>
          <w:b/>
          <w:sz w:val="21"/>
        </w:rPr>
        <w:t>项目名称：</w:t>
      </w:r>
      <w:r>
        <w:rPr>
          <w:sz w:val="21"/>
        </w:rPr>
        <w:t>全国工商联人才中心产教融合示范实训基地建设购置项目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w:t>
      </w:r>
      <w:r>
        <w:rPr>
          <w:sz w:val="21"/>
        </w:rPr>
        <w:t>购需求中的设备性能和技术（服务）指标在响应详细内容中列出具体数值或明确承诺。如果投标人只注明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不允许中标供应商</w:t>
      </w:r>
      <w:r>
        <w:rPr>
          <w:sz w:val="21"/>
        </w:rPr>
        <w:t>转包、分包项目内容</w:t>
      </w:r>
      <w:r>
        <w:rPr>
          <w:sz w:val="21"/>
        </w:rPr>
        <w:t>。</w:t>
      </w:r>
    </w:p>
    <w:p>
      <w:pPr>
        <w:jc w:val="both"/>
      </w:pPr>
      <w:r>
        <w:rPr>
          <w:sz w:val="21"/>
        </w:rPr>
        <w:t>13、</w:t>
      </w:r>
      <w:r>
        <w:rPr>
          <w:sz w:val="21"/>
        </w:rPr>
        <w:t>小型和微型企业、监狱企业和残疾人福利性单位必须按照招标（采购）文件第三章内容提供相应的资料。</w:t>
      </w:r>
    </w:p>
    <w:p>
      <w:pPr>
        <w:jc w:val="both"/>
      </w:pPr>
      <w:r>
        <w:rPr>
          <w:sz w:val="21"/>
        </w:rPr>
        <w:t>14、</w:t>
      </w:r>
      <w:r>
        <w:rPr>
          <w:sz w:val="21"/>
        </w:rPr>
        <w:t>需落实政府采购政策为：促进中小企业发展政策、支持监狱企业发展政策、支持残疾人福利性单位发展政策、优先采购节能产品、环境标志产品相关政策等。</w:t>
      </w:r>
    </w:p>
    <w:p>
      <w:pPr>
        <w:jc w:val="both"/>
      </w:pPr>
      <w:r>
        <w:rPr>
          <w:sz w:val="21"/>
        </w:rPr>
        <w:t>15、</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p>
    <w:p>
      <w:pPr>
        <w:jc w:val="both"/>
      </w:pPr>
      <w:r>
        <w:rPr>
          <w:sz w:val="21"/>
        </w:rPr>
        <w:t>2、</w:t>
      </w:r>
      <w:r>
        <w:rPr>
          <w:sz w:val="21"/>
        </w:rPr>
        <w:t>供应商电脑需提前安装</w:t>
      </w:r>
      <w:r>
        <w:rPr>
          <w:sz w:val="21"/>
        </w:rPr>
        <w:t>CA签章客户端，并运行CA证书。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jc w:val="both"/>
      </w:pPr>
      <w:r>
        <w:rPr>
          <w:b/>
          <w:sz w:val="21"/>
        </w:rPr>
        <w:t>（五）</w:t>
      </w:r>
      <w:r>
        <w:rPr>
          <w:b/>
          <w:sz w:val="21"/>
        </w:rPr>
        <w:t>投标报价说明：</w:t>
      </w:r>
    </w:p>
    <w:p>
      <w:r>
        <w:rPr>
          <w:sz w:val="21"/>
        </w:rPr>
        <w:t>投标报价包括：</w:t>
      </w:r>
    </w:p>
    <w:p>
      <w:pPr>
        <w:jc w:val="both"/>
      </w:pPr>
      <w:r>
        <w:rPr>
          <w:sz w:val="21"/>
        </w:rPr>
        <w:t>（</w:t>
      </w:r>
      <w:r>
        <w:rPr>
          <w:sz w:val="21"/>
        </w:rPr>
        <w:t>1</w:t>
      </w:r>
      <w:r>
        <w:rPr>
          <w:sz w:val="21"/>
        </w:rPr>
        <w:t>）</w:t>
      </w:r>
      <w:r>
        <w:rPr>
          <w:sz w:val="21"/>
        </w:rPr>
        <w:t>货物及零配件的购置和安装、运输保险、装卸、培训辅导、质保期售后服务、全额含税发票、雇员费用、合同实施过程中应预见和不可预见费用等。</w:t>
      </w:r>
    </w:p>
    <w:p>
      <w:pPr>
        <w:jc w:val="both"/>
      </w:pPr>
      <w:r>
        <w:rPr>
          <w:sz w:val="21"/>
        </w:rPr>
        <w:t>（</w:t>
      </w:r>
      <w:r>
        <w:rPr>
          <w:sz w:val="21"/>
        </w:rPr>
        <w:t>2</w:t>
      </w:r>
      <w:r>
        <w:rPr>
          <w:sz w:val="21"/>
        </w:rPr>
        <w:t>）</w:t>
      </w:r>
      <w:r>
        <w:rPr>
          <w:sz w:val="21"/>
        </w:rPr>
        <w:t>采购范围内所有设备及配件费。</w:t>
      </w:r>
    </w:p>
    <w:p>
      <w:pPr>
        <w:jc w:val="both"/>
      </w:pPr>
      <w:r>
        <w:rPr>
          <w:sz w:val="21"/>
        </w:rPr>
        <w:t>（</w:t>
      </w:r>
      <w:r>
        <w:rPr>
          <w:sz w:val="21"/>
        </w:rPr>
        <w:t>3</w:t>
      </w:r>
      <w:r>
        <w:rPr>
          <w:sz w:val="21"/>
        </w:rPr>
        <w:t>）人员培训和售后服务的相关费用。</w:t>
      </w:r>
    </w:p>
    <w:p>
      <w:pPr>
        <w:jc w:val="both"/>
      </w:pPr>
      <w:r>
        <w:rPr>
          <w:sz w:val="21"/>
        </w:rPr>
        <w:t>（</w:t>
      </w:r>
      <w:r>
        <w:rPr>
          <w:sz w:val="21"/>
        </w:rPr>
        <w:t>4</w:t>
      </w:r>
      <w:r>
        <w:rPr>
          <w:sz w:val="21"/>
        </w:rPr>
        <w:t>）</w:t>
      </w:r>
      <w:r>
        <w:rPr>
          <w:sz w:val="21"/>
        </w:rPr>
        <w:t>建设内容一览表</w:t>
      </w:r>
    </w:p>
    <w:tbl>
      <w:tblPr>
        <w:tblW w:w="0" w:type="auto"/>
        <w:tblBorders>
          <w:top w:val="none" w:color="000000" w:sz="4"/>
          <w:left w:val="none" w:color="000000" w:sz="4"/>
          <w:bottom w:val="none" w:color="000000" w:sz="4"/>
          <w:right w:val="none" w:color="000000" w:sz="4"/>
          <w:insideH w:val="none"/>
          <w:insideV w:val="none"/>
        </w:tblBorders>
      </w:tblPr>
      <w:tblGrid>
        <w:gridCol w:w="742"/>
        <w:gridCol w:w="3179"/>
        <w:gridCol w:w="2926"/>
        <w:gridCol w:w="716"/>
        <w:gridCol w:w="739"/>
      </w:tblGrid>
      <w:tr>
        <w:tc>
          <w:tcPr>
            <w:tcW w:type="dxa" w:w="742"/>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6105"/>
            <w:gridSpan w:val="2"/>
            <w:tcBorders>
              <w:top w:val="single" w:color="000000" w:sz="4"/>
              <w:left w:val="single" w:color="000000" w:sz="4"/>
              <w:bottom w:val="single" w:color="000000" w:sz="4"/>
              <w:right w:val="single" w:color="000000" w:sz="4"/>
            </w:tcBorders>
            <w:vAlign w:val="top"/>
          </w:tcPr>
          <w:p>
            <w:pPr>
              <w:jc w:val="center"/>
            </w:pPr>
            <w:r>
              <w:rPr>
                <w:sz w:val="21"/>
              </w:rPr>
              <w:t>名称</w:t>
            </w:r>
          </w:p>
        </w:tc>
        <w:tc>
          <w:tcPr>
            <w:tcW w:type="dxa" w:w="716"/>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739"/>
            <w:tcBorders>
              <w:top w:val="single" w:color="000000" w:sz="4"/>
              <w:left w:val="single" w:color="000000" w:sz="4"/>
              <w:bottom w:val="single" w:color="000000" w:sz="4"/>
              <w:right w:val="single" w:color="000000" w:sz="4"/>
            </w:tcBorders>
            <w:vAlign w:val="top"/>
          </w:tcPr>
          <w:p>
            <w:pPr>
              <w:jc w:val="center"/>
            </w:pPr>
            <w:r>
              <w:rPr>
                <w:sz w:val="21"/>
              </w:rPr>
              <w:t>单位</w:t>
            </w:r>
          </w:p>
        </w:tc>
      </w:tr>
      <w:tr>
        <w:tc>
          <w:tcPr>
            <w:tcW w:type="dxa" w:w="74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79"/>
            <w:vMerge w:val="restart"/>
            <w:tcBorders>
              <w:top w:val="none" w:color="000000" w:sz="4"/>
              <w:left w:val="single" w:color="000000" w:sz="4"/>
              <w:bottom w:val="single" w:color="000000" w:sz="4"/>
              <w:right w:val="single" w:color="000000" w:sz="4"/>
            </w:tcBorders>
            <w:vAlign w:val="top"/>
          </w:tcPr>
          <w:p>
            <w:pPr>
              <w:jc w:val="center"/>
            </w:pPr>
            <w:r>
              <w:rPr>
                <w:sz w:val="21"/>
              </w:rPr>
              <w:t>智能制造实训系统</w:t>
            </w:r>
          </w:p>
        </w:tc>
        <w:tc>
          <w:tcPr>
            <w:tcW w:type="dxa" w:w="2926"/>
            <w:tcBorders>
              <w:top w:val="none" w:color="000000" w:sz="4"/>
              <w:left w:val="single" w:color="000000" w:sz="4"/>
              <w:bottom w:val="single" w:color="000000" w:sz="4"/>
              <w:right w:val="single" w:color="000000" w:sz="4"/>
            </w:tcBorders>
            <w:vAlign w:val="top"/>
          </w:tcPr>
          <w:p>
            <w:pPr>
              <w:jc w:val="center"/>
            </w:pPr>
            <w:r>
              <w:rPr>
                <w:sz w:val="21"/>
              </w:rPr>
              <w:t>数字资产管理模块</w:t>
            </w:r>
          </w:p>
        </w:tc>
        <w:tc>
          <w:tcPr>
            <w:tcW w:type="dxa" w:w="7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39"/>
            <w:tcBorders>
              <w:top w:val="single" w:color="000000" w:sz="4"/>
              <w:left w:val="single" w:color="000000" w:sz="4"/>
              <w:bottom w:val="single" w:color="000000" w:sz="4"/>
              <w:right w:val="single" w:color="000000" w:sz="4"/>
            </w:tcBorders>
            <w:vAlign w:val="top"/>
          </w:tcPr>
          <w:p>
            <w:pPr>
              <w:jc w:val="center"/>
            </w:pPr>
            <w:r>
              <w:rPr>
                <w:sz w:val="21"/>
              </w:rPr>
              <w:t>项</w:t>
            </w:r>
          </w:p>
        </w:tc>
      </w:tr>
      <w:tr>
        <w:tc>
          <w:tcPr>
            <w:tcW w:type="dxa" w:w="74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79"/>
            <w:vMerge/>
            <w:tcBorders>
              <w:top w:val="none" w:color="000000" w:sz="4"/>
              <w:left w:val="single" w:color="000000" w:sz="4"/>
              <w:bottom w:val="single" w:color="000000" w:sz="4"/>
              <w:right w:val="single" w:color="000000" w:sz="4"/>
            </w:tcBorders>
          </w:tcPr>
          <w:p/>
        </w:tc>
        <w:tc>
          <w:tcPr>
            <w:tcW w:type="dxa" w:w="2926"/>
            <w:tcBorders>
              <w:top w:val="none" w:color="000000" w:sz="4"/>
              <w:left w:val="single" w:color="000000" w:sz="4"/>
              <w:bottom w:val="single" w:color="000000" w:sz="4"/>
              <w:right w:val="single" w:color="000000" w:sz="4"/>
            </w:tcBorders>
            <w:vAlign w:val="top"/>
          </w:tcPr>
          <w:p>
            <w:pPr>
              <w:jc w:val="center"/>
            </w:pPr>
            <w:r>
              <w:rPr>
                <w:sz w:val="21"/>
              </w:rPr>
              <w:t>动画交互模块</w:t>
            </w:r>
          </w:p>
        </w:tc>
        <w:tc>
          <w:tcPr>
            <w:tcW w:type="dxa" w:w="7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39"/>
            <w:tcBorders>
              <w:top w:val="none" w:color="000000" w:sz="4"/>
              <w:left w:val="single" w:color="000000" w:sz="4"/>
              <w:bottom w:val="single" w:color="000000" w:sz="4"/>
              <w:right w:val="single" w:color="000000" w:sz="4"/>
            </w:tcBorders>
            <w:vAlign w:val="top"/>
          </w:tcPr>
          <w:p>
            <w:pPr>
              <w:jc w:val="center"/>
            </w:pPr>
            <w:r>
              <w:rPr>
                <w:sz w:val="21"/>
              </w:rPr>
              <w:t>项</w:t>
            </w:r>
          </w:p>
        </w:tc>
      </w:tr>
      <w:tr>
        <w:tc>
          <w:tcPr>
            <w:tcW w:type="dxa" w:w="74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179"/>
            <w:vMerge/>
            <w:tcBorders>
              <w:top w:val="none" w:color="000000" w:sz="4"/>
              <w:left w:val="single" w:color="000000" w:sz="4"/>
              <w:bottom w:val="single" w:color="000000" w:sz="4"/>
              <w:right w:val="single" w:color="000000" w:sz="4"/>
            </w:tcBorders>
          </w:tcPr>
          <w:p/>
        </w:tc>
        <w:tc>
          <w:tcPr>
            <w:tcW w:type="dxa" w:w="2926"/>
            <w:tcBorders>
              <w:top w:val="none" w:color="000000" w:sz="4"/>
              <w:left w:val="single" w:color="000000" w:sz="4"/>
              <w:bottom w:val="single" w:color="000000" w:sz="4"/>
              <w:right w:val="single" w:color="000000" w:sz="4"/>
            </w:tcBorders>
            <w:vAlign w:val="top"/>
          </w:tcPr>
          <w:p>
            <w:pPr>
              <w:jc w:val="center"/>
            </w:pPr>
            <w:r>
              <w:rPr>
                <w:sz w:val="21"/>
              </w:rPr>
              <w:t>跨平台分发模块</w:t>
            </w:r>
          </w:p>
        </w:tc>
        <w:tc>
          <w:tcPr>
            <w:tcW w:type="dxa" w:w="7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39"/>
            <w:tcBorders>
              <w:top w:val="none" w:color="000000" w:sz="4"/>
              <w:left w:val="single" w:color="000000" w:sz="4"/>
              <w:bottom w:val="single" w:color="000000" w:sz="4"/>
              <w:right w:val="single" w:color="000000" w:sz="4"/>
            </w:tcBorders>
            <w:vAlign w:val="top"/>
          </w:tcPr>
          <w:p>
            <w:pPr>
              <w:jc w:val="center"/>
            </w:pPr>
            <w:r>
              <w:rPr>
                <w:sz w:val="21"/>
              </w:rPr>
              <w:t>项</w:t>
            </w:r>
          </w:p>
        </w:tc>
      </w:tr>
      <w:tr>
        <w:tc>
          <w:tcPr>
            <w:tcW w:type="dxa" w:w="74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179"/>
            <w:vMerge/>
            <w:tcBorders>
              <w:top w:val="none" w:color="000000" w:sz="4"/>
              <w:left w:val="single" w:color="000000" w:sz="4"/>
              <w:bottom w:val="single" w:color="000000" w:sz="4"/>
              <w:right w:val="single" w:color="000000" w:sz="4"/>
            </w:tcBorders>
          </w:tcPr>
          <w:p/>
        </w:tc>
        <w:tc>
          <w:tcPr>
            <w:tcW w:type="dxa" w:w="2926"/>
            <w:tcBorders>
              <w:top w:val="none" w:color="000000" w:sz="4"/>
              <w:left w:val="single" w:color="000000" w:sz="4"/>
              <w:bottom w:val="single" w:color="000000" w:sz="4"/>
              <w:right w:val="single" w:color="000000" w:sz="4"/>
            </w:tcBorders>
            <w:vAlign w:val="top"/>
          </w:tcPr>
          <w:p>
            <w:pPr>
              <w:jc w:val="center"/>
            </w:pPr>
            <w:r>
              <w:rPr>
                <w:sz w:val="21"/>
              </w:rPr>
              <w:t>手势算法控制模块</w:t>
            </w:r>
          </w:p>
        </w:tc>
        <w:tc>
          <w:tcPr>
            <w:tcW w:type="dxa" w:w="7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39"/>
            <w:tcBorders>
              <w:top w:val="none" w:color="000000" w:sz="4"/>
              <w:left w:val="single" w:color="000000" w:sz="4"/>
              <w:bottom w:val="single" w:color="000000" w:sz="4"/>
              <w:right w:val="single" w:color="000000" w:sz="4"/>
            </w:tcBorders>
            <w:vAlign w:val="top"/>
          </w:tcPr>
          <w:p>
            <w:pPr>
              <w:jc w:val="center"/>
            </w:pPr>
            <w:r>
              <w:rPr>
                <w:sz w:val="21"/>
              </w:rPr>
              <w:t>项</w:t>
            </w:r>
          </w:p>
        </w:tc>
      </w:tr>
      <w:tr>
        <w:tc>
          <w:tcPr>
            <w:tcW w:type="dxa" w:w="74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79"/>
            <w:vMerge w:val="restart"/>
            <w:tcBorders>
              <w:top w:val="none" w:color="000000" w:sz="4"/>
              <w:left w:val="single" w:color="000000" w:sz="4"/>
              <w:bottom w:val="single" w:color="000000" w:sz="4"/>
              <w:right w:val="single" w:color="000000" w:sz="4"/>
            </w:tcBorders>
            <w:vAlign w:val="top"/>
          </w:tcPr>
          <w:p>
            <w:pPr>
              <w:jc w:val="center"/>
            </w:pPr>
            <w:r>
              <w:rPr>
                <w:sz w:val="21"/>
              </w:rPr>
              <w:t>智能制造单元三维数字化（三维模型</w:t>
            </w:r>
            <w:r>
              <w:rPr>
                <w:sz w:val="21"/>
              </w:rPr>
              <w:t>-UI设计-动画模拟-交互功能）</w:t>
            </w:r>
          </w:p>
        </w:tc>
        <w:tc>
          <w:tcPr>
            <w:tcW w:type="dxa" w:w="2926"/>
            <w:tcBorders>
              <w:top w:val="none" w:color="000000" w:sz="4"/>
              <w:left w:val="single" w:color="000000" w:sz="4"/>
              <w:bottom w:val="single" w:color="000000" w:sz="4"/>
              <w:right w:val="single" w:color="000000" w:sz="4"/>
            </w:tcBorders>
            <w:vAlign w:val="top"/>
          </w:tcPr>
          <w:p>
            <w:pPr>
              <w:jc w:val="center"/>
            </w:pPr>
            <w:r>
              <w:rPr>
                <w:sz w:val="21"/>
              </w:rPr>
              <w:t>机器人</w:t>
            </w:r>
          </w:p>
        </w:tc>
        <w:tc>
          <w:tcPr>
            <w:tcW w:type="dxa" w:w="7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39"/>
            <w:tcBorders>
              <w:top w:val="none" w:color="000000" w:sz="4"/>
              <w:left w:val="single" w:color="000000" w:sz="4"/>
              <w:bottom w:val="single" w:color="000000" w:sz="4"/>
              <w:right w:val="single" w:color="000000" w:sz="4"/>
            </w:tcBorders>
            <w:vAlign w:val="top"/>
          </w:tcPr>
          <w:p>
            <w:pPr>
              <w:jc w:val="center"/>
            </w:pPr>
            <w:r>
              <w:rPr>
                <w:sz w:val="21"/>
              </w:rPr>
              <w:t>项</w:t>
            </w:r>
          </w:p>
        </w:tc>
      </w:tr>
      <w:tr>
        <w:tc>
          <w:tcPr>
            <w:tcW w:type="dxa" w:w="74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179"/>
            <w:vMerge/>
            <w:tcBorders>
              <w:top w:val="none" w:color="000000" w:sz="4"/>
              <w:left w:val="single" w:color="000000" w:sz="4"/>
              <w:bottom w:val="single" w:color="000000" w:sz="4"/>
              <w:right w:val="single" w:color="000000" w:sz="4"/>
            </w:tcBorders>
          </w:tcPr>
          <w:p/>
        </w:tc>
        <w:tc>
          <w:tcPr>
            <w:tcW w:type="dxa" w:w="2926"/>
            <w:tcBorders>
              <w:top w:val="none" w:color="000000" w:sz="4"/>
              <w:left w:val="single" w:color="000000" w:sz="4"/>
              <w:bottom w:val="single" w:color="000000" w:sz="4"/>
              <w:right w:val="single" w:color="000000" w:sz="4"/>
            </w:tcBorders>
            <w:vAlign w:val="top"/>
          </w:tcPr>
          <w:p>
            <w:pPr>
              <w:jc w:val="center"/>
            </w:pPr>
            <w:r>
              <w:rPr>
                <w:sz w:val="21"/>
              </w:rPr>
              <w:t>加工中心</w:t>
            </w:r>
          </w:p>
        </w:tc>
        <w:tc>
          <w:tcPr>
            <w:tcW w:type="dxa" w:w="7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39"/>
            <w:tcBorders>
              <w:top w:val="none" w:color="000000" w:sz="4"/>
              <w:left w:val="single" w:color="000000" w:sz="4"/>
              <w:bottom w:val="single" w:color="000000" w:sz="4"/>
              <w:right w:val="single" w:color="000000" w:sz="4"/>
            </w:tcBorders>
            <w:vAlign w:val="top"/>
          </w:tcPr>
          <w:p>
            <w:pPr>
              <w:jc w:val="center"/>
            </w:pPr>
            <w:r>
              <w:rPr>
                <w:sz w:val="21"/>
              </w:rPr>
              <w:t>项</w:t>
            </w:r>
          </w:p>
        </w:tc>
      </w:tr>
      <w:tr>
        <w:tc>
          <w:tcPr>
            <w:tcW w:type="dxa" w:w="74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79"/>
            <w:vMerge/>
            <w:tcBorders>
              <w:top w:val="none" w:color="000000" w:sz="4"/>
              <w:left w:val="single" w:color="000000" w:sz="4"/>
              <w:bottom w:val="single" w:color="000000" w:sz="4"/>
              <w:right w:val="single" w:color="000000" w:sz="4"/>
            </w:tcBorders>
          </w:tcPr>
          <w:p/>
        </w:tc>
        <w:tc>
          <w:tcPr>
            <w:tcW w:type="dxa" w:w="2926"/>
            <w:tcBorders>
              <w:top w:val="none" w:color="000000" w:sz="4"/>
              <w:left w:val="single" w:color="000000" w:sz="4"/>
              <w:bottom w:val="single" w:color="000000" w:sz="4"/>
              <w:right w:val="single" w:color="000000" w:sz="4"/>
            </w:tcBorders>
            <w:vAlign w:val="top"/>
          </w:tcPr>
          <w:p>
            <w:pPr>
              <w:jc w:val="center"/>
            </w:pPr>
            <w:r>
              <w:rPr>
                <w:sz w:val="21"/>
              </w:rPr>
              <w:t>数控机床</w:t>
            </w:r>
          </w:p>
        </w:tc>
        <w:tc>
          <w:tcPr>
            <w:tcW w:type="dxa" w:w="7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39"/>
            <w:tcBorders>
              <w:top w:val="none" w:color="000000" w:sz="4"/>
              <w:left w:val="single" w:color="000000" w:sz="4"/>
              <w:bottom w:val="single" w:color="000000" w:sz="4"/>
              <w:right w:val="single" w:color="000000" w:sz="4"/>
            </w:tcBorders>
            <w:vAlign w:val="top"/>
          </w:tcPr>
          <w:p>
            <w:pPr>
              <w:jc w:val="center"/>
            </w:pPr>
            <w:r>
              <w:rPr>
                <w:sz w:val="21"/>
              </w:rPr>
              <w:t>项</w:t>
            </w:r>
          </w:p>
        </w:tc>
      </w:tr>
      <w:tr>
        <w:tc>
          <w:tcPr>
            <w:tcW w:type="dxa" w:w="74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179"/>
            <w:vMerge/>
            <w:tcBorders>
              <w:top w:val="none" w:color="000000" w:sz="4"/>
              <w:left w:val="single" w:color="000000" w:sz="4"/>
              <w:bottom w:val="single" w:color="000000" w:sz="4"/>
              <w:right w:val="single" w:color="000000" w:sz="4"/>
            </w:tcBorders>
          </w:tcPr>
          <w:p/>
        </w:tc>
        <w:tc>
          <w:tcPr>
            <w:tcW w:type="dxa" w:w="2926"/>
            <w:tcBorders>
              <w:top w:val="none" w:color="000000" w:sz="4"/>
              <w:left w:val="single" w:color="000000" w:sz="4"/>
              <w:bottom w:val="single" w:color="000000" w:sz="4"/>
              <w:right w:val="single" w:color="000000" w:sz="4"/>
            </w:tcBorders>
            <w:vAlign w:val="top"/>
          </w:tcPr>
          <w:p>
            <w:pPr>
              <w:jc w:val="center"/>
            </w:pPr>
            <w:r>
              <w:rPr>
                <w:sz w:val="21"/>
              </w:rPr>
              <w:t>控制柜</w:t>
            </w:r>
          </w:p>
        </w:tc>
        <w:tc>
          <w:tcPr>
            <w:tcW w:type="dxa" w:w="7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39"/>
            <w:tcBorders>
              <w:top w:val="none" w:color="000000" w:sz="4"/>
              <w:left w:val="single" w:color="000000" w:sz="4"/>
              <w:bottom w:val="single" w:color="000000" w:sz="4"/>
              <w:right w:val="single" w:color="000000" w:sz="4"/>
            </w:tcBorders>
            <w:vAlign w:val="top"/>
          </w:tcPr>
          <w:p>
            <w:pPr>
              <w:jc w:val="center"/>
            </w:pPr>
            <w:r>
              <w:rPr>
                <w:sz w:val="21"/>
              </w:rPr>
              <w:t>项</w:t>
            </w:r>
          </w:p>
        </w:tc>
      </w:tr>
      <w:tr>
        <w:tc>
          <w:tcPr>
            <w:tcW w:type="dxa" w:w="74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179"/>
            <w:vMerge/>
            <w:tcBorders>
              <w:top w:val="none" w:color="000000" w:sz="4"/>
              <w:left w:val="single" w:color="000000" w:sz="4"/>
              <w:bottom w:val="single" w:color="000000" w:sz="4"/>
              <w:right w:val="single" w:color="000000" w:sz="4"/>
            </w:tcBorders>
          </w:tcPr>
          <w:p/>
        </w:tc>
        <w:tc>
          <w:tcPr>
            <w:tcW w:type="dxa" w:w="2926"/>
            <w:tcBorders>
              <w:top w:val="none" w:color="000000" w:sz="4"/>
              <w:left w:val="single" w:color="000000" w:sz="4"/>
              <w:bottom w:val="single" w:color="000000" w:sz="4"/>
              <w:right w:val="single" w:color="000000" w:sz="4"/>
            </w:tcBorders>
            <w:vAlign w:val="top"/>
          </w:tcPr>
          <w:p>
            <w:pPr>
              <w:jc w:val="center"/>
            </w:pPr>
            <w:r>
              <w:rPr>
                <w:sz w:val="21"/>
              </w:rPr>
              <w:t>整体场景</w:t>
            </w:r>
          </w:p>
        </w:tc>
        <w:tc>
          <w:tcPr>
            <w:tcW w:type="dxa" w:w="7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39"/>
            <w:tcBorders>
              <w:top w:val="none" w:color="000000" w:sz="4"/>
              <w:left w:val="single" w:color="000000" w:sz="4"/>
              <w:bottom w:val="single" w:color="000000" w:sz="4"/>
              <w:right w:val="single" w:color="000000" w:sz="4"/>
            </w:tcBorders>
            <w:vAlign w:val="top"/>
          </w:tcPr>
          <w:p>
            <w:pPr>
              <w:jc w:val="center"/>
            </w:pPr>
            <w:r>
              <w:rPr>
                <w:sz w:val="21"/>
              </w:rPr>
              <w:t>项</w:t>
            </w:r>
          </w:p>
        </w:tc>
      </w:tr>
    </w:tbl>
    <w:p/>
    <w:p>
      <w:pPr>
        <w:jc w:val="both"/>
      </w:pPr>
      <w:r>
        <w:rPr>
          <w:b/>
          <w:sz w:val="21"/>
        </w:rPr>
        <w:t>（六）</w:t>
      </w:r>
      <w:r>
        <w:rPr>
          <w:b/>
          <w:sz w:val="21"/>
        </w:rPr>
        <w:t>项目概述</w:t>
      </w:r>
    </w:p>
    <w:p>
      <w:pPr>
        <w:jc w:val="both"/>
      </w:pPr>
      <w:r>
        <w:rPr>
          <w:sz w:val="21"/>
        </w:rPr>
        <w:t>立足产教融合实训基地，面向专业建设需求，本项目落实全国工商联产教融合建设方案指引中的</w:t>
      </w:r>
      <w:r>
        <w:rPr>
          <w:sz w:val="21"/>
        </w:rPr>
        <w:t>“1个线下实训基地”“1个课程资源库”“1个工匠文化环境”，以智能制造实训系统为坚实底座，向师生们提供丰富多样、形式新颖的可视化数字教学资源。这些教学资源涵盖了多元化的知识领域，致力于满足学生们的多样化学习需求。为了进一步锻炼和提升学生们的创作能力和设计能力，项目将提供数字创意编辑器，让他们在学习过程中可以尽情挥洒创意，提高自身的实践设计能力。这些资源与编辑器相辅相成，共同支持教育创新改革的实施，助力于教育资源的创新汇聚与共享。</w:t>
      </w:r>
    </w:p>
    <w:p>
      <w:pPr>
        <w:jc w:val="both"/>
      </w:pPr>
      <w:r>
        <w:rPr>
          <w:b/>
          <w:sz w:val="21"/>
        </w:rPr>
        <w:t>（七）</w:t>
      </w:r>
      <w:r>
        <w:rPr>
          <w:b/>
          <w:sz w:val="21"/>
        </w:rPr>
        <w:t>建设内容的技术要求</w:t>
      </w:r>
    </w:p>
    <w:p>
      <w:pPr>
        <w:jc w:val="both"/>
      </w:pPr>
      <w:r>
        <w:rPr>
          <w:sz w:val="21"/>
        </w:rPr>
        <w:t>1、</w:t>
      </w:r>
      <w:r>
        <w:rPr>
          <w:sz w:val="21"/>
        </w:rPr>
        <w:t>交付要求</w:t>
      </w:r>
    </w:p>
    <w:p>
      <w:pPr>
        <w:jc w:val="both"/>
      </w:pPr>
      <w:r>
        <w:rPr>
          <w:sz w:val="21"/>
        </w:rPr>
        <w:t>（</w:t>
      </w:r>
      <w:r>
        <w:rPr>
          <w:sz w:val="21"/>
        </w:rPr>
        <w:t>1</w:t>
      </w:r>
      <w:r>
        <w:rPr>
          <w:sz w:val="21"/>
        </w:rPr>
        <w:t>）三维模型交付：在合同签订后规定的时间内投标人以电子文件形式完成模型的交付，包含：</w:t>
      </w:r>
      <w:r>
        <w:rPr>
          <w:sz w:val="21"/>
        </w:rPr>
        <w:t>3D数字模型及配套的数字贴图文件；提供模型的源文件支持用户进行二次编辑。投标人提供必要的技术手册，以便用户操作和使用模型。</w:t>
      </w:r>
    </w:p>
    <w:p>
      <w:pPr>
        <w:jc w:val="both"/>
      </w:pPr>
      <w:r>
        <w:rPr>
          <w:sz w:val="21"/>
        </w:rPr>
        <w:t>（</w:t>
      </w:r>
      <w:r>
        <w:rPr>
          <w:sz w:val="21"/>
        </w:rPr>
        <w:t>2</w:t>
      </w:r>
      <w:r>
        <w:rPr>
          <w:sz w:val="21"/>
        </w:rPr>
        <w:t>）</w:t>
      </w:r>
      <w:r>
        <w:rPr>
          <w:sz w:val="21"/>
        </w:rPr>
        <w:t>UI设计交付：在合同签订后规定的时间内投标人完成UI界面的设计并提交交付物。交付物应包括但不限于UI设计原稿、相关文档、使用手册和安装说明等。</w:t>
      </w:r>
    </w:p>
    <w:p>
      <w:pPr>
        <w:jc w:val="both"/>
      </w:pPr>
      <w:r>
        <w:rPr>
          <w:sz w:val="21"/>
        </w:rPr>
        <w:t>（</w:t>
      </w:r>
      <w:r>
        <w:rPr>
          <w:sz w:val="21"/>
        </w:rPr>
        <w:t>3</w:t>
      </w:r>
      <w:r>
        <w:rPr>
          <w:sz w:val="21"/>
        </w:rPr>
        <w:t>）动画模拟交付：在合同签订后规定的时间内投标人应以电子文件的形式提交，并确保动画能够在指定的</w:t>
      </w:r>
      <w:r>
        <w:rPr>
          <w:sz w:val="21"/>
        </w:rPr>
        <w:t>3D设计软件或引擎中打开和运行。投标人应提供相对应的操作指南和技术手册，以便用户自行使用。</w:t>
      </w:r>
    </w:p>
    <w:p>
      <w:pPr>
        <w:jc w:val="both"/>
      </w:pPr>
      <w:r>
        <w:rPr>
          <w:sz w:val="21"/>
        </w:rPr>
        <w:t>（</w:t>
      </w:r>
      <w:r>
        <w:rPr>
          <w:sz w:val="21"/>
        </w:rPr>
        <w:t>4</w:t>
      </w:r>
      <w:r>
        <w:rPr>
          <w:sz w:val="21"/>
        </w:rPr>
        <w:t>）交互功能交付：在合同签订后规定的时间内投标人应以完成交互功能的交付，并且完成部署。投标人应提供详细的技术文档。交付的功能模块应通过一系列测试，包括功能测试、稳定性测试等，以确保模块的质量。</w:t>
      </w:r>
    </w:p>
    <w:p>
      <w:pPr>
        <w:jc w:val="both"/>
      </w:pPr>
      <w:r>
        <w:rPr>
          <w:sz w:val="21"/>
        </w:rPr>
        <w:t>2、</w:t>
      </w:r>
      <w:r>
        <w:rPr>
          <w:sz w:val="21"/>
        </w:rPr>
        <w:t>质量保证要求</w:t>
      </w:r>
      <w:r>
        <w:rPr>
          <w:sz w:val="21"/>
        </w:rPr>
        <w:t>l</w:t>
      </w:r>
    </w:p>
    <w:p>
      <w:pPr>
        <w:jc w:val="both"/>
      </w:pPr>
      <w:r>
        <w:rPr>
          <w:sz w:val="21"/>
        </w:rPr>
        <w:t>（</w:t>
      </w:r>
      <w:r>
        <w:rPr>
          <w:sz w:val="21"/>
        </w:rPr>
        <w:t>1</w:t>
      </w:r>
      <w:r>
        <w:rPr>
          <w:sz w:val="21"/>
        </w:rPr>
        <w:t>）投标人应确保所提供的产品符合国家法律法规和行业标准，满足用户的需求和期望。</w:t>
      </w:r>
      <w:r>
        <w:rPr>
          <w:sz w:val="21"/>
        </w:rPr>
        <w:t>l</w:t>
      </w:r>
    </w:p>
    <w:p>
      <w:pPr>
        <w:jc w:val="both"/>
      </w:pPr>
      <w:r>
        <w:rPr>
          <w:sz w:val="21"/>
        </w:rPr>
        <w:t>（</w:t>
      </w:r>
      <w:r>
        <w:rPr>
          <w:sz w:val="21"/>
        </w:rPr>
        <w:t>2</w:t>
      </w:r>
      <w:r>
        <w:rPr>
          <w:sz w:val="21"/>
        </w:rPr>
        <w:t>）投标人应遵循质量管理体系的要求，对产品的各个环节进行严格的质量控制，确保产品质量的稳定性和可靠性。</w:t>
      </w:r>
      <w:r>
        <w:rPr>
          <w:sz w:val="21"/>
        </w:rPr>
        <w:t>l</w:t>
      </w:r>
    </w:p>
    <w:p>
      <w:pPr>
        <w:jc w:val="both"/>
      </w:pPr>
      <w:r>
        <w:rPr>
          <w:sz w:val="21"/>
        </w:rPr>
        <w:t>（</w:t>
      </w:r>
      <w:r>
        <w:rPr>
          <w:sz w:val="21"/>
        </w:rPr>
        <w:t>3</w:t>
      </w:r>
      <w:r>
        <w:rPr>
          <w:sz w:val="21"/>
        </w:rPr>
        <w:t>）投标人应提供完善的售后服务体系，对用户提供技术支持、培训、维护等服务，确保用户能够顺利使用和维护产品。</w:t>
      </w:r>
      <w:r>
        <w:rPr>
          <w:sz w:val="21"/>
        </w:rPr>
        <w:t>l</w:t>
      </w:r>
    </w:p>
    <w:p>
      <w:pPr>
        <w:jc w:val="both"/>
      </w:pPr>
      <w:r>
        <w:rPr>
          <w:sz w:val="21"/>
        </w:rPr>
        <w:t>（</w:t>
      </w:r>
      <w:r>
        <w:rPr>
          <w:sz w:val="21"/>
        </w:rPr>
        <w:t>4</w:t>
      </w:r>
      <w:r>
        <w:rPr>
          <w:sz w:val="21"/>
        </w:rPr>
        <w:t>）投标人应承诺在项目交付后提供一定期限的免费维修和更新服务，以解决用户在使用过程中可能遇到的问题。</w:t>
      </w:r>
      <w:r>
        <w:rPr>
          <w:sz w:val="21"/>
        </w:rPr>
        <w:t>l</w:t>
      </w:r>
    </w:p>
    <w:p>
      <w:pPr>
        <w:jc w:val="both"/>
      </w:pPr>
      <w:r>
        <w:rPr>
          <w:sz w:val="21"/>
        </w:rPr>
        <w:t>（</w:t>
      </w:r>
      <w:r>
        <w:rPr>
          <w:sz w:val="21"/>
        </w:rPr>
        <w:t>5</w:t>
      </w:r>
      <w:r>
        <w:rPr>
          <w:sz w:val="21"/>
        </w:rPr>
        <w:t>）投标人应定期对产品进行优化和升级，以满足用户不断变化的需求和技术发展的趋势。</w:t>
      </w:r>
    </w:p>
    <w:p>
      <w:pPr>
        <w:jc w:val="both"/>
      </w:pPr>
      <w:r>
        <w:rPr>
          <w:sz w:val="21"/>
        </w:rPr>
        <w:t>3、</w:t>
      </w:r>
      <w:r>
        <w:rPr>
          <w:sz w:val="21"/>
        </w:rPr>
        <w:t>保密要求</w:t>
      </w:r>
      <w:r>
        <w:rPr>
          <w:sz w:val="21"/>
        </w:rPr>
        <w:t>l</w:t>
      </w:r>
    </w:p>
    <w:p>
      <w:pPr>
        <w:jc w:val="both"/>
      </w:pPr>
      <w:r>
        <w:rPr>
          <w:sz w:val="21"/>
        </w:rPr>
        <w:t>（</w:t>
      </w:r>
      <w:r>
        <w:rPr>
          <w:sz w:val="21"/>
        </w:rPr>
        <w:t>1</w:t>
      </w:r>
      <w:r>
        <w:rPr>
          <w:sz w:val="21"/>
        </w:rPr>
        <w:t>）投标人应对涉及到的技术资料、设计方案、成果等涉及本项目的商业秘密和技术秘密严格保密，不得向第三方泄露、公开或非法使用。</w:t>
      </w:r>
      <w:r>
        <w:rPr>
          <w:sz w:val="21"/>
        </w:rPr>
        <w:t>l</w:t>
      </w:r>
    </w:p>
    <w:p>
      <w:pPr>
        <w:jc w:val="both"/>
      </w:pPr>
      <w:r>
        <w:rPr>
          <w:sz w:val="21"/>
        </w:rPr>
        <w:t>（</w:t>
      </w:r>
      <w:r>
        <w:rPr>
          <w:sz w:val="21"/>
        </w:rPr>
        <w:t>2</w:t>
      </w:r>
      <w:r>
        <w:rPr>
          <w:sz w:val="21"/>
        </w:rPr>
        <w:t>）投标人应与用户签订保密协议，明确双方在项目中的保密义务和责任。</w:t>
      </w:r>
    </w:p>
    <w:p>
      <w:pPr>
        <w:jc w:val="both"/>
      </w:pPr>
      <w:r>
        <w:rPr>
          <w:sz w:val="21"/>
        </w:rPr>
        <w:t>（</w:t>
      </w:r>
      <w:r>
        <w:rPr>
          <w:sz w:val="21"/>
        </w:rPr>
        <w:t>3</w:t>
      </w:r>
      <w:r>
        <w:rPr>
          <w:sz w:val="21"/>
        </w:rPr>
        <w:t>）投标人应采取必要的技术和管理措施，确保项目资料和信息的安全。</w:t>
      </w:r>
    </w:p>
    <w:p>
      <w:pPr>
        <w:jc w:val="both"/>
      </w:pPr>
      <w:r>
        <w:rPr>
          <w:sz w:val="21"/>
        </w:rPr>
        <w:t>4、</w:t>
      </w:r>
      <w:r>
        <w:rPr>
          <w:sz w:val="21"/>
        </w:rPr>
        <w:t>知识产权要求</w:t>
      </w:r>
      <w:r>
        <w:rPr>
          <w:sz w:val="21"/>
        </w:rPr>
        <w:t>l</w:t>
      </w:r>
    </w:p>
    <w:p>
      <w:pPr>
        <w:jc w:val="both"/>
      </w:pPr>
      <w:r>
        <w:rPr>
          <w:sz w:val="21"/>
        </w:rPr>
        <w:t>投标人应保证所提供的产品不侵犯任何第三方的知识产权，包括但不限于著作权、专利权、商标权等。</w:t>
      </w:r>
    </w:p>
    <w:p>
      <w:pPr>
        <w:jc w:val="both"/>
      </w:pPr>
      <w:r>
        <w:rPr>
          <w:b/>
          <w:sz w:val="21"/>
        </w:rPr>
        <w:t>（八）</w:t>
      </w:r>
      <w:r>
        <w:rPr>
          <w:b/>
          <w:sz w:val="21"/>
        </w:rPr>
        <w:t>实现的功能</w:t>
      </w:r>
    </w:p>
    <w:p>
      <w:pPr>
        <w:jc w:val="both"/>
      </w:pPr>
      <w:r>
        <w:rPr>
          <w:sz w:val="21"/>
        </w:rPr>
        <w:t>以</w:t>
      </w:r>
      <w:r>
        <w:rPr>
          <w:sz w:val="21"/>
        </w:rPr>
        <w:t>“全联人才函﹝2022﹞4 号”文件精神为指导，根据高校专业特色，搭建符合企业研发、生产、运营、实操应用等所需要的软硬件实训平台。创立有利于展现全国工商联特色的文化环境，举办产教融合成果展，推广成功经验。努力打造一个集实践教学、科研创新、人才培养和产业发展于一体的综合性实训基地。支撑产教融合项目的开展，推进校企协同育人，加强校企融合，深化校企合作，为区域经济发展提供有力的人才保障和技术支撑，构建具有产业特色和行业优势的产教融合体系，培养更多适应新技术、新业态、新模式的高素质技术技能人才，实现学校人才培养与企业用人需求的精准匹配，形成产教融合的新生态，为建设教育强国、人才强国做出应有的贡献。</w:t>
      </w:r>
    </w:p>
    <w:p>
      <w:pPr>
        <w:jc w:val="both"/>
      </w:pPr>
      <w:r>
        <w:rPr>
          <w:b/>
          <w:sz w:val="21"/>
        </w:rPr>
        <w:t>（九）</w:t>
      </w:r>
      <w:r>
        <w:rPr>
          <w:b/>
          <w:sz w:val="21"/>
        </w:rPr>
        <w:t>需执行国家相关标准、行业标准、地方标准或者其他标准、规范</w:t>
      </w:r>
    </w:p>
    <w:p/>
    <w:p>
      <w:pPr>
        <w:ind w:firstLine="480"/>
      </w:pPr>
    </w:p>
    <w:p/>
    <w:p>
      <w:r>
        <w:rPr/>
        <w:t>采购包1（全国工商联人才中心产教融合示范实训基地建设购置）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签定合同后2个月内，在采购人指定的地点完成竣工、交货及安装，并验收交付使用。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1期：支付比例50%,由采购人按下列程序在5个工作日内付款：签订合同后，支付合同总价的50%作为预付款。</w:t>
            </w:r>
          </w:p>
          <w:p/>
          <w:p>
            <w:r>
              <w:rPr/>
              <w:t>2期：支付比例50%,由采购人按下列程序在收到发票后5个工作日内办理支付手续并在15日内完成付款：系统安装调试结束，提交全部报告材料，调试完成并验收合格后，支付合同总价的50%。 每笔款项支付前，中标人须向采购人提交与每笔款项金额相等的正式发票。 支付方式：采用支票、银行汇付（含电汇）等形式。</w:t>
            </w:r>
          </w:p>
        </w:tc>
      </w:tr>
      <w:tr>
        <w:tc>
          <w:tcPr>
            <w:tcW w:type="dxa" w:w="4153"/>
          </w:tcPr>
          <w:p>
            <w:r>
              <w:rPr/>
              <w:t>验收要求</w:t>
            </w:r>
          </w:p>
        </w:tc>
        <w:tc>
          <w:tcPr>
            <w:tcW w:type="dxa" w:w="4153"/>
          </w:tcPr>
          <w:p/>
          <w:p/>
          <w:p/>
          <w:p>
            <w:r>
              <w:rPr/>
              <w:t>1期：（1）试运行 验收前需安排项目测试与试运行阶段，投标人需提供完整、规范的标准测试方案，对本项目组织进行测试并通过后安排上线试运行，正常运行10个工作日后，提交系统试运行报告并通过信息安全等级保护测评验收合格后方可提交项目验收申请报告，组织项目验收，双方在验收报告上签字盖章，信息安全等级保护测评产生的相关费用由投标人承担。试运行结束后若全部设备设施齐全、工作稳定可靠，方可进行验收。 （2）验收要求 1）按照公安部门和教育部门的要求做好信息系统安全等级保护，提高系统安全防护能力，存在安全漏洞不能通过验收；若有国家标准按照国家标准验收，若无国家标准按行业标准验收。中标人应在投标文件中提供其投标货物执行的制造标准和测试验收标准。 2）采购人组成验收小组按国家有关规定、规范进行验收，必要时邀请相关的专业人员或机构参与验收。因服务质量问题发生争议时，由本地行业主管部门鉴定。 3）验收测试的过程和结果必须详细记录，测试中如发现产品性能指标或功能上不符合招标文件和合同要求时，经过整改后还达不到要求，将被看作性能不合格，用户有权拒收并要求赔偿。 4）技术文件和资料（不含软件系统）：所有产品须提供培训资料及电子版使用说明书、合格证明书、保修单等技术文件和资料。 5）软件系统需根据系统设计方案提出验收方案和验收文档清单（包含需求分析、系统测试、用户试用、运行维护等阶段）。</w:t>
            </w:r>
          </w:p>
        </w:tc>
      </w:tr>
      <w:tr>
        <w:tc>
          <w:tcPr>
            <w:tcW w:type="dxa" w:w="4153"/>
          </w:tcPr>
          <w:p>
            <w:r>
              <w:rPr/>
              <w:t>履约保证金</w:t>
            </w:r>
          </w:p>
        </w:tc>
        <w:tc>
          <w:tcPr>
            <w:tcW w:type="dxa" w:w="4153"/>
          </w:tcPr>
          <w:p/>
          <w:p/>
          <w:p/>
          <w:p/>
          <w:p>
            <w:r>
              <w:rPr/>
              <w:t>收取比例：5%,说明：采购人与中标人签订合同后10个工作日内中标人向采购人交付合同金额5%的履约保证金（履约保证金可以采用银行转账、支票、汇票、本票、银行保函、或担保函等形式提交）。在履约过程中，如因中标人的原因，造成合同提前终止，采购人将不予退还中标人的履约保证金。若中标人没有违约行为，履约保证金在中标人提出书面申请后15个工作日内由采购人以非现金形式无息退还中标人。 履约保证金不予退还的情形： （1）拒绝履行合同义务的； （2）履约验收不合格的。 采购人逾期退还履约保证金的，从逾期之日起每日按履约保证金3‰的数额向中标人支付违约金。但因中标人自身原因导致无法及时退还的除外。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（一）质保期，质保期不得少于3年（验收之日起计）。质保期内投标人对所供货物实行包修、包换、包退、包维护保养，期满后可同时提供终身 (免费/有偿) 维修保养服务。质保期内非采购人的人为原因而出现产品质量及安装问题，由投标人负责包修、包换或包退，并承担因此而产生的一切费用。</w:t>
            </w:r>
          </w:p>
          <w:p/>
          <w:p>
            <w:r>
              <w:rPr/>
              <w:t>（二）项目实施主要依据，（1）国家政策法规：基地应遵循国家相关政策法规，包括职业教育法、关于深化产教融合的若干意见等，以确保实训基地的合法性和规范性。 （2）产教融合标准：基地应参照国家和行业相关的产教融合标准，如职业教育产教融合标准等，以指导实训基地的建设和运营。 （3）项目计划：项目计划应对项目的成本、人员、进度、质量、风险等进行规划和安排，以确保项目顺利实施。 （4）项目管理标准：根据项目的实际情况，制定相应的项目管理标准，包括测试流程、问题解决流程，以保证项目实施的质量和效率。 （5）监测和优化：在系统上线后，进行监测和收集用户反馈数据，根据数据分析结果进行优化和改进，不断提升系统的用户体验和功能性。</w:t>
            </w:r>
          </w:p>
          <w:p/>
          <w:p>
            <w:r>
              <w:rPr/>
              <w:t>（三）信息安全要求，（1）项目中标人应承担所提供软件系统的安全漏洞修复责任。 （2）采购人在项目验收前，应安排人员进行项目软件系统安全测试，中标人应根据采购人安全测试所发现问题进行修复，修复结果若未达到采购人要求，项目不予验收。 （3）在软件交付运行过程中，如因bug漏洞、软件迭代等原因产生的新漏洞，中标人应根据采购人相关管理规范无偿提供补丁修复。</w:t>
            </w:r>
          </w:p>
          <w:p/>
          <w:p>
            <w:r>
              <w:rPr/>
              <w:t>（四）培训要求，（1）中标人必须提供相应的应用软件技术、系统操作等方面的培训。有关应用软件的操作培训课程，培训应该在项目试运行前完成。 （2）中标人在实施过程中提供全面的培训，包括面向采购人管理员和业务人员的相应的培训、中标人将详细的培训课程以及时间表交给采购人，最后以采购人认可为准。由此产生的一切费用均由中标人承担。 （3）对于所有培训，中标人必须派出具有相应专业资格和实际工作、教育经验的教师和相应的辅导人员进行培训，主要培训教员应至少具有三年的相关培训经验，培训所使用的语言必须是中文，否则中标人必须提供相应的翻译。 （4）培训项目结束之时，安排学员进行培训测试，以检验学员对软件系统的基本操作能力和掌握水平；同时学员也可对于整个培训项目作出评价，当学员普遍反映对培训课程不满意时，采购人可要求中标人重新安排培训，中标人承担全部费用。 （5）中标人须提供详细的培训计划，对采购人的人员培训方式分两类，一类为业务人员培训，培训采用集中授课、现场演示和辅助操作三种培训方式；另一类为技术人员培训，培训采用理论培训和实际操作相结合的方式。 （6）培训方式：集中授课、现场演示和辅助操作等。 （7）培训主要面向的对象如下： 1）运行管理培训：主要面向业务管理人员，达到能独立进行管理、故障处理、日常测试和维护等工作的目的，应进行软件系统的技术培训，以保证所建设的软件系统能够正常、安全、平稳地运行。 2）使用培训：主要面向师生，对学校的相关人员的用户进行软件系统的使用培训，掌握使用、运营及管理方式。 （8）培训费用：计入总报价。</w:t>
            </w:r>
          </w:p>
          <w:p/>
          <w:p>
            <w:r>
              <w:rPr/>
              <w:t>（五）售后服务要求，投标人有责任为采购人提供就地的售后服务，响应时间应在接报后的2个小时内，抵达现场的最长时限不得超过8小时，并需在48小时内处理完毕。若在规定时限内未能提供解决方案，投标人应免费提供与受损产品相同档次的替代产品供采购人临时使用。</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应用软件</w:t>
            </w:r>
          </w:p>
        </w:tc>
        <w:tc>
          <w:tcPr>
            <w:tcW w:type="dxa" w:w="831"/>
          </w:tcPr>
          <w:p>
            <w:pPr>
              <w:jc w:val="left"/>
            </w:pPr>
            <w:r>
              <w:rPr/>
              <w:t>智能制造实训系统</w:t>
            </w:r>
          </w:p>
        </w:tc>
        <w:tc>
          <w:tcPr>
            <w:tcW w:type="dxa" w:w="831"/>
          </w:tcPr>
          <w:p>
            <w:pPr>
              <w:jc w:val="left"/>
            </w:pPr>
            <w:r>
              <w:rPr/>
              <w:t>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应用软件</w:t>
            </w:r>
          </w:p>
        </w:tc>
        <w:tc>
          <w:tcPr>
            <w:tcW w:type="dxa" w:w="831"/>
          </w:tcPr>
          <w:p>
            <w:pPr>
              <w:jc w:val="left"/>
            </w:pPr>
            <w:r>
              <w:rPr/>
              <w:t>智能制造单元三维数字化（三维模型-UI设计-动画模拟-交互功能）</w:t>
            </w:r>
          </w:p>
        </w:tc>
        <w:tc>
          <w:tcPr>
            <w:tcW w:type="dxa" w:w="831"/>
          </w:tcPr>
          <w:p>
            <w:pPr>
              <w:jc w:val="left"/>
            </w:pPr>
            <w:r>
              <w:rPr/>
              <w:t>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bl>
    <w:p/>
    <w:p>
      <w:r>
        <w:rPr>
          <w:b/>
        </w:rPr>
        <w:t>附表</w:t>
      </w:r>
      <w:r>
        <w:rPr>
          <w:b/>
        </w:rPr>
        <w:t>一</w:t>
      </w:r>
      <w:r>
        <w:rPr>
          <w:b/>
        </w:rPr>
        <w:t>：</w:t>
      </w:r>
      <w:r>
        <w:rPr>
          <w:b/>
        </w:rPr>
        <w:t>智能制造实训系统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数字资产管理模块</w:t>
            </w:r>
          </w:p>
          <w:p>
            <w:pPr>
              <w:jc w:val="both"/>
            </w:pPr>
            <w:r>
              <w:rPr>
                <w:sz w:val="21"/>
              </w:rPr>
              <w:t>（一）技术要求</w:t>
            </w:r>
            <w:r>
              <w:br/>
            </w:r>
            <w:r>
              <w:rPr>
                <w:sz w:val="21"/>
              </w:rPr>
              <w:t>1、基于B/S结构，系统中的虚拟仿真三维数据内容分发、分享支持不少于2000用户并发访问。</w:t>
            </w:r>
            <w:r>
              <w:br/>
            </w:r>
            <w:r>
              <w:rPr>
                <w:sz w:val="21"/>
              </w:rPr>
              <w:t>2、采用多层架构设计；支持松耦合、高内聚设计；系统服务组件化，支持组件的热部署、热插拔等特性。</w:t>
            </w:r>
            <w:r>
              <w:br/>
            </w:r>
            <w:r>
              <w:rPr>
                <w:sz w:val="21"/>
              </w:rPr>
              <w:t>3、所有数据集中部署，可按照组织结构分开，系统具备可扩展性。</w:t>
            </w:r>
            <w:r>
              <w:br/>
            </w:r>
            <w:r>
              <w:rPr>
                <w:sz w:val="21"/>
              </w:rPr>
              <w:t>4、提供小程序的移动端用户入口，并支持IOS与Android及鸿蒙系统的搭载使用，可通过ipad、iphone、或Android系统类型的移动设备使用。</w:t>
            </w:r>
            <w:r>
              <w:br/>
            </w:r>
            <w:r>
              <w:rPr>
                <w:sz w:val="21"/>
              </w:rPr>
              <w:t>5、系统涉及其任何功能、技术或服务不侵犯第三方知识产权。</w:t>
            </w:r>
            <w:r>
              <w:br/>
            </w:r>
            <w:r>
              <w:rPr>
                <w:sz w:val="21"/>
              </w:rPr>
              <w:t>6、提供不少于150个点位（账号）使用。</w:t>
            </w:r>
            <w:r>
              <w:br/>
            </w:r>
            <w:r>
              <w:rPr>
                <w:sz w:val="21"/>
              </w:rPr>
              <w:t>（二）基础要求</w:t>
            </w:r>
            <w:r>
              <w:br/>
            </w:r>
            <w:r>
              <w:rPr>
                <w:sz w:val="21"/>
              </w:rPr>
              <w:t>1、支持自建三维虚拟仿真数字模型内容的上传，并可对相关三维数字模型数据进行分类展示。</w:t>
            </w:r>
            <w:r>
              <w:br/>
            </w:r>
            <w:r>
              <w:rPr>
                <w:sz w:val="21"/>
              </w:rPr>
              <w:t>2、系统中所上传的虚拟仿真模型数据需支持实时渲染与实时交互功能。</w:t>
            </w:r>
            <w:r>
              <w:br/>
            </w:r>
            <w:r>
              <w:rPr>
                <w:sz w:val="21"/>
              </w:rPr>
              <w:t>3、支持3D数字虚拟仿真内容的非公开加密、描述、编辑及资产数据统计。</w:t>
            </w:r>
            <w:r>
              <w:br/>
            </w:r>
            <w:r>
              <w:rPr>
                <w:sz w:val="21"/>
              </w:rPr>
              <w:t>4、系统采用Html5、Java、Php，数据库采用MySQL，系统为Saas模式。</w:t>
            </w:r>
            <w:r>
              <w:br/>
            </w:r>
            <w:r>
              <w:rPr>
                <w:sz w:val="21"/>
              </w:rPr>
              <w:t>5、系统进行云储存并支持分享发布，用户可快速通过“三维模型展示模块”同步至PC端与教学大屏查看相关3D设计原型并用于教学演示。</w:t>
            </w:r>
            <w:r>
              <w:br/>
            </w:r>
            <w:r>
              <w:rPr>
                <w:sz w:val="21"/>
              </w:rPr>
              <w:t xml:space="preserve">6、系统具备良好的管理操作界面及用户应用界面。                                                                                           </w:t>
            </w:r>
            <w:r>
              <w:br/>
            </w:r>
            <w:r>
              <w:rPr>
                <w:sz w:val="21"/>
              </w:rPr>
              <w:t>（三）智能制造数字资产管理系统</w:t>
            </w:r>
            <w:r>
              <w:br/>
            </w:r>
            <w:r>
              <w:rPr>
                <w:sz w:val="21"/>
              </w:rPr>
              <w:t>1、登录</w:t>
            </w:r>
            <w:r>
              <w:br/>
            </w:r>
            <w:r>
              <w:rPr>
                <w:sz w:val="21"/>
              </w:rPr>
              <w:t>支持账号</w:t>
            </w:r>
            <w:r>
              <w:rPr>
                <w:sz w:val="21"/>
              </w:rPr>
              <w:t>/手机号+密码、微信等常规登录方式。</w:t>
            </w:r>
            <w:r>
              <w:br/>
            </w:r>
            <w:r>
              <w:rPr>
                <w:sz w:val="21"/>
              </w:rPr>
              <w:t>2、3D虚拟仿真数字内容分类展示</w:t>
            </w:r>
            <w:r>
              <w:br/>
            </w:r>
            <w:r>
              <w:rPr>
                <w:sz w:val="21"/>
              </w:rPr>
              <w:t>支持</w:t>
            </w:r>
            <w:r>
              <w:rPr>
                <w:sz w:val="21"/>
              </w:rPr>
              <w:t>3D虚拟仿真内容分类展示，并支持用户对3D虚拟仿真内容在系统中基于实时渲染技术进行展示、查看与交互学习。支持用户查看相应3D虚拟仿真内容的相关介绍与图文类型信息，从而满足虚拟仿真内容的实训与教学需求。支持用户对3D虚拟仿真数字内容进行本地数据下载，用于二次编辑。提供对应功能页面截图。</w:t>
            </w:r>
            <w:r>
              <w:br/>
            </w:r>
            <w:r>
              <w:rPr>
                <w:sz w:val="21"/>
              </w:rPr>
              <w:t>3、3D虚拟仿真内容上传</w:t>
            </w:r>
            <w:r>
              <w:br/>
            </w:r>
            <w:r>
              <w:rPr>
                <w:sz w:val="21"/>
              </w:rPr>
              <w:t>（</w:t>
            </w:r>
            <w:r>
              <w:rPr>
                <w:sz w:val="21"/>
              </w:rPr>
              <w:t>1）支持数字资产上传并进行归类，且分类可选择已有类型或自建分类及选择相关内容至人收藏功能。支持数字资产的非公开加密、描述、编辑及资产数据统计。用户自行上传的相关3D虚拟仿真内容可进行展示图编辑与自定义内容描述。支持调节虚拟仿真实时渲染的背景及环境设置。系统支持用户内容发布权限的管理功能，普通用户经管理员审核通过后，才可以对自行创建的虚拟仿真3D内容进行发布、存储与共享。</w:t>
            </w:r>
            <w:r>
              <w:br/>
            </w:r>
            <w:r>
              <w:rPr>
                <w:sz w:val="21"/>
              </w:rPr>
              <w:t>（</w:t>
            </w:r>
            <w:r>
              <w:rPr>
                <w:sz w:val="21"/>
              </w:rPr>
              <w:t>2）格式转换：</w:t>
            </w:r>
            <w:r>
              <w:br/>
            </w:r>
            <w:r>
              <w:rPr>
                <w:sz w:val="21"/>
              </w:rPr>
              <w:t>支持对于常见的三维建模工具软件中</w:t>
            </w:r>
            <w:r>
              <w:rPr>
                <w:sz w:val="21"/>
              </w:rPr>
              <w:t>3Ds、OBJ、FBX等三维格式进行在线转换为GLB。</w:t>
            </w:r>
            <w:r>
              <w:br/>
            </w:r>
            <w:r>
              <w:rPr>
                <w:sz w:val="21"/>
              </w:rPr>
              <w:t>（</w:t>
            </w:r>
            <w:r>
              <w:rPr>
                <w:sz w:val="21"/>
              </w:rPr>
              <w:t>3）上传格式与类型：</w:t>
            </w:r>
            <w:r>
              <w:br/>
            </w:r>
            <w:r>
              <w:rPr>
                <w:sz w:val="21"/>
              </w:rPr>
              <w:t>上传数据类型支持</w:t>
            </w:r>
            <w:r>
              <w:rPr>
                <w:sz w:val="21"/>
              </w:rPr>
              <w:t>3DsMax、Maya、Blender、XSI、Sketchup等工具的建模数据，其上传格式需为GLB，其中GLB文件需包含3D模型信息及相关Normal、AmbientOcclusion、Albedo、Metallic、Roughness、BaseColor等贴图通道信息，支持材质通道不小于6类，并且可通过WebGL-Java图形算法进行实时渲染呈现。（提供对应功能页面截图）支持3D扫描类型的虚拟仿真内容上传。</w:t>
            </w:r>
            <w:r>
              <w:br/>
            </w:r>
            <w:r>
              <w:rPr>
                <w:sz w:val="21"/>
              </w:rPr>
              <w:t>4、个人中心</w:t>
            </w:r>
            <w:r>
              <w:br/>
            </w:r>
            <w:r>
              <w:rPr>
                <w:sz w:val="21"/>
              </w:rPr>
              <w:t>支持个人信息管理、个人消息、个人安全设置、个人数字资产管理等功能，其中个人或组织的</w:t>
            </w:r>
            <w:r>
              <w:rPr>
                <w:sz w:val="21"/>
              </w:rPr>
              <w:t>3D虚拟仿真内容数字资产及相关配套信息，可支持删、改、查等编辑功能。</w:t>
            </w:r>
            <w:r>
              <w:br/>
            </w:r>
            <w:r>
              <w:rPr>
                <w:sz w:val="21"/>
              </w:rPr>
              <w:t>5、检索功能</w:t>
            </w:r>
            <w:r>
              <w:br/>
            </w:r>
            <w:r>
              <w:rPr>
                <w:sz w:val="21"/>
              </w:rPr>
              <w:t>系统支持检索功能，用户可根据需求通过关键词对相关内容进行检索、查询。</w:t>
            </w:r>
            <w:r>
              <w:br/>
            </w:r>
            <w:r>
              <w:rPr>
                <w:sz w:val="21"/>
              </w:rPr>
              <w:t>6、3D虚拟仿真数字内容的支持</w:t>
            </w:r>
            <w:r>
              <w:br/>
            </w:r>
            <w:r>
              <w:rPr>
                <w:sz w:val="21"/>
              </w:rPr>
              <w:t>系统中所提供展示的虚拟仿真数字内容，均支持虚拟仿真</w:t>
            </w:r>
            <w:r>
              <w:rPr>
                <w:sz w:val="21"/>
              </w:rPr>
              <w:t>3D数据的下载，并支持对接3Ds Max、Maya、Blender、C4D、Unity3D、Unreal、Twinmotion等引擎用于深度编辑。</w:t>
            </w:r>
            <w:r>
              <w:br/>
            </w:r>
            <w:r>
              <w:rPr>
                <w:sz w:val="21"/>
              </w:rPr>
              <w:t>▲7、 3D虚拟仿真数字内容的跨平台分发</w:t>
            </w:r>
            <w:r>
              <w:br/>
            </w:r>
            <w:r>
              <w:rPr>
                <w:sz w:val="21"/>
              </w:rPr>
              <w:t>系统中的</w:t>
            </w:r>
            <w:r>
              <w:rPr>
                <w:sz w:val="21"/>
              </w:rPr>
              <w:t>3D虚拟仿真数据内容均可搭配移动端应用，进行内容数据的同步并分发，并支持自动外链与相关资产独立二维码的生成用于网络分发与分享展示。</w:t>
            </w:r>
          </w:p>
        </w:tc>
      </w:tr>
      <w:tr>
        <w:tc>
          <w:tcPr>
            <w:tcW w:type="dxa" w:w="2076"/>
          </w:tcPr>
          <w:p/>
        </w:tc>
        <w:tc>
          <w:tcPr>
            <w:tcW w:type="dxa" w:w="415"/>
          </w:tcPr>
          <w:p>
            <w:r>
              <w:rPr/>
              <w:t>2</w:t>
            </w:r>
          </w:p>
        </w:tc>
        <w:tc>
          <w:tcPr>
            <w:tcW w:type="dxa" w:w="5814"/>
          </w:tcPr>
          <w:p>
            <w:pPr>
              <w:jc w:val="left"/>
            </w:pPr>
            <w:r>
              <w:rPr>
                <w:sz w:val="21"/>
              </w:rPr>
              <w:t>动画交互模块</w:t>
            </w:r>
          </w:p>
          <w:p>
            <w:pPr>
              <w:jc w:val="both"/>
            </w:pPr>
            <w:r>
              <w:rPr>
                <w:sz w:val="21"/>
              </w:rPr>
              <w:t>1、功能描述：动画编辑交互模块主要用于创建和编辑虚拟环境中的动画效果。用户可以通过该模块为虚拟物体添加各种动画效果，如位置、旋转、缩放等，以实现更加丰富的视觉效果。</w:t>
            </w:r>
            <w:r>
              <w:br/>
            </w:r>
            <w:r>
              <w:rPr>
                <w:sz w:val="21"/>
              </w:rPr>
              <w:t>2、功能特点：</w:t>
            </w:r>
            <w:r>
              <w:br/>
            </w:r>
            <w:r>
              <w:rPr>
                <w:sz w:val="21"/>
              </w:rPr>
              <w:t>（</w:t>
            </w:r>
            <w:r>
              <w:rPr>
                <w:sz w:val="21"/>
              </w:rPr>
              <w:t>1）提供丰富的动画效果库，包括基本的运动、变形、透明度等动画效果。</w:t>
            </w:r>
            <w:r>
              <w:br/>
            </w:r>
            <w:r>
              <w:rPr>
                <w:sz w:val="21"/>
              </w:rPr>
              <w:t>（</w:t>
            </w:r>
            <w:r>
              <w:rPr>
                <w:sz w:val="21"/>
              </w:rPr>
              <w:t>2）支持自定义动画效果，用户可以将现有动画效果进行修改或组合，创造出全新的动画效果。</w:t>
            </w:r>
            <w:r>
              <w:br/>
            </w:r>
            <w:r>
              <w:rPr>
                <w:sz w:val="21"/>
              </w:rPr>
              <w:t>（</w:t>
            </w:r>
            <w:r>
              <w:rPr>
                <w:sz w:val="21"/>
              </w:rPr>
              <w:t>3）支持多种动画时间线控制方式，如关键帧动画、曲线编辑器等。</w:t>
            </w:r>
            <w:r>
              <w:br/>
            </w:r>
            <w:r>
              <w:rPr>
                <w:sz w:val="21"/>
              </w:rPr>
              <w:t>（</w:t>
            </w:r>
            <w:r>
              <w:rPr>
                <w:sz w:val="21"/>
              </w:rPr>
              <w:t>4）支持实时预览，用户可以随时查看当前编辑的动画效果。</w:t>
            </w:r>
            <w:r>
              <w:br/>
            </w:r>
            <w:r>
              <w:rPr>
                <w:sz w:val="21"/>
              </w:rPr>
              <w:t>（</w:t>
            </w:r>
            <w:r>
              <w:rPr>
                <w:sz w:val="21"/>
              </w:rPr>
              <w:t>5）支持导出动画效果文件，方便用户在其他项目中使用。</w:t>
            </w:r>
            <w:r>
              <w:br/>
            </w:r>
            <w:r>
              <w:rPr>
                <w:sz w:val="21"/>
              </w:rPr>
              <w:t>（</w:t>
            </w:r>
            <w:r>
              <w:rPr>
                <w:sz w:val="21"/>
              </w:rPr>
              <w:t>6）支持全局坐标系和物体局部坐标系，可动态显示坐标系坐标轴，支持尺寸及缩放联动功能，实时显示缩放后的实际尺寸。</w:t>
            </w:r>
            <w:r>
              <w:br/>
            </w:r>
            <w:r>
              <w:rPr>
                <w:sz w:val="21"/>
              </w:rPr>
              <w:t>（</w:t>
            </w:r>
            <w:r>
              <w:rPr>
                <w:sz w:val="21"/>
              </w:rPr>
              <w:t>7）支持相机特效，可视化调节整体场景的光强度，色彩对比对度及抗锯齿锐化程度。</w:t>
            </w:r>
            <w:r>
              <w:br/>
            </w:r>
            <w:r>
              <w:rPr>
                <w:sz w:val="21"/>
              </w:rPr>
              <w:t>（</w:t>
            </w:r>
            <w:r>
              <w:rPr>
                <w:sz w:val="21"/>
              </w:rPr>
              <w:t>8）内置高级场景优化：支持遮挡剔除、视锥剔除、延迟渲染、着色器渲染、支持大型模型的智能优化。</w:t>
            </w:r>
            <w:r>
              <w:br/>
            </w:r>
            <w:r>
              <w:rPr>
                <w:sz w:val="21"/>
              </w:rPr>
              <w:t>（</w:t>
            </w:r>
            <w:r>
              <w:rPr>
                <w:sz w:val="21"/>
              </w:rPr>
              <w:t>9）支持序列面板列表式顺序逻辑串联，支持逻辑事件同步触发运行、反复触发运行、并行触发运行及自动触发运行，支持设置事件的运行时间及等待触发的时间。</w:t>
            </w:r>
            <w:r>
              <w:br/>
            </w:r>
            <w:r>
              <w:rPr>
                <w:sz w:val="21"/>
              </w:rPr>
              <w:t>（</w:t>
            </w:r>
            <w:r>
              <w:rPr>
                <w:sz w:val="21"/>
              </w:rPr>
              <w:t>10）内嵌脚本和函数功能,支持变量和逻辑判断,可以对三维场景进行各种控制和交互。</w:t>
            </w:r>
            <w:r>
              <w:br/>
            </w:r>
            <w:r>
              <w:rPr>
                <w:sz w:val="21"/>
              </w:rPr>
              <w:t>（</w:t>
            </w:r>
            <w:r>
              <w:rPr>
                <w:sz w:val="21"/>
              </w:rPr>
              <w:t>11）支持全景图，支持动态切换全景图，支持全景图触发跳转，支持天空盒全景图和小型包落式全景图。</w:t>
            </w:r>
            <w:r>
              <w:br/>
            </w:r>
            <w:r>
              <w:rPr>
                <w:sz w:val="21"/>
              </w:rPr>
              <w:t>（</w:t>
            </w:r>
            <w:r>
              <w:rPr>
                <w:sz w:val="21"/>
              </w:rPr>
              <w:t>12）实时渲染: 可渲染达500万面三角形三维文件。</w:t>
            </w:r>
          </w:p>
        </w:tc>
      </w:tr>
      <w:tr>
        <w:tc>
          <w:tcPr>
            <w:tcW w:type="dxa" w:w="2076"/>
          </w:tcPr>
          <w:p/>
        </w:tc>
        <w:tc>
          <w:tcPr>
            <w:tcW w:type="dxa" w:w="415"/>
          </w:tcPr>
          <w:p>
            <w:r>
              <w:rPr/>
              <w:t>3</w:t>
            </w:r>
          </w:p>
        </w:tc>
        <w:tc>
          <w:tcPr>
            <w:tcW w:type="dxa" w:w="5814"/>
          </w:tcPr>
          <w:p>
            <w:pPr>
              <w:jc w:val="left"/>
            </w:pPr>
            <w:r>
              <w:rPr>
                <w:sz w:val="21"/>
              </w:rPr>
              <w:t>跨平台分发模块</w:t>
            </w:r>
          </w:p>
          <w:p>
            <w:pPr>
              <w:jc w:val="both"/>
            </w:pPr>
            <w:r>
              <w:rPr>
                <w:sz w:val="21"/>
              </w:rPr>
              <w:t>1、功能描述：跨平台分发模块主要用于将虚拟仿真编辑器生成的虚拟环境部署到不同的平台和设备上。用户可以根据需要选择不同的平台和设备，如PC、手机、平板、VR设备等。</w:t>
            </w:r>
            <w:r>
              <w:br/>
            </w:r>
            <w:r>
              <w:rPr>
                <w:sz w:val="21"/>
              </w:rPr>
              <w:t>2、功能特点：</w:t>
            </w:r>
            <w:r>
              <w:br/>
            </w:r>
            <w:r>
              <w:rPr>
                <w:sz w:val="21"/>
              </w:rPr>
              <w:t>（</w:t>
            </w:r>
            <w:r>
              <w:rPr>
                <w:sz w:val="21"/>
              </w:rPr>
              <w:t>1）支持 3dmax,Maya,Revit,支持fbx、gltf、glb、obj、stl、ply、3mf、zip等多种常用文件格式的导入。资源管理工具可以支持批量导入导出资源，导出的资源采用高精度的加密算法，在保留原始资源格式的前提下可确保除本编辑器外的其他工具均不能进行识别编辑，保证资源的安全性.</w:t>
            </w:r>
            <w:r>
              <w:br/>
            </w:r>
            <w:r>
              <w:rPr>
                <w:sz w:val="21"/>
              </w:rPr>
              <w:t>（</w:t>
            </w:r>
            <w:r>
              <w:rPr>
                <w:sz w:val="21"/>
              </w:rPr>
              <w:t>2）一键支持虚拟现实头盔Oculus、Pico、HTC View等头显设备。</w:t>
            </w:r>
            <w:r>
              <w:br/>
            </w:r>
            <w:r>
              <w:rPr>
                <w:sz w:val="21"/>
              </w:rPr>
              <w:t>（</w:t>
            </w:r>
            <w:r>
              <w:rPr>
                <w:sz w:val="21"/>
              </w:rPr>
              <w:t>3）支持多种操作系统，如Windows、macOS、Linux等。</w:t>
            </w:r>
            <w:r>
              <w:br/>
            </w:r>
            <w:r>
              <w:rPr>
                <w:sz w:val="21"/>
              </w:rPr>
              <w:t>（</w:t>
            </w:r>
            <w:r>
              <w:rPr>
                <w:sz w:val="21"/>
              </w:rPr>
              <w:t>4）支持多种设备平台，如Android、iOS、Windows Phone等。</w:t>
            </w:r>
            <w:r>
              <w:br/>
            </w:r>
            <w:r>
              <w:rPr>
                <w:sz w:val="21"/>
              </w:rPr>
              <w:t>（</w:t>
            </w:r>
            <w:r>
              <w:rPr>
                <w:sz w:val="21"/>
              </w:rPr>
              <w:t>5）支持多种分辨率适配，确保在不同设备上的显示效果一致。</w:t>
            </w:r>
            <w:r>
              <w:br/>
            </w:r>
            <w:r>
              <w:rPr>
                <w:sz w:val="21"/>
              </w:rPr>
              <w:t>（</w:t>
            </w:r>
            <w:r>
              <w:rPr>
                <w:sz w:val="21"/>
              </w:rPr>
              <w:t>6）支持与实训管理系统无缝对接，一键上传、分享、管理。</w:t>
            </w:r>
          </w:p>
        </w:tc>
      </w:tr>
      <w:tr>
        <w:tc>
          <w:tcPr>
            <w:tcW w:type="dxa" w:w="2076"/>
          </w:tcPr>
          <w:p/>
        </w:tc>
        <w:tc>
          <w:tcPr>
            <w:tcW w:type="dxa" w:w="415"/>
          </w:tcPr>
          <w:p>
            <w:r>
              <w:rPr/>
              <w:t>4</w:t>
            </w:r>
          </w:p>
        </w:tc>
        <w:tc>
          <w:tcPr>
            <w:tcW w:type="dxa" w:w="5814"/>
          </w:tcPr>
          <w:p>
            <w:pPr>
              <w:jc w:val="left"/>
            </w:pPr>
            <w:r>
              <w:rPr>
                <w:sz w:val="21"/>
              </w:rPr>
              <w:t>手势算法控制模块</w:t>
            </w:r>
          </w:p>
          <w:p>
            <w:pPr>
              <w:jc w:val="both"/>
            </w:pPr>
            <w:r>
              <w:rPr>
                <w:sz w:val="21"/>
              </w:rPr>
              <w:t>1、功能描述：手势算法控制模块主要用于捕捉用户的手势动作，并将其转换为虚拟环境中的操作指令。用户可以通过手势来操作虚拟环境中的物体，实现更加直观和自然的交互方式。</w:t>
            </w:r>
            <w:r>
              <w:br/>
            </w:r>
            <w:r>
              <w:rPr>
                <w:sz w:val="21"/>
              </w:rPr>
              <w:t>2、功能特点：</w:t>
            </w:r>
            <w:r>
              <w:br/>
            </w:r>
            <w:r>
              <w:rPr>
                <w:sz w:val="21"/>
              </w:rPr>
              <w:t>（</w:t>
            </w:r>
            <w:r>
              <w:rPr>
                <w:sz w:val="21"/>
              </w:rPr>
              <w:t>1）支持多种手势识别算法，如Kinect、LeapMotion等。</w:t>
            </w:r>
            <w:r>
              <w:br/>
            </w:r>
            <w:r>
              <w:rPr>
                <w:sz w:val="21"/>
              </w:rPr>
              <w:t>（</w:t>
            </w:r>
            <w:r>
              <w:rPr>
                <w:sz w:val="21"/>
              </w:rPr>
              <w:t>2）提供手势识别与跟踪功能，实时捕捉用户的手势动作。</w:t>
            </w:r>
            <w:r>
              <w:br/>
            </w:r>
            <w:r>
              <w:rPr>
                <w:sz w:val="21"/>
              </w:rPr>
              <w:t>（</w:t>
            </w:r>
            <w:r>
              <w:rPr>
                <w:sz w:val="21"/>
              </w:rPr>
              <w:t>3）将手势动作转换为虚拟环境中的操作指令，如点击、拖拽、旋转等。</w:t>
            </w:r>
            <w:r>
              <w:br/>
            </w:r>
            <w:r>
              <w:rPr>
                <w:sz w:val="21"/>
              </w:rPr>
              <w:t>（</w:t>
            </w:r>
            <w:r>
              <w:rPr>
                <w:sz w:val="21"/>
              </w:rPr>
              <w:t>4）支持自定义手势操作规则，用户可以设置特定的手势触发特定的操作。</w:t>
            </w:r>
            <w:r>
              <w:br/>
            </w:r>
            <w:r>
              <w:rPr>
                <w:sz w:val="21"/>
              </w:rPr>
              <w:t>（</w:t>
            </w:r>
            <w:r>
              <w:rPr>
                <w:sz w:val="21"/>
              </w:rPr>
              <w:t>5）支持多人协同编辑，多个用户可以同时在同一虚拟环境中进行手势交互。</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智能制造单元三维数字化（三维模型-UI设计-动画模拟-交互功能）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智能制造单元</w:t>
            </w:r>
            <w:r>
              <w:rPr>
                <w:sz w:val="21"/>
              </w:rPr>
              <w:t>-机器人</w:t>
            </w:r>
          </w:p>
          <w:p>
            <w:pPr>
              <w:jc w:val="left"/>
            </w:pPr>
            <w:r>
              <w:rPr>
                <w:sz w:val="21"/>
              </w:rPr>
              <w:t>一、</w:t>
            </w:r>
            <w:r>
              <w:rPr>
                <w:sz w:val="21"/>
              </w:rPr>
              <w:t>三维模型</w:t>
            </w:r>
          </w:p>
          <w:p>
            <w:pPr>
              <w:jc w:val="left"/>
            </w:pPr>
            <w:r>
              <w:rPr>
                <w:sz w:val="21"/>
              </w:rPr>
              <w:t>（一）技术要求</w:t>
            </w:r>
            <w:r>
              <w:br/>
            </w:r>
            <w:r>
              <w:rPr>
                <w:sz w:val="21"/>
              </w:rPr>
              <w:t>1、智能制造单元场景采用Polygon多边形建模，其中包含3D数字模型及配套的数字贴图文件。</w:t>
            </w:r>
            <w:r>
              <w:br/>
            </w:r>
            <w:r>
              <w:rPr>
                <w:sz w:val="21"/>
              </w:rPr>
              <w:t>2、智能制造单元场景中的模型采用基于PBR（Physically-Based Rendering）类型材质属性并不少于3通道类型贴图数据分别为Albedo、Normal、Roughness。</w:t>
            </w:r>
            <w:r>
              <w:br/>
            </w:r>
            <w:r>
              <w:rPr>
                <w:sz w:val="21"/>
              </w:rPr>
              <w:t>3、所有智能制造单元场景中的模型具备可扩展性，支持二次编辑，可对接Unreal、Unity3D、3DsMax、Maya、Blender、Twinmotion等软件及引擎。</w:t>
            </w:r>
            <w:r>
              <w:br/>
            </w:r>
            <w:r>
              <w:rPr>
                <w:sz w:val="21"/>
              </w:rPr>
              <w:t>▲4、智能制造单元场景中的模型文件格式为Glb与FBX，其中FBX文件包中需包含对应的贴图数据文件。</w:t>
            </w:r>
            <w:r>
              <w:br/>
            </w:r>
            <w:r>
              <w:rPr>
                <w:sz w:val="21"/>
              </w:rPr>
              <w:t>5、智能制造单元场景中的模型可支持对接智能制造数字资产管理系统或同类型实时渲染系统进行分发与展示交互。（提供对应功能页面截图）</w:t>
            </w:r>
            <w:r>
              <w:br/>
            </w:r>
            <w:r>
              <w:rPr>
                <w:sz w:val="21"/>
              </w:rPr>
              <w:t>6、智能制造单元场景中的模型中需包含对应展开的UVW信息。</w:t>
            </w:r>
            <w:r>
              <w:br/>
            </w:r>
            <w:r>
              <w:rPr>
                <w:sz w:val="21"/>
              </w:rPr>
              <w:t>7、内容中涉及其任何功能、技术或服务不侵犯第三方知识产权。</w:t>
            </w:r>
            <w:r>
              <w:br/>
            </w:r>
            <w:r>
              <w:rPr>
                <w:sz w:val="21"/>
              </w:rPr>
              <w:t>（二）服务要求</w:t>
            </w:r>
            <w:r>
              <w:br/>
            </w:r>
            <w:r>
              <w:rPr>
                <w:sz w:val="21"/>
              </w:rPr>
              <w:t>提供</w:t>
            </w:r>
            <w:r>
              <w:rPr>
                <w:sz w:val="21"/>
              </w:rPr>
              <w:t>3年服务与3年免费质保期，质保期内提供7×24小时实时技术支持、应用系统标准功能升级和功能完善等。对于技术咨询应在8小时内提出解决方案。遇到重大技术问题，及时组织有关技术专家进行会诊，并在48小时内解决，如未解决需提供可替代解决方案，以确保系统正常运行。</w:t>
            </w:r>
            <w:r>
              <w:br/>
            </w:r>
            <w:r>
              <w:rPr>
                <w:sz w:val="21"/>
              </w:rPr>
              <w:t>（三）内容要求</w:t>
            </w:r>
            <w:r>
              <w:br/>
            </w:r>
            <w:r>
              <w:rPr>
                <w:sz w:val="21"/>
              </w:rPr>
              <w:t>1、完成智能制造单元工业机器人三维模型。</w:t>
            </w:r>
            <w:r>
              <w:br/>
            </w:r>
            <w:r>
              <w:rPr>
                <w:sz w:val="21"/>
              </w:rPr>
              <w:t>2、3D模型应对比实体参照物≥90%的还原精度，以确保虚拟仿真的准确性和可靠性。这需要对物体形状、尺寸、颜色等特征进行精细的建模和贴图，达到几乎与真实世界情况一样的效果。</w:t>
            </w:r>
            <w:r>
              <w:br/>
            </w:r>
            <w:r>
              <w:rPr>
                <w:sz w:val="21"/>
              </w:rPr>
              <w:t>（四）交付要求</w:t>
            </w:r>
            <w:r>
              <w:br/>
            </w:r>
            <w:r>
              <w:rPr>
                <w:sz w:val="21"/>
              </w:rPr>
              <w:t>1、在合同签订后规定的时间内投标人以电子文件形式完成模型的交付，包含：3D数字模型及配套的数字贴图文件；提供模型的源文件支持用户进行二次编辑。</w:t>
            </w:r>
            <w:r>
              <w:br/>
            </w:r>
            <w:r>
              <w:rPr>
                <w:sz w:val="21"/>
              </w:rPr>
              <w:t>2、投标人提供必要的技术手册，以便用户操作和使用模型。</w:t>
            </w:r>
          </w:p>
          <w:p>
            <w:pPr>
              <w:jc w:val="left"/>
            </w:pPr>
          </w:p>
          <w:p>
            <w:pPr>
              <w:jc w:val="left"/>
            </w:pPr>
            <w:r>
              <w:rPr>
                <w:sz w:val="21"/>
              </w:rPr>
              <w:t>二、</w:t>
            </w:r>
            <w:r>
              <w:rPr>
                <w:sz w:val="21"/>
              </w:rPr>
              <w:t>UI设计</w:t>
            </w:r>
          </w:p>
          <w:p>
            <w:pPr>
              <w:jc w:val="left"/>
            </w:pPr>
            <w:r>
              <w:rPr>
                <w:sz w:val="21"/>
              </w:rPr>
              <w:t>（一）基本要求</w:t>
            </w:r>
            <w:r>
              <w:br/>
            </w:r>
            <w:r>
              <w:rPr>
                <w:sz w:val="21"/>
              </w:rPr>
              <w:t>1、UI界面设计应保持简洁，避免过多的视觉元素和复杂的设计。每个界面上的元素都应该有明确的功能和用途，以减少用户的困惑和提高工作效率。</w:t>
            </w:r>
            <w:r>
              <w:br/>
            </w:r>
            <w:r>
              <w:rPr>
                <w:sz w:val="21"/>
              </w:rPr>
              <w:t>2、UI设计应具有较高的易用性，以降低用户的学习成本和操作难度。所有界面应直观易懂，快捷键和命令应明确标示，并提供足够的反馈以确认操作是否成功。</w:t>
            </w:r>
            <w:r>
              <w:br/>
            </w:r>
            <w:r>
              <w:rPr>
                <w:sz w:val="21"/>
              </w:rPr>
              <w:t>3、UI设计应具有良好的美观性，以提供愉悦的用户体验。这包括但不限于合适的色彩搭配、清晰的字体和图标、以及符合用户习惯的布局。</w:t>
            </w:r>
            <w:r>
              <w:br/>
            </w:r>
            <w:r>
              <w:rPr>
                <w:sz w:val="21"/>
              </w:rPr>
              <w:t>4、UI设计应充分考虑用户的需求和使用习惯，以便提供个性化的用户体验。可以提供多种语言选项，根据用户的习惯自动调整界面布局。</w:t>
            </w:r>
            <w:r>
              <w:br/>
            </w:r>
            <w:r>
              <w:rPr>
                <w:sz w:val="21"/>
              </w:rPr>
              <w:t>5、UI设计应具有良好的交互性，以支持用户与系统的实时互动。</w:t>
            </w:r>
            <w:r>
              <w:br/>
            </w:r>
            <w:r>
              <w:rPr>
                <w:sz w:val="21"/>
              </w:rPr>
              <w:t>6、UI设计应具有良好的兼容性，以确保在各种设备和操作系统上都能正常运行。</w:t>
            </w:r>
            <w:r>
              <w:br/>
            </w:r>
            <w:r>
              <w:rPr>
                <w:sz w:val="21"/>
              </w:rPr>
              <w:t>7、UI设计应具有可扩展性，以满足未来的功能扩展和升级需求。</w:t>
            </w:r>
            <w:r>
              <w:br/>
            </w:r>
            <w:r>
              <w:rPr>
                <w:sz w:val="21"/>
              </w:rPr>
              <w:t>8、投标人应提供全面的技术支持，包括但不限于UI设计的实现、测试、优化，以及用户手册和技术文档的编写。</w:t>
            </w:r>
            <w:r>
              <w:br/>
            </w:r>
            <w:r>
              <w:rPr>
                <w:sz w:val="21"/>
              </w:rPr>
              <w:t>（二）内容要求</w:t>
            </w:r>
            <w:r>
              <w:br/>
            </w:r>
            <w:r>
              <w:rPr>
                <w:sz w:val="21"/>
              </w:rPr>
              <w:t>UI界面设计贴合智能制造单元场景需求，能够根据不同的制造流程和设备进行设计，以提供更加高效、便捷和直观的操作体验。</w:t>
            </w:r>
            <w:r>
              <w:br/>
            </w:r>
            <w:r>
              <w:rPr>
                <w:sz w:val="21"/>
              </w:rPr>
              <w:t>（三）交付要求</w:t>
            </w:r>
            <w:r>
              <w:br/>
            </w:r>
            <w:r>
              <w:rPr>
                <w:sz w:val="21"/>
              </w:rPr>
              <w:t>1、在合同签订后规定的时间内投标人完成UI界面的设计并提交交付物。</w:t>
            </w:r>
            <w:r>
              <w:br/>
            </w:r>
            <w:r>
              <w:rPr>
                <w:sz w:val="21"/>
              </w:rPr>
              <w:t>2、交付物应包括但不限于UI设计原稿、相关文档、使用手册和安装说明等。</w:t>
            </w:r>
          </w:p>
          <w:p>
            <w:pPr>
              <w:jc w:val="left"/>
            </w:pPr>
          </w:p>
          <w:p>
            <w:pPr>
              <w:jc w:val="left"/>
            </w:pPr>
            <w:r>
              <w:rPr>
                <w:sz w:val="21"/>
              </w:rPr>
              <w:t>三、动画模拟</w:t>
            </w:r>
          </w:p>
          <w:p>
            <w:pPr>
              <w:jc w:val="left"/>
            </w:pPr>
            <w:r>
              <w:rPr>
                <w:sz w:val="21"/>
              </w:rPr>
              <w:t>（一）基本要求</w:t>
            </w:r>
            <w:r>
              <w:br/>
            </w:r>
            <w:r>
              <w:rPr>
                <w:sz w:val="21"/>
              </w:rPr>
              <w:t>1、内容符合我国法律法规，尊重民族风俗习惯，不存在版权争议，一个动画完成一个独立设备（装置）的展示，或一个知识点原理、流程的剖析，以动画方式展示工作原理和流程。</w:t>
            </w:r>
            <w:r>
              <w:br/>
            </w:r>
            <w:r>
              <w:rPr>
                <w:sz w:val="21"/>
              </w:rPr>
              <w:t>2、情节合情合理，能够帮助学员理解课程内容；动画表现细腻。</w:t>
            </w:r>
            <w:r>
              <w:br/>
            </w:r>
            <w:r>
              <w:rPr>
                <w:sz w:val="21"/>
              </w:rPr>
              <w:t>3、动画连续性强、节奏合适，帧和帧之间有较强的关联性。</w:t>
            </w:r>
            <w:r>
              <w:br/>
            </w:r>
            <w:r>
              <w:rPr>
                <w:sz w:val="21"/>
              </w:rPr>
              <w:t>4、情节合情合理，能够帮助学员理解课程内容；动画表现细腻。</w:t>
            </w:r>
            <w:r>
              <w:br/>
            </w:r>
            <w:r>
              <w:rPr>
                <w:sz w:val="21"/>
              </w:rPr>
              <w:t>（二）内容要求</w:t>
            </w:r>
            <w:r>
              <w:br/>
            </w:r>
            <w:r>
              <w:rPr>
                <w:sz w:val="21"/>
              </w:rPr>
              <w:t>包含以下内容：机器人抓取；工业机器人运动（回原点，</w:t>
            </w:r>
            <w:r>
              <w:rPr>
                <w:sz w:val="21"/>
              </w:rPr>
              <w:t>1轴、2轴、3轴、4轴、5轴、6轴分别可以正负在运动范围内运动）。</w:t>
            </w:r>
            <w:r>
              <w:br/>
            </w:r>
            <w:r>
              <w:rPr>
                <w:sz w:val="21"/>
              </w:rPr>
              <w:t>（三）格式要求</w:t>
            </w:r>
            <w:r>
              <w:br/>
            </w:r>
            <w:r>
              <w:rPr>
                <w:sz w:val="21"/>
              </w:rPr>
              <w:t>1、动画帧率决定了动画的流畅度和动态效果。动画应平滑、连贯，无卡顿、抖动现象。所有动画帧率应在≥25fps，以保证良好的观看体验。</w:t>
            </w:r>
            <w:r>
              <w:br/>
            </w:r>
            <w:r>
              <w:rPr>
                <w:sz w:val="21"/>
              </w:rPr>
              <w:t>2、动画时长：动画的时长应根据实际的生产流程来确定。每个设备的动画时长≥10秒。</w:t>
            </w:r>
            <w:r>
              <w:br/>
            </w:r>
            <w:r>
              <w:rPr>
                <w:sz w:val="21"/>
              </w:rPr>
              <w:t>（四）效果要求</w:t>
            </w:r>
            <w:r>
              <w:br/>
            </w:r>
            <w:r>
              <w:rPr>
                <w:sz w:val="21"/>
              </w:rPr>
              <w:t>1、动画应能模拟实际设备的运行效果，包括但不限于设备的移动、旋转、启动和停止等动作。其模拟的准确度应达到实际动作的90%以上。</w:t>
            </w:r>
            <w:r>
              <w:br/>
            </w:r>
            <w:r>
              <w:rPr>
                <w:sz w:val="21"/>
              </w:rPr>
              <w:t>2、动画应能模拟实际物体的物理特性，如重力、碰撞等。物体在移动和碰撞时，应产生相应的物理效果，以增强模拟的真实感。</w:t>
            </w:r>
            <w:r>
              <w:br/>
            </w:r>
            <w:r>
              <w:rPr>
                <w:sz w:val="21"/>
              </w:rPr>
              <w:t>3、动画应具有高质量的视觉效果，包括但不限于光照、阴影、纹理等。光照应能模拟实际环境的光照效果，阴影应能根据光照的角度和方向产生相应的阴影，纹理应能准确反映物体的实际外观。</w:t>
            </w:r>
            <w:r>
              <w:br/>
            </w:r>
            <w:r>
              <w:rPr>
                <w:sz w:val="21"/>
              </w:rPr>
              <w:t>（五）交付要求</w:t>
            </w:r>
            <w:r>
              <w:br/>
            </w:r>
            <w:r>
              <w:rPr>
                <w:sz w:val="21"/>
              </w:rPr>
              <w:t>1、在合同签订后规定的时间内投标人应以电子文件的形式提交，并确保动画能够在指定的3D设计软件或引擎中打开和运行。</w:t>
            </w:r>
            <w:r>
              <w:br/>
            </w:r>
            <w:r>
              <w:rPr>
                <w:sz w:val="21"/>
              </w:rPr>
              <w:t>2、投标人应提供相对应的操作指南和技术手册，以便用户自行使用。</w:t>
            </w:r>
          </w:p>
          <w:p>
            <w:pPr>
              <w:jc w:val="left"/>
            </w:pPr>
          </w:p>
          <w:p>
            <w:pPr>
              <w:jc w:val="left"/>
            </w:pPr>
            <w:r>
              <w:rPr>
                <w:sz w:val="21"/>
              </w:rPr>
              <w:t>四、交互功能</w:t>
            </w:r>
          </w:p>
          <w:p>
            <w:pPr>
              <w:jc w:val="both"/>
            </w:pPr>
            <w:r>
              <w:rPr>
                <w:sz w:val="21"/>
              </w:rPr>
              <w:t>（一）基本要求</w:t>
            </w:r>
            <w:r>
              <w:br/>
            </w:r>
            <w:r>
              <w:rPr>
                <w:sz w:val="21"/>
              </w:rPr>
              <w:t>1、模块操作简易，能够帮助用户轻松实现与智能制造中心进行交互。</w:t>
            </w:r>
            <w:r>
              <w:br/>
            </w:r>
            <w:r>
              <w:rPr>
                <w:sz w:val="21"/>
              </w:rPr>
              <w:t>2、具备用户友好的交互界面，以便用户能够便捷地进行操作和控制。</w:t>
            </w:r>
            <w:r>
              <w:br/>
            </w:r>
            <w:r>
              <w:rPr>
                <w:sz w:val="21"/>
              </w:rPr>
              <w:t>3、具有良好的系统稳定性，能在各种复杂的环境和负载条件下稳定运行。</w:t>
            </w:r>
            <w:r>
              <w:br/>
            </w:r>
            <w:r>
              <w:rPr>
                <w:sz w:val="21"/>
              </w:rPr>
              <w:t>4、具有良好的可扩展性，以便于未来功能的扩展和升级。</w:t>
            </w:r>
            <w:r>
              <w:br/>
            </w:r>
            <w:r>
              <w:rPr>
                <w:sz w:val="21"/>
              </w:rPr>
              <w:t>（二）技术要求</w:t>
            </w:r>
            <w:r>
              <w:br/>
            </w:r>
            <w:r>
              <w:rPr>
                <w:sz w:val="21"/>
              </w:rPr>
              <w:t>支持多种输入设备，如鼠标、键盘、手柄等，以便于用户进行操作。</w:t>
            </w:r>
            <w:r>
              <w:br/>
            </w:r>
            <w:r>
              <w:rPr>
                <w:sz w:val="21"/>
              </w:rPr>
              <w:t>（三）功能要求</w:t>
            </w:r>
            <w:r>
              <w:br/>
            </w:r>
            <w:r>
              <w:rPr>
                <w:sz w:val="21"/>
              </w:rPr>
              <w:t>模块具备动画控制能力，应支持动画的播放、暂停、循环等功能，方便用户进行观察和学习。</w:t>
            </w:r>
            <w:r>
              <w:br/>
            </w:r>
            <w:r>
              <w:rPr>
                <w:sz w:val="21"/>
              </w:rPr>
              <w:t>（四）交付要求</w:t>
            </w:r>
            <w:r>
              <w:br/>
            </w:r>
            <w:r>
              <w:rPr>
                <w:sz w:val="21"/>
              </w:rPr>
              <w:t>1、在合同签订后规定的时间内投标人应以完成交互功能的交付，并且完成部署。</w:t>
            </w:r>
            <w:r>
              <w:br/>
            </w:r>
            <w:r>
              <w:rPr>
                <w:sz w:val="21"/>
              </w:rPr>
              <w:t>2、投标人应提供详细的技术文档。</w:t>
            </w:r>
            <w:r>
              <w:br/>
            </w:r>
            <w:r>
              <w:rPr>
                <w:sz w:val="21"/>
              </w:rPr>
              <w:t>3、交付的功能模块应通过一系列的测试，包括功能测试、稳定性测试等，以确保模块的质量。</w:t>
            </w:r>
          </w:p>
        </w:tc>
      </w:tr>
      <w:tr>
        <w:tc>
          <w:tcPr>
            <w:tcW w:type="dxa" w:w="2076"/>
          </w:tcPr>
          <w:p/>
        </w:tc>
        <w:tc>
          <w:tcPr>
            <w:tcW w:type="dxa" w:w="415"/>
          </w:tcPr>
          <w:p>
            <w:r>
              <w:rPr/>
              <w:t>2</w:t>
            </w:r>
          </w:p>
        </w:tc>
        <w:tc>
          <w:tcPr>
            <w:tcW w:type="dxa" w:w="5814"/>
          </w:tcPr>
          <w:p>
            <w:pPr>
              <w:jc w:val="left"/>
            </w:pPr>
            <w:r>
              <w:rPr>
                <w:sz w:val="21"/>
              </w:rPr>
              <w:t>智能制造单元</w:t>
            </w:r>
            <w:r>
              <w:rPr>
                <w:sz w:val="21"/>
              </w:rPr>
              <w:t>-加工中心</w:t>
            </w:r>
          </w:p>
          <w:p>
            <w:pPr>
              <w:jc w:val="left"/>
            </w:pPr>
            <w:r>
              <w:rPr>
                <w:sz w:val="21"/>
              </w:rPr>
              <w:t>一、三维模型</w:t>
            </w:r>
          </w:p>
          <w:p>
            <w:pPr>
              <w:jc w:val="left"/>
            </w:pPr>
            <w:r>
              <w:rPr>
                <w:sz w:val="21"/>
              </w:rPr>
              <w:t>（一）技术要求</w:t>
            </w:r>
            <w:r>
              <w:br/>
            </w:r>
            <w:r>
              <w:rPr>
                <w:sz w:val="21"/>
              </w:rPr>
              <w:t>1、智能制造单元场景采用Polygon多边形建模，其中包含3D数字模型及配套的数字贴图文件。</w:t>
            </w:r>
            <w:r>
              <w:br/>
            </w:r>
            <w:r>
              <w:rPr>
                <w:sz w:val="21"/>
              </w:rPr>
              <w:t>2、智能制造单元场景中的模型采用基于PBR（Physically-Based Rendering）类型材质属性并不少于3通道类型贴图数据分别为Albedo、Normal、Roughness。</w:t>
            </w:r>
            <w:r>
              <w:br/>
            </w:r>
            <w:r>
              <w:rPr>
                <w:sz w:val="21"/>
              </w:rPr>
              <w:t>3、所有智能制造单元场景中的模型具备可扩展性，支持二次编辑，可对接Unreal、Unity3D、3DsMax、Maya、Blender、Twinmotion等软件及引擎。</w:t>
            </w:r>
            <w:r>
              <w:br/>
            </w:r>
            <w:r>
              <w:rPr>
                <w:sz w:val="21"/>
              </w:rPr>
              <w:t>▲4、智能制造单元场景中的模型文件格式为Glb与FBX，其中FBX文件包中需包含对应的贴图数据文件。</w:t>
            </w:r>
            <w:r>
              <w:br/>
            </w:r>
            <w:r>
              <w:rPr>
                <w:sz w:val="21"/>
              </w:rPr>
              <w:t>5、智能制造单元场景中的模型可支持对接智能制造数字资产管理系统或同类型实时渲染系统进行分发与展示交互。提供对应功能页面截图。</w:t>
            </w:r>
            <w:r>
              <w:br/>
            </w:r>
            <w:r>
              <w:rPr>
                <w:sz w:val="21"/>
              </w:rPr>
              <w:t>6、智能制造单元场景中的模型中需包含对应展开的UVW信息。</w:t>
            </w:r>
            <w:r>
              <w:br/>
            </w:r>
            <w:r>
              <w:rPr>
                <w:sz w:val="21"/>
              </w:rPr>
              <w:t>7、内容中涉及其任何功能、技术或服务不侵犯第三方知识产权。</w:t>
            </w:r>
            <w:r>
              <w:br/>
            </w:r>
            <w:r>
              <w:rPr>
                <w:sz w:val="21"/>
              </w:rPr>
              <w:t>（二）服务要求</w:t>
            </w:r>
            <w:r>
              <w:br/>
            </w:r>
            <w:r>
              <w:rPr>
                <w:sz w:val="21"/>
              </w:rPr>
              <w:t>提供</w:t>
            </w:r>
            <w:r>
              <w:rPr>
                <w:sz w:val="21"/>
              </w:rPr>
              <w:t>3年服务与3年免费质保期，质保期内提供7×24小时实时技术支持、应用系统标准功能升级和功能完善等。对于技术咨询应在8小时内提出解决方案。遇到重大技术问题，及时组织有关技术专家进行会诊，并在48小时内解决，如未解决需提供可替代解决方案，以确保系统正常运行。</w:t>
            </w:r>
            <w:r>
              <w:br/>
            </w:r>
            <w:r>
              <w:rPr>
                <w:sz w:val="21"/>
              </w:rPr>
              <w:t>（三）内容要求</w:t>
            </w:r>
            <w:r>
              <w:br/>
            </w:r>
            <w:r>
              <w:rPr>
                <w:sz w:val="21"/>
              </w:rPr>
              <w:t>1、完成智能制造单元加工中心三维模型。</w:t>
            </w:r>
            <w:r>
              <w:br/>
            </w:r>
            <w:r>
              <w:rPr>
                <w:sz w:val="21"/>
              </w:rPr>
              <w:t>2、3D模型应对比实体参照物≥90%的还原精度，以确保虚拟仿真的准确性和可靠性。这需要对物体形状、尺寸、颜色等特征进行精细的建模和贴图，达到几乎与真实世界情况一样的效果。</w:t>
            </w:r>
            <w:r>
              <w:br/>
            </w:r>
            <w:r>
              <w:rPr>
                <w:sz w:val="21"/>
              </w:rPr>
              <w:t>（四）交付要求</w:t>
            </w:r>
            <w:r>
              <w:br/>
            </w:r>
            <w:r>
              <w:rPr>
                <w:sz w:val="21"/>
              </w:rPr>
              <w:t>1、在合同签订后规定的时间内投标人以电子文件形式完成模型的交付，包含：3D数字模型及配套的数字贴图文件；提供模型的源文件支持用户进行二次编辑。</w:t>
            </w:r>
            <w:r>
              <w:br/>
            </w:r>
            <w:r>
              <w:rPr>
                <w:sz w:val="21"/>
              </w:rPr>
              <w:t>2、投标人提供必要的技术手册，以便用户操作和使用模型。</w:t>
            </w:r>
          </w:p>
          <w:p>
            <w:pPr>
              <w:jc w:val="left"/>
            </w:pPr>
          </w:p>
          <w:p>
            <w:pPr>
              <w:jc w:val="left"/>
            </w:pPr>
            <w:r>
              <w:rPr>
                <w:sz w:val="21"/>
              </w:rPr>
              <w:t>二、</w:t>
            </w:r>
            <w:r>
              <w:rPr>
                <w:sz w:val="21"/>
              </w:rPr>
              <w:t>UI设计</w:t>
            </w:r>
          </w:p>
          <w:p>
            <w:pPr>
              <w:jc w:val="left"/>
            </w:pPr>
            <w:r>
              <w:rPr>
                <w:sz w:val="21"/>
              </w:rPr>
              <w:t>（一）基本要求</w:t>
            </w:r>
            <w:r>
              <w:br/>
            </w:r>
            <w:r>
              <w:rPr>
                <w:sz w:val="21"/>
              </w:rPr>
              <w:t>1、UI界面设计应保持简洁，避免过多的视觉元素和复杂的设计。每个界面上的元素都应该有明确的功能和用途，以减少用户的困惑和提高工作效率。</w:t>
            </w:r>
            <w:r>
              <w:br/>
            </w:r>
            <w:r>
              <w:rPr>
                <w:sz w:val="21"/>
              </w:rPr>
              <w:t>2、UI设计应具有较高的易用性，以降低用户的学习成本和操作难度。所有界面应直观易懂，快捷键和命令应明确标示，并提供足够的反馈以确认操作是否成功。</w:t>
            </w:r>
            <w:r>
              <w:br/>
            </w:r>
            <w:r>
              <w:rPr>
                <w:sz w:val="21"/>
              </w:rPr>
              <w:t>3、UI设计应具有良好的美观性，以提供愉悦的用户体验。这包括但不限于合适的色彩搭配、清晰的字体和图标、以及符合用户习惯的布局。</w:t>
            </w:r>
            <w:r>
              <w:br/>
            </w:r>
            <w:r>
              <w:rPr>
                <w:sz w:val="21"/>
              </w:rPr>
              <w:t>4、UI设计应充分考虑用户的需求和使用习惯，以便提供个性化的用户体验。可以提供多种语言选项，根据用户的习惯自动调整界面布局。</w:t>
            </w:r>
            <w:r>
              <w:br/>
            </w:r>
            <w:r>
              <w:rPr>
                <w:sz w:val="21"/>
              </w:rPr>
              <w:t>5、UI设计应具有良好的交互性，以支持用户与系统的实时互动。</w:t>
            </w:r>
            <w:r>
              <w:br/>
            </w:r>
            <w:r>
              <w:rPr>
                <w:sz w:val="21"/>
              </w:rPr>
              <w:t>6、UI设计应具有良好的兼容性，以确保在各种设备和操作系统上都能正常运行。</w:t>
            </w:r>
            <w:r>
              <w:br/>
            </w:r>
            <w:r>
              <w:rPr>
                <w:sz w:val="21"/>
              </w:rPr>
              <w:t>7、UI设计应具有可扩展性，以满足未来的功能扩展和升级需求。</w:t>
            </w:r>
            <w:r>
              <w:br/>
            </w:r>
            <w:r>
              <w:rPr>
                <w:sz w:val="21"/>
              </w:rPr>
              <w:t>8、投标人应提供全面的技术支持，包括但不限于UI设计的实现、测试、优化，以及用户手册和技术文档的编写。</w:t>
            </w:r>
            <w:r>
              <w:br/>
            </w:r>
            <w:r>
              <w:rPr>
                <w:sz w:val="21"/>
              </w:rPr>
              <w:t>（二）内容要求</w:t>
            </w:r>
            <w:r>
              <w:br/>
            </w:r>
            <w:r>
              <w:rPr>
                <w:sz w:val="21"/>
              </w:rPr>
              <w:t>UI界面设计贴合智能制造单元场景需求，能够根据不同的制造流程和设备进行设计，以提供更加高效、便捷和直观的操作体验。</w:t>
            </w:r>
            <w:r>
              <w:br/>
            </w:r>
            <w:r>
              <w:rPr>
                <w:sz w:val="21"/>
              </w:rPr>
              <w:t>（三）交付要求</w:t>
            </w:r>
            <w:r>
              <w:br/>
            </w:r>
            <w:r>
              <w:rPr>
                <w:sz w:val="21"/>
              </w:rPr>
              <w:t>1、在合同签订后规定的时间内投标人完成UI界面的设计并提交交付物。</w:t>
            </w:r>
            <w:r>
              <w:br/>
            </w:r>
            <w:r>
              <w:rPr>
                <w:sz w:val="21"/>
              </w:rPr>
              <w:t>2、交付物应包括但不限于UI设计原稿、相关文档、使用手册和安装说明等。</w:t>
            </w:r>
          </w:p>
          <w:p>
            <w:pPr>
              <w:jc w:val="left"/>
            </w:pPr>
          </w:p>
          <w:p>
            <w:pPr>
              <w:jc w:val="left"/>
            </w:pPr>
            <w:r>
              <w:rPr>
                <w:sz w:val="21"/>
              </w:rPr>
              <w:t>三、动画模拟</w:t>
            </w:r>
          </w:p>
          <w:p>
            <w:pPr>
              <w:jc w:val="left"/>
            </w:pPr>
            <w:r>
              <w:rPr>
                <w:sz w:val="21"/>
              </w:rPr>
              <w:t>（一）基本要求</w:t>
            </w:r>
            <w:r>
              <w:br/>
            </w:r>
            <w:r>
              <w:rPr>
                <w:sz w:val="21"/>
              </w:rPr>
              <w:t>1、内容符合我国法律法规，尊重民族风俗习惯，不存在版权争议，一个动画完成一个独立设备（装置）的展示，或一个知识点原理、流程的剖析，以动画方式展示工作原理和流程。</w:t>
            </w:r>
            <w:r>
              <w:br/>
            </w:r>
            <w:r>
              <w:rPr>
                <w:sz w:val="21"/>
              </w:rPr>
              <w:t>2、情节合情合理，能够帮助学员理解课程内容；动画表现细腻。</w:t>
            </w:r>
            <w:r>
              <w:br/>
            </w:r>
            <w:r>
              <w:rPr>
                <w:sz w:val="21"/>
              </w:rPr>
              <w:t>3、动画连续性强、节奏合适，帧和帧之间有较强的关联性。</w:t>
            </w:r>
            <w:r>
              <w:br/>
            </w:r>
            <w:r>
              <w:rPr>
                <w:sz w:val="21"/>
              </w:rPr>
              <w:t>4、情节合情合理，能够帮助学员理解课程内容；动画表现细腻。</w:t>
            </w:r>
            <w:r>
              <w:br/>
            </w:r>
            <w:r>
              <w:rPr>
                <w:sz w:val="21"/>
              </w:rPr>
              <w:t>（二）内容要求</w:t>
            </w:r>
            <w:r>
              <w:br/>
            </w:r>
            <w:r>
              <w:rPr>
                <w:sz w:val="21"/>
              </w:rPr>
              <w:t>根据工艺要求，完成零件工艺流程动画，包含以下内容：加工中心上下料</w:t>
            </w:r>
            <w:r>
              <w:rPr>
                <w:sz w:val="21"/>
              </w:rPr>
              <w:t>—成品入库。</w:t>
            </w:r>
            <w:r>
              <w:br/>
            </w:r>
            <w:r>
              <w:rPr>
                <w:sz w:val="21"/>
              </w:rPr>
              <w:t>（三）格式要求</w:t>
            </w:r>
            <w:r>
              <w:br/>
            </w:r>
            <w:r>
              <w:rPr>
                <w:sz w:val="21"/>
              </w:rPr>
              <w:t>1、动画帧率决定了动画的流畅度和动态效果。动画应平滑、连贯，无卡顿、抖动现象。所有动画帧率应在≥25fps，以保证良好的观看体验。</w:t>
            </w:r>
            <w:r>
              <w:br/>
            </w:r>
            <w:r>
              <w:rPr>
                <w:sz w:val="21"/>
              </w:rPr>
              <w:t>2、动画时长：动画的时长应根据实际的生产流程来确定。每个设备的动画时长≥10秒。</w:t>
            </w:r>
            <w:r>
              <w:br/>
            </w:r>
            <w:r>
              <w:rPr>
                <w:sz w:val="21"/>
              </w:rPr>
              <w:t>（四）效果要求</w:t>
            </w:r>
            <w:r>
              <w:br/>
            </w:r>
            <w:r>
              <w:rPr>
                <w:sz w:val="21"/>
              </w:rPr>
              <w:t>1、动画应能模拟实际设备的运行效果，包括但不限于设备的移动、旋转、启动和停止等动作。其模拟的准确度应达到实际动作的90%以上。</w:t>
            </w:r>
            <w:r>
              <w:br/>
            </w:r>
            <w:r>
              <w:rPr>
                <w:sz w:val="21"/>
              </w:rPr>
              <w:t>2、动画应能模拟实际物体的物理特性，如重力、碰撞等。物体在移动和碰撞时，应产生相应的物理效果，以增强模拟的真实感。</w:t>
            </w:r>
            <w:r>
              <w:br/>
            </w:r>
            <w:r>
              <w:rPr>
                <w:sz w:val="21"/>
              </w:rPr>
              <w:t>3、动画应具有高质量的视觉效果，包括但不限于光照、阴影、纹理等。光照应能模拟实际环境的光照效果，阴影应能根据光照的角度和方向产生相应的阴影，纹理应能准确反映物体的实际外观。</w:t>
            </w:r>
            <w:r>
              <w:br/>
            </w:r>
            <w:r>
              <w:rPr>
                <w:sz w:val="21"/>
              </w:rPr>
              <w:t>（五）交付要求</w:t>
            </w:r>
            <w:r>
              <w:br/>
            </w:r>
            <w:r>
              <w:rPr>
                <w:sz w:val="21"/>
              </w:rPr>
              <w:t>1、在合同签订后规定的时间内投标人应以电子文件的形式提交，并确保动画能够在指定的3D设计软件或引擎中打开和运行。</w:t>
            </w:r>
            <w:r>
              <w:br/>
            </w:r>
            <w:r>
              <w:rPr>
                <w:sz w:val="21"/>
              </w:rPr>
              <w:t>2、投标人应提供相对应的操作指南和技术手册，以便用户自行使用。</w:t>
            </w:r>
          </w:p>
          <w:p>
            <w:pPr>
              <w:jc w:val="left"/>
            </w:pPr>
          </w:p>
          <w:p>
            <w:pPr>
              <w:jc w:val="left"/>
            </w:pPr>
            <w:r>
              <w:rPr>
                <w:sz w:val="21"/>
              </w:rPr>
              <w:t>四、交互功能</w:t>
            </w:r>
          </w:p>
          <w:p>
            <w:pPr>
              <w:jc w:val="both"/>
            </w:pPr>
            <w:r>
              <w:rPr>
                <w:sz w:val="21"/>
              </w:rPr>
              <w:t>（一）基本要求</w:t>
            </w:r>
            <w:r>
              <w:br/>
            </w:r>
            <w:r>
              <w:rPr>
                <w:sz w:val="21"/>
              </w:rPr>
              <w:t>1、模块操作简易，能够帮助用户轻松实现与智能制造中心进行交互。</w:t>
            </w:r>
            <w:r>
              <w:br/>
            </w:r>
            <w:r>
              <w:rPr>
                <w:sz w:val="21"/>
              </w:rPr>
              <w:t>2、具备用户友好的交互界面，以便用户能够便捷地进行操作和控制。</w:t>
            </w:r>
            <w:r>
              <w:br/>
            </w:r>
            <w:r>
              <w:rPr>
                <w:sz w:val="21"/>
              </w:rPr>
              <w:t>3、具有良好的系统稳定性，能在各种复杂的环境和负载条件下稳定运行。</w:t>
            </w:r>
            <w:r>
              <w:br/>
            </w:r>
            <w:r>
              <w:rPr>
                <w:sz w:val="21"/>
              </w:rPr>
              <w:t>4、具有良好的可扩展性，以便于未来功能的扩展和升级。</w:t>
            </w:r>
            <w:r>
              <w:br/>
            </w:r>
            <w:r>
              <w:rPr>
                <w:sz w:val="21"/>
              </w:rPr>
              <w:t>（二）技术要求</w:t>
            </w:r>
            <w:r>
              <w:br/>
            </w:r>
            <w:r>
              <w:rPr>
                <w:sz w:val="21"/>
              </w:rPr>
              <w:t>支持多种输入设备，如鼠标、键盘、手柄等，以便于用户进行操作。</w:t>
            </w:r>
            <w:r>
              <w:br/>
            </w:r>
            <w:r>
              <w:rPr>
                <w:sz w:val="21"/>
              </w:rPr>
              <w:t>（三）功能要求</w:t>
            </w:r>
            <w:r>
              <w:br/>
            </w:r>
            <w:r>
              <w:rPr>
                <w:sz w:val="21"/>
              </w:rPr>
              <w:t>模块具备动画控制能力，应支持动画的播放、暂停、循环等功能，方便用户进行观察和学习。</w:t>
            </w:r>
            <w:r>
              <w:br/>
            </w:r>
            <w:r>
              <w:rPr>
                <w:sz w:val="21"/>
              </w:rPr>
              <w:t>（四）交付要求</w:t>
            </w:r>
            <w:r>
              <w:br/>
            </w:r>
            <w:r>
              <w:rPr>
                <w:sz w:val="21"/>
              </w:rPr>
              <w:t>1、在合同签订后规定的时间内投标人应以完成交互功能的交付，并且完成部署。</w:t>
            </w:r>
            <w:r>
              <w:br/>
            </w:r>
            <w:r>
              <w:rPr>
                <w:sz w:val="21"/>
              </w:rPr>
              <w:t>2、投标人应提供详细的技术文档。</w:t>
            </w:r>
            <w:r>
              <w:br/>
            </w:r>
            <w:r>
              <w:rPr>
                <w:sz w:val="21"/>
              </w:rPr>
              <w:t>3、交付的功能模块应通过一系列的测试，包括功能测试、稳定性测试等，以确保模块的质量。</w:t>
            </w:r>
          </w:p>
        </w:tc>
      </w:tr>
      <w:tr>
        <w:tc>
          <w:tcPr>
            <w:tcW w:type="dxa" w:w="2076"/>
          </w:tcPr>
          <w:p/>
        </w:tc>
        <w:tc>
          <w:tcPr>
            <w:tcW w:type="dxa" w:w="415"/>
          </w:tcPr>
          <w:p>
            <w:r>
              <w:rPr/>
              <w:t>3</w:t>
            </w:r>
          </w:p>
        </w:tc>
        <w:tc>
          <w:tcPr>
            <w:tcW w:type="dxa" w:w="5814"/>
          </w:tcPr>
          <w:p>
            <w:pPr>
              <w:jc w:val="left"/>
            </w:pPr>
            <w:r>
              <w:rPr>
                <w:sz w:val="21"/>
              </w:rPr>
              <w:t>智能制造单元</w:t>
            </w:r>
            <w:r>
              <w:rPr>
                <w:sz w:val="21"/>
              </w:rPr>
              <w:t>-数控机床</w:t>
            </w:r>
          </w:p>
          <w:p>
            <w:pPr>
              <w:jc w:val="left"/>
            </w:pPr>
            <w:r>
              <w:rPr>
                <w:sz w:val="21"/>
              </w:rPr>
              <w:t>一、三维模型</w:t>
            </w:r>
          </w:p>
          <w:p>
            <w:pPr>
              <w:jc w:val="left"/>
            </w:pPr>
            <w:r>
              <w:rPr>
                <w:sz w:val="21"/>
              </w:rPr>
              <w:t>（一）技术要求</w:t>
            </w:r>
            <w:r>
              <w:br/>
            </w:r>
            <w:r>
              <w:rPr>
                <w:sz w:val="21"/>
              </w:rPr>
              <w:t>1、智能制造单元场景采用Polygon多边形建模，其中包含3D数字模型及配套的数字贴图文件。</w:t>
            </w:r>
            <w:r>
              <w:br/>
            </w:r>
            <w:r>
              <w:rPr>
                <w:sz w:val="21"/>
              </w:rPr>
              <w:t>2、智能制造单元场景中的模型采用基于PBR（Physically-Based Rendering）类型材质属性并不少于3通道类型贴图数据分别为Albedo、Normal、Roughness。</w:t>
            </w:r>
            <w:r>
              <w:br/>
            </w:r>
            <w:r>
              <w:rPr>
                <w:sz w:val="21"/>
              </w:rPr>
              <w:t>3、所有智能制造单元场景中的模型具备可扩展性，支持二次编辑，可对接Unreal、Unity3D、3DsMax、Maya、Blender、Twinmotion等软件及引擎。</w:t>
            </w:r>
            <w:r>
              <w:br/>
            </w:r>
            <w:r>
              <w:rPr>
                <w:sz w:val="21"/>
              </w:rPr>
              <w:t>▲4、智能制造单元场景中的模型文件格式为Glb与FBX，其中FBX文件包中需包含对应的贴图数据文件。</w:t>
            </w:r>
            <w:r>
              <w:br/>
            </w:r>
            <w:r>
              <w:rPr>
                <w:sz w:val="21"/>
              </w:rPr>
              <w:t>5、智能制造单元场景中的模型可支持对接智能制造数字资产管理系统或同类型实时渲染系统进行分发与展示交互。（提供对应功能页面截图）</w:t>
            </w:r>
            <w:r>
              <w:br/>
            </w:r>
            <w:r>
              <w:rPr>
                <w:sz w:val="21"/>
              </w:rPr>
              <w:t>6、智能制造单元场景中的模型中需包含对应展开的UVW信息。</w:t>
            </w:r>
            <w:r>
              <w:br/>
            </w:r>
            <w:r>
              <w:rPr>
                <w:sz w:val="21"/>
              </w:rPr>
              <w:t>7、内容中涉及其任何功能、技术或服务不侵犯第三方知识产权。</w:t>
            </w:r>
            <w:r>
              <w:br/>
            </w:r>
            <w:r>
              <w:rPr>
                <w:sz w:val="21"/>
              </w:rPr>
              <w:t>（二）服务要求</w:t>
            </w:r>
            <w:r>
              <w:br/>
            </w:r>
            <w:r>
              <w:rPr>
                <w:sz w:val="21"/>
              </w:rPr>
              <w:t>提供</w:t>
            </w:r>
            <w:r>
              <w:rPr>
                <w:sz w:val="21"/>
              </w:rPr>
              <w:t>3年服务与3年免费质保期，质保期内提供7×24小时实时技术支持、应用系统标准功能升级和功能完善等。对于技术咨询应在8小时内提出解决方案。遇到重大技术问题，及时组织有关技术专家进行会诊，并在48小时内解决，如未解决需提供可替代解决方案，以确保系统正常运行。</w:t>
            </w:r>
            <w:r>
              <w:br/>
            </w:r>
            <w:r>
              <w:rPr>
                <w:sz w:val="21"/>
              </w:rPr>
              <w:t>（三）内容要求</w:t>
            </w:r>
            <w:r>
              <w:br/>
            </w:r>
            <w:r>
              <w:rPr>
                <w:sz w:val="21"/>
              </w:rPr>
              <w:t>1、完成智能制造单元数控机床三维模型。</w:t>
            </w:r>
            <w:r>
              <w:br/>
            </w:r>
            <w:r>
              <w:rPr>
                <w:sz w:val="21"/>
              </w:rPr>
              <w:t>2、3D模型应对比实体参照物≥90%的还原精度，以确保虚拟仿真的准确性和可靠性。这需要对物体形状、尺寸、颜色等特征进行精细的建模和贴图，达到几乎与真实世界情况一样的效果。</w:t>
            </w:r>
            <w:r>
              <w:br/>
            </w:r>
            <w:r>
              <w:rPr>
                <w:sz w:val="21"/>
              </w:rPr>
              <w:t>（四）交付要求</w:t>
            </w:r>
            <w:r>
              <w:br/>
            </w:r>
            <w:r>
              <w:rPr>
                <w:sz w:val="21"/>
              </w:rPr>
              <w:t>1、在合同签订后规定的时间内投标人以电子文件形式完成模型的交付，包含：3D数字模型及配套的数字贴图文件；提供模型的源文件支持用户进行二次编辑。</w:t>
            </w:r>
            <w:r>
              <w:br/>
            </w:r>
            <w:r>
              <w:rPr>
                <w:sz w:val="21"/>
              </w:rPr>
              <w:t>2、投标人提供必要的技术手册，以便用户操作和使用模型。</w:t>
            </w:r>
          </w:p>
          <w:p>
            <w:pPr>
              <w:jc w:val="left"/>
            </w:pPr>
          </w:p>
          <w:p>
            <w:pPr>
              <w:jc w:val="left"/>
            </w:pPr>
            <w:r>
              <w:rPr>
                <w:sz w:val="21"/>
              </w:rPr>
              <w:t>二、</w:t>
            </w:r>
            <w:r>
              <w:rPr>
                <w:sz w:val="21"/>
              </w:rPr>
              <w:t>UI设计</w:t>
            </w:r>
          </w:p>
          <w:p>
            <w:pPr>
              <w:jc w:val="left"/>
            </w:pPr>
            <w:r>
              <w:rPr>
                <w:sz w:val="21"/>
              </w:rPr>
              <w:t>（一）基本要求</w:t>
            </w:r>
            <w:r>
              <w:br/>
            </w:r>
            <w:r>
              <w:rPr>
                <w:sz w:val="21"/>
              </w:rPr>
              <w:t>1、UI界面设计应保持简洁，避免过多的视觉元素和复杂的设计。每个界面上的元素都应该有明确的功能和用途，以减少用户的困惑和提高工作效率。</w:t>
            </w:r>
            <w:r>
              <w:br/>
            </w:r>
            <w:r>
              <w:rPr>
                <w:sz w:val="21"/>
              </w:rPr>
              <w:t>2、UI设计应具有较高的易用性，以降低用户的学习成本和操作难度。所有界面应直观易懂，快捷键和命令应明确标示，并提供足够的反馈以确认操作是否成功。</w:t>
            </w:r>
            <w:r>
              <w:br/>
            </w:r>
            <w:r>
              <w:rPr>
                <w:sz w:val="21"/>
              </w:rPr>
              <w:t>3、UI设计应具有良好的美观性，以提供愉悦的用户体验。这包括但不限于合适的色彩搭配、清晰的字体和图标、以及符合用户习惯的布局。</w:t>
            </w:r>
            <w:r>
              <w:br/>
            </w:r>
            <w:r>
              <w:rPr>
                <w:sz w:val="21"/>
              </w:rPr>
              <w:t>4、UI设计应充分考虑用户的需求和使用习惯，以便提供个性化的用户体验。可以提供多种语言选项，根据用户的习惯自动调整界面布局。</w:t>
            </w:r>
            <w:r>
              <w:br/>
            </w:r>
            <w:r>
              <w:rPr>
                <w:sz w:val="21"/>
              </w:rPr>
              <w:t>5、UI设计应具有良好的交互性，以支持用户与系统的实时互动。</w:t>
            </w:r>
            <w:r>
              <w:br/>
            </w:r>
            <w:r>
              <w:rPr>
                <w:sz w:val="21"/>
              </w:rPr>
              <w:t>6、UI设计应具有良好的兼容性，以确保在各种设备和操作系统上都能正常运行。</w:t>
            </w:r>
            <w:r>
              <w:br/>
            </w:r>
            <w:r>
              <w:rPr>
                <w:sz w:val="21"/>
              </w:rPr>
              <w:t>7、UI设计应具有可扩展性，以满足未来的功能扩展和升级需求。</w:t>
            </w:r>
            <w:r>
              <w:br/>
            </w:r>
            <w:r>
              <w:rPr>
                <w:sz w:val="21"/>
              </w:rPr>
              <w:t>8、投标人应提供全面的技术支持，包括但不限于UI设计的实现、测试、优化，以及用户手册和技术文档的编写。</w:t>
            </w:r>
            <w:r>
              <w:br/>
            </w:r>
            <w:r>
              <w:rPr>
                <w:sz w:val="21"/>
              </w:rPr>
              <w:t>（二）内容要求</w:t>
            </w:r>
            <w:r>
              <w:br/>
            </w:r>
            <w:r>
              <w:rPr>
                <w:sz w:val="21"/>
              </w:rPr>
              <w:t>UI界面设计贴合智能制造单元场景需求，能够根据不同的制造流程和设备进行设计，以提供更加高效、便捷和直观的操作体验。</w:t>
            </w:r>
            <w:r>
              <w:br/>
            </w:r>
            <w:r>
              <w:rPr>
                <w:sz w:val="21"/>
              </w:rPr>
              <w:t>（三）交付要求</w:t>
            </w:r>
            <w:r>
              <w:br/>
            </w:r>
            <w:r>
              <w:rPr>
                <w:sz w:val="21"/>
              </w:rPr>
              <w:t>1、在合同签订后规定的时间内投标人完成UI界面的设计并提交交付物。</w:t>
            </w:r>
            <w:r>
              <w:br/>
            </w:r>
            <w:r>
              <w:rPr>
                <w:sz w:val="21"/>
              </w:rPr>
              <w:t>2、交付物应包括但不限于UI设计原稿、相关文档、使用手册和安装说明等。</w:t>
            </w:r>
          </w:p>
          <w:p>
            <w:pPr>
              <w:jc w:val="left"/>
            </w:pPr>
          </w:p>
          <w:p>
            <w:pPr>
              <w:jc w:val="left"/>
            </w:pPr>
            <w:r>
              <w:rPr>
                <w:sz w:val="21"/>
              </w:rPr>
              <w:t>三、动画模拟</w:t>
            </w:r>
          </w:p>
          <w:p>
            <w:pPr>
              <w:jc w:val="left"/>
            </w:pPr>
            <w:r>
              <w:rPr>
                <w:sz w:val="21"/>
              </w:rPr>
              <w:t>（一）基本要求</w:t>
            </w:r>
            <w:r>
              <w:br/>
            </w:r>
            <w:r>
              <w:rPr>
                <w:sz w:val="21"/>
              </w:rPr>
              <w:t>1、内容符合我国法律法规，尊重民族风俗习惯，不存在版权争议，一个动画完成一个独立设备（装置）的展示，或一个知识点原理、流程的剖析，以动画方式展示工作原理和流程。</w:t>
            </w:r>
            <w:r>
              <w:br/>
            </w:r>
            <w:r>
              <w:rPr>
                <w:sz w:val="21"/>
              </w:rPr>
              <w:t>2、情节合情合理，能够帮助学员理解课程内容；动画表现细腻。</w:t>
            </w:r>
            <w:r>
              <w:br/>
            </w:r>
            <w:r>
              <w:rPr>
                <w:sz w:val="21"/>
              </w:rPr>
              <w:t>3、动画连续性强、节奏合适，帧和帧之间有较强的关联性。</w:t>
            </w:r>
            <w:r>
              <w:br/>
            </w:r>
            <w:r>
              <w:rPr>
                <w:sz w:val="21"/>
              </w:rPr>
              <w:t>4、情节合情合理，能够帮助学员理解课程内容；动画表现细腻。</w:t>
            </w:r>
            <w:r>
              <w:br/>
            </w:r>
            <w:r>
              <w:rPr>
                <w:sz w:val="21"/>
              </w:rPr>
              <w:t>（二）内容要求</w:t>
            </w:r>
            <w:r>
              <w:br/>
            </w:r>
            <w:r>
              <w:rPr>
                <w:sz w:val="21"/>
              </w:rPr>
              <w:t>根据工艺要求，完成零件工艺流程动画，包含以下内容：数控车床上下料。</w:t>
            </w:r>
            <w:r>
              <w:br/>
            </w:r>
            <w:r>
              <w:rPr>
                <w:sz w:val="21"/>
              </w:rPr>
              <w:t>（三）格式要求</w:t>
            </w:r>
            <w:r>
              <w:br/>
            </w:r>
            <w:r>
              <w:rPr>
                <w:sz w:val="21"/>
              </w:rPr>
              <w:t>1、动画帧率决定了动画的流畅度和动态效果。动画应平滑、连贯，无卡顿、抖动现象。所有动画帧率应在≥25fps，以保证良好的观看体验。</w:t>
            </w:r>
            <w:r>
              <w:br/>
            </w:r>
            <w:r>
              <w:rPr>
                <w:sz w:val="21"/>
              </w:rPr>
              <w:t>2、动画时长：动画的时长应根据实际的生产流程来确定。每个设备的动画时长≥10秒。</w:t>
            </w:r>
            <w:r>
              <w:br/>
            </w:r>
            <w:r>
              <w:rPr>
                <w:sz w:val="21"/>
              </w:rPr>
              <w:t>（四）效果要求</w:t>
            </w:r>
            <w:r>
              <w:br/>
            </w:r>
            <w:r>
              <w:rPr>
                <w:sz w:val="21"/>
              </w:rPr>
              <w:t>1、动画应能模拟实际设备的运行效果，包括但不限于设备的移动、旋转、启动和停止等动作。其模拟的准确度应达到实际动作的90%以上。</w:t>
            </w:r>
            <w:r>
              <w:br/>
            </w:r>
            <w:r>
              <w:rPr>
                <w:sz w:val="21"/>
              </w:rPr>
              <w:t>2、动画应能模拟实际物体的物理特性，如重力、碰撞等。物体在移动和碰撞时，应产生相应的物理效果，以增强模拟的真实感。</w:t>
            </w:r>
            <w:r>
              <w:br/>
            </w:r>
            <w:r>
              <w:rPr>
                <w:sz w:val="21"/>
              </w:rPr>
              <w:t>3、动画应具有高质量的视觉效果，包括但不限于光照、阴影、纹理等。光照应能模拟实际环境的光照效果，阴影应能根据光照的角度和方向产生相应的阴影，纹理应能准确反映物体的实际外观。</w:t>
            </w:r>
            <w:r>
              <w:br/>
            </w:r>
            <w:r>
              <w:rPr>
                <w:sz w:val="21"/>
              </w:rPr>
              <w:t>（五）交付要求</w:t>
            </w:r>
            <w:r>
              <w:br/>
            </w:r>
            <w:r>
              <w:rPr>
                <w:sz w:val="21"/>
              </w:rPr>
              <w:t>1、在合同签订后规定的时间内投标人应以电子文件的形式提交，并确保动画能够在指定的3D设计软件或引擎中打开和运行。</w:t>
            </w:r>
            <w:r>
              <w:br/>
            </w:r>
            <w:r>
              <w:rPr>
                <w:sz w:val="21"/>
              </w:rPr>
              <w:t>2、投标人应提供相对应的操作指南和技术手册，以便用户自行使用。</w:t>
            </w:r>
          </w:p>
          <w:p>
            <w:pPr>
              <w:jc w:val="left"/>
            </w:pPr>
          </w:p>
          <w:p>
            <w:pPr>
              <w:jc w:val="left"/>
            </w:pPr>
            <w:r>
              <w:rPr>
                <w:sz w:val="21"/>
              </w:rPr>
              <w:t>四、交互功能</w:t>
            </w:r>
          </w:p>
          <w:p>
            <w:pPr>
              <w:jc w:val="both"/>
            </w:pPr>
            <w:r>
              <w:rPr>
                <w:sz w:val="21"/>
              </w:rPr>
              <w:t>（一）基本要求</w:t>
            </w:r>
            <w:r>
              <w:br/>
            </w:r>
            <w:r>
              <w:rPr>
                <w:sz w:val="21"/>
              </w:rPr>
              <w:t>1、模块操作简易，能够帮助用户轻松实现与智能制造中心进行交互。</w:t>
            </w:r>
            <w:r>
              <w:br/>
            </w:r>
            <w:r>
              <w:rPr>
                <w:sz w:val="21"/>
              </w:rPr>
              <w:t>2、具备用户友好的交互界面，以便用户能够便捷地进行操作和控制。</w:t>
            </w:r>
            <w:r>
              <w:br/>
            </w:r>
            <w:r>
              <w:rPr>
                <w:sz w:val="21"/>
              </w:rPr>
              <w:t>3、具有良好的系统稳定性，能在各种复杂的环境和负载条件下稳定运行。</w:t>
            </w:r>
            <w:r>
              <w:br/>
            </w:r>
            <w:r>
              <w:rPr>
                <w:sz w:val="21"/>
              </w:rPr>
              <w:t>4、具有良好的可扩展性，以便于未来功能的扩展和升级。</w:t>
            </w:r>
            <w:r>
              <w:br/>
            </w:r>
            <w:r>
              <w:rPr>
                <w:sz w:val="21"/>
              </w:rPr>
              <w:t>（二）技术要求</w:t>
            </w:r>
            <w:r>
              <w:br/>
            </w:r>
            <w:r>
              <w:rPr>
                <w:sz w:val="21"/>
              </w:rPr>
              <w:t>支持多种输入设备，如鼠标、键盘、手柄等，以便于用户进行操作。</w:t>
            </w:r>
            <w:r>
              <w:br/>
            </w:r>
            <w:r>
              <w:rPr>
                <w:sz w:val="21"/>
              </w:rPr>
              <w:t>（三）功能要求</w:t>
            </w:r>
            <w:r>
              <w:br/>
            </w:r>
            <w:r>
              <w:rPr>
                <w:sz w:val="21"/>
              </w:rPr>
              <w:t>模块具备动画控制能力，应支持动画的播放、暂停、循环等功能，方便用户进行观察和学习。</w:t>
            </w:r>
            <w:r>
              <w:br/>
            </w:r>
            <w:r>
              <w:rPr>
                <w:sz w:val="21"/>
              </w:rPr>
              <w:t>（四）交付要求</w:t>
            </w:r>
            <w:r>
              <w:br/>
            </w:r>
            <w:r>
              <w:rPr>
                <w:sz w:val="21"/>
              </w:rPr>
              <w:t>1、在合同签订后规定的时间内投标人应以完成交互功能的交付，并且完成部署。</w:t>
            </w:r>
            <w:r>
              <w:br/>
            </w:r>
            <w:r>
              <w:rPr>
                <w:sz w:val="21"/>
              </w:rPr>
              <w:t>2、投标人应提供详细的技术文档。</w:t>
            </w:r>
            <w:r>
              <w:br/>
            </w:r>
            <w:r>
              <w:rPr>
                <w:sz w:val="21"/>
              </w:rPr>
              <w:t>3、交付的功能模块应通过一系列的测试，包括功能测试、稳定性测试等，以确保模块的质量。</w:t>
            </w:r>
          </w:p>
        </w:tc>
      </w:tr>
      <w:tr>
        <w:tc>
          <w:tcPr>
            <w:tcW w:type="dxa" w:w="2076"/>
          </w:tcPr>
          <w:p/>
        </w:tc>
        <w:tc>
          <w:tcPr>
            <w:tcW w:type="dxa" w:w="415"/>
          </w:tcPr>
          <w:p>
            <w:r>
              <w:rPr/>
              <w:t>4</w:t>
            </w:r>
          </w:p>
        </w:tc>
        <w:tc>
          <w:tcPr>
            <w:tcW w:type="dxa" w:w="5814"/>
          </w:tcPr>
          <w:p>
            <w:pPr>
              <w:jc w:val="left"/>
            </w:pPr>
            <w:r>
              <w:rPr>
                <w:sz w:val="21"/>
              </w:rPr>
              <w:t>智能制造单元</w:t>
            </w:r>
            <w:r>
              <w:rPr>
                <w:sz w:val="21"/>
              </w:rPr>
              <w:t>-控制柜</w:t>
            </w:r>
          </w:p>
          <w:p>
            <w:pPr>
              <w:jc w:val="left"/>
            </w:pPr>
            <w:r>
              <w:rPr>
                <w:sz w:val="21"/>
              </w:rPr>
              <w:t>一、三维模型</w:t>
            </w:r>
          </w:p>
          <w:p>
            <w:pPr>
              <w:jc w:val="left"/>
            </w:pPr>
            <w:r>
              <w:rPr>
                <w:sz w:val="21"/>
              </w:rPr>
              <w:t>（一）技术要求</w:t>
            </w:r>
            <w:r>
              <w:br/>
            </w:r>
            <w:r>
              <w:rPr>
                <w:sz w:val="21"/>
              </w:rPr>
              <w:t>1、智能制造单元场景采用Polygon多边形建模，其中包含3D数字模型及配套的数字贴图文件；</w:t>
            </w:r>
            <w:r>
              <w:br/>
            </w:r>
            <w:r>
              <w:rPr>
                <w:sz w:val="21"/>
              </w:rPr>
              <w:t>2、智能制造单元场景中的模型采用基于PBR（Physically-Based Rendering）类型材质属性并不少于3通道类型贴图数据分别为Albedo、Normal、Roughness；</w:t>
            </w:r>
            <w:r>
              <w:br/>
            </w:r>
            <w:r>
              <w:rPr>
                <w:sz w:val="21"/>
              </w:rPr>
              <w:t>3、所有智能制造单元场景中的模型具备可扩展性，支持二次编辑，可对接Unreal、Unity3D、3DsMax、Maya、Blender、Twinmotion等软件及引擎；</w:t>
            </w:r>
            <w:r>
              <w:br/>
            </w:r>
            <w:r>
              <w:rPr>
                <w:sz w:val="21"/>
              </w:rPr>
              <w:t>▲4、智能制造单元场景中的模型文件格式为Glb与FBX，其中FBX文件包中需包含对应的贴图数据文件。</w:t>
            </w:r>
            <w:r>
              <w:br/>
            </w:r>
            <w:r>
              <w:rPr>
                <w:sz w:val="21"/>
              </w:rPr>
              <w:t>5、智能制造单元场景中的模型可支持对接智能制造数字资产管理系统或同类型实时渲染系统进行分发与展示交互。提供对应功能页面截图。</w:t>
            </w:r>
            <w:r>
              <w:br/>
            </w:r>
            <w:r>
              <w:rPr>
                <w:sz w:val="21"/>
              </w:rPr>
              <w:t>6、智能制造单元场景中的模型中需包含对应展开的UVW信息；</w:t>
            </w:r>
            <w:r>
              <w:br/>
            </w:r>
            <w:r>
              <w:rPr>
                <w:sz w:val="21"/>
              </w:rPr>
              <w:t>7、内容中涉及其任何功能、技术或服务不侵犯第三方知识产权。</w:t>
            </w:r>
            <w:r>
              <w:br/>
            </w:r>
            <w:r>
              <w:rPr>
                <w:sz w:val="21"/>
              </w:rPr>
              <w:t>（二）服务要求</w:t>
            </w:r>
            <w:r>
              <w:br/>
            </w:r>
            <w:r>
              <w:rPr>
                <w:sz w:val="21"/>
              </w:rPr>
              <w:t>提供</w:t>
            </w:r>
            <w:r>
              <w:rPr>
                <w:sz w:val="21"/>
              </w:rPr>
              <w:t>3年服务与3年免费质保期，质保期内提供7×24小时实时技术支持、应用系统标准功能升级和功能完善等。对于技术咨询应在8小时内提出解决方案。遇到重大技术问题，及时组织有关技术专家进行会诊，并在48小时内解决，如未解决需提供可替代解决方案，以确保系统正常运行。</w:t>
            </w:r>
            <w:r>
              <w:br/>
            </w:r>
            <w:r>
              <w:rPr>
                <w:sz w:val="21"/>
              </w:rPr>
              <w:t>（三）内容要求</w:t>
            </w:r>
            <w:r>
              <w:br/>
            </w:r>
            <w:r>
              <w:rPr>
                <w:sz w:val="21"/>
              </w:rPr>
              <w:t>1、智能制造单元包含：机器人，加工中心，数控机床，控制柜等主要设备以及整体场景的搭建。</w:t>
            </w:r>
            <w:r>
              <w:br/>
            </w:r>
            <w:r>
              <w:rPr>
                <w:sz w:val="21"/>
              </w:rPr>
              <w:t>2、3D模型应对比实体参照物≥90%的还原精度，以确保虚拟仿真的准确性和可靠性。这需要对物体形状、尺寸、颜色等特征进行精细的建模和贴图，达到几乎与真实世界情况一样的效果。</w:t>
            </w:r>
            <w:r>
              <w:br/>
            </w:r>
            <w:r>
              <w:rPr>
                <w:sz w:val="21"/>
              </w:rPr>
              <w:t>（四）交付要求</w:t>
            </w:r>
            <w:r>
              <w:br/>
            </w:r>
            <w:r>
              <w:rPr>
                <w:sz w:val="21"/>
              </w:rPr>
              <w:t>1、在合同签订后规定的时间内投标人以电子文件形式完成模型的交付，包含：3D数字模型及配套的数字贴图文件；提供模型的源文件支持用户进行二次编辑。</w:t>
            </w:r>
            <w:r>
              <w:br/>
            </w:r>
            <w:r>
              <w:rPr>
                <w:sz w:val="21"/>
              </w:rPr>
              <w:t>2、投标人提供必要的技术手册，以便用户操作和使用模型。</w:t>
            </w:r>
          </w:p>
          <w:p>
            <w:pPr>
              <w:jc w:val="left"/>
            </w:pPr>
          </w:p>
          <w:p>
            <w:pPr>
              <w:jc w:val="left"/>
            </w:pPr>
            <w:r>
              <w:rPr>
                <w:sz w:val="21"/>
              </w:rPr>
              <w:t>二、</w:t>
            </w:r>
            <w:r>
              <w:rPr>
                <w:sz w:val="21"/>
              </w:rPr>
              <w:t>UI设计</w:t>
            </w:r>
          </w:p>
          <w:p>
            <w:pPr>
              <w:jc w:val="left"/>
            </w:pPr>
            <w:r>
              <w:rPr>
                <w:sz w:val="21"/>
              </w:rPr>
              <w:t>（一）基本要求</w:t>
            </w:r>
            <w:r>
              <w:br/>
            </w:r>
            <w:r>
              <w:rPr>
                <w:sz w:val="21"/>
              </w:rPr>
              <w:t>1、UI界面设计应保持简洁，避免过多的视觉元素和复杂的设计。每个界面上的元素都应该有明确的功能和用途，以减少用户的困惑和提高工作效率。</w:t>
            </w:r>
            <w:r>
              <w:br/>
            </w:r>
            <w:r>
              <w:rPr>
                <w:sz w:val="21"/>
              </w:rPr>
              <w:t>2、UI设计应具有较高的易用性，以降低用户的学习成本和操作难度。所有界面应直观易懂，快捷键和命令应明确标示，并提供足够的反馈以确认操作是否成功。</w:t>
            </w:r>
            <w:r>
              <w:br/>
            </w:r>
            <w:r>
              <w:rPr>
                <w:sz w:val="21"/>
              </w:rPr>
              <w:t>3、UI设计应具有良好的美观性，以提供愉悦的用户体验。这包括但不限于合适的色彩搭配、清晰的字体和图标、以及符合用户习惯的布局。</w:t>
            </w:r>
            <w:r>
              <w:br/>
            </w:r>
            <w:r>
              <w:rPr>
                <w:sz w:val="21"/>
              </w:rPr>
              <w:t>4、UI设计应充分考虑用户的需求和使用习惯，以便提供个性化的用户体验。可以提供多种语言选项，根据用户的习惯自动调整界面布局。</w:t>
            </w:r>
            <w:r>
              <w:br/>
            </w:r>
            <w:r>
              <w:rPr>
                <w:sz w:val="21"/>
              </w:rPr>
              <w:t>5、UI设计应具有良好的交互性，以支持用户与系统的实时互动。</w:t>
            </w:r>
            <w:r>
              <w:br/>
            </w:r>
            <w:r>
              <w:rPr>
                <w:sz w:val="21"/>
              </w:rPr>
              <w:t>6、UI设计应具有良好的兼容性，以确保在各种设备和操作系统上都能正常运行。</w:t>
            </w:r>
            <w:r>
              <w:br/>
            </w:r>
            <w:r>
              <w:rPr>
                <w:sz w:val="21"/>
              </w:rPr>
              <w:t>7、UI设计应具有可扩展性，以满足未来的功能扩展和升级需求。</w:t>
            </w:r>
            <w:r>
              <w:br/>
            </w:r>
            <w:r>
              <w:rPr>
                <w:sz w:val="21"/>
              </w:rPr>
              <w:t>8、投标人应提供全面的技术支持，包括但不限于UI设计的实现、测试、优化，以及用户手册和技术文档的编写。</w:t>
            </w:r>
            <w:r>
              <w:br/>
            </w:r>
            <w:r>
              <w:rPr>
                <w:sz w:val="21"/>
              </w:rPr>
              <w:t>（二）内容要求</w:t>
            </w:r>
            <w:r>
              <w:br/>
            </w:r>
            <w:r>
              <w:rPr>
                <w:sz w:val="21"/>
              </w:rPr>
              <w:t>UI界面设计贴合智能制造单元场景需求，能够根据不同的制造流程和设备进行设计，以提供更加高效、便捷和直观的操作体验。</w:t>
            </w:r>
            <w:r>
              <w:br/>
            </w:r>
            <w:r>
              <w:rPr>
                <w:sz w:val="21"/>
              </w:rPr>
              <w:t>（三）交付要求</w:t>
            </w:r>
            <w:r>
              <w:br/>
            </w:r>
            <w:r>
              <w:rPr>
                <w:sz w:val="21"/>
              </w:rPr>
              <w:t>1、在合同签订后规定的时间内投标人完成UI界面的设计并提交交付物。</w:t>
            </w:r>
            <w:r>
              <w:br/>
            </w:r>
            <w:r>
              <w:rPr>
                <w:sz w:val="21"/>
              </w:rPr>
              <w:t>2、交付物应包括但不限于UI设计原稿、相关文档、使用手册和安装说明等。</w:t>
            </w:r>
          </w:p>
          <w:p>
            <w:pPr>
              <w:jc w:val="left"/>
            </w:pPr>
          </w:p>
          <w:p>
            <w:pPr>
              <w:jc w:val="left"/>
            </w:pPr>
            <w:r>
              <w:rPr>
                <w:sz w:val="21"/>
              </w:rPr>
              <w:t>三、动画模拟</w:t>
            </w:r>
          </w:p>
          <w:p>
            <w:pPr>
              <w:jc w:val="left"/>
            </w:pPr>
            <w:r>
              <w:rPr>
                <w:sz w:val="21"/>
              </w:rPr>
              <w:t>（一）基本要求</w:t>
            </w:r>
            <w:r>
              <w:br/>
            </w:r>
            <w:r>
              <w:rPr>
                <w:sz w:val="21"/>
              </w:rPr>
              <w:t>1、内容符合我国法律法规，尊重民族风俗习惯，不存在版权争议，一个动画完成一个独立设备（装置）的展示，或一个知识点原理、流程的剖析，以动画方式展示工作原理和流程。</w:t>
            </w:r>
            <w:r>
              <w:br/>
            </w:r>
            <w:r>
              <w:rPr>
                <w:sz w:val="21"/>
              </w:rPr>
              <w:t>2、情节合情合理，能够帮助学员理解课程内容；动画表现细腻。</w:t>
            </w:r>
            <w:r>
              <w:br/>
            </w:r>
            <w:r>
              <w:rPr>
                <w:sz w:val="21"/>
              </w:rPr>
              <w:t>3、动画连续性强、节奏合适，帧和帧之间有较强的关联性。</w:t>
            </w:r>
            <w:r>
              <w:br/>
            </w:r>
            <w:r>
              <w:rPr>
                <w:sz w:val="21"/>
              </w:rPr>
              <w:t>4、情节合情合理，能够帮助学员理解课程内容；动画表现细腻。</w:t>
            </w:r>
            <w:r>
              <w:br/>
            </w:r>
            <w:r>
              <w:rPr>
                <w:sz w:val="21"/>
              </w:rPr>
              <w:t>（二）内容要求</w:t>
            </w:r>
            <w:r>
              <w:br/>
            </w:r>
            <w:r>
              <w:rPr>
                <w:sz w:val="21"/>
              </w:rPr>
              <w:t>根据工艺要求，完成零件工艺流程动画，包含以下内容：控制柜介绍。</w:t>
            </w:r>
            <w:r>
              <w:br/>
            </w:r>
            <w:r>
              <w:rPr>
                <w:sz w:val="21"/>
              </w:rPr>
              <w:t>（三）格式要求</w:t>
            </w:r>
            <w:r>
              <w:br/>
            </w:r>
            <w:r>
              <w:rPr>
                <w:sz w:val="21"/>
              </w:rPr>
              <w:t>1、动画帧率决定了动画的流畅度和动态效果。动画应平滑、连贯，无卡顿、抖动现象。所有动画帧率应在≥25fps，以保证良好的观看体验。</w:t>
            </w:r>
            <w:r>
              <w:br/>
            </w:r>
            <w:r>
              <w:rPr>
                <w:sz w:val="21"/>
              </w:rPr>
              <w:t>2、动画时长：动画的时长应根据实际的生产流程来确定。每个设备的动画时长≥10秒。</w:t>
            </w:r>
            <w:r>
              <w:br/>
            </w:r>
            <w:r>
              <w:rPr>
                <w:sz w:val="21"/>
              </w:rPr>
              <w:t>（四）效果要求</w:t>
            </w:r>
            <w:r>
              <w:br/>
            </w:r>
            <w:r>
              <w:rPr>
                <w:sz w:val="21"/>
              </w:rPr>
              <w:t>1、动画应能模拟实际设备的运行效果，包括但不限于设备的移动、旋转、启动和停止等动作。其模拟的准确度应达到实际动作的90%以上。</w:t>
            </w:r>
            <w:r>
              <w:br/>
            </w:r>
            <w:r>
              <w:rPr>
                <w:sz w:val="21"/>
              </w:rPr>
              <w:t>2、动画应能模拟实际物体的物理特性，如重力、碰撞等。物体在移动和碰撞时，应产生相应的物理效果，以增强模拟的真实感。</w:t>
            </w:r>
            <w:r>
              <w:br/>
            </w:r>
            <w:r>
              <w:rPr>
                <w:sz w:val="21"/>
              </w:rPr>
              <w:t>3、动画应具有高质量的视觉效果，包括但不限于光照、阴影、纹理等。光照应能模拟实际环境的光照效果，阴影应能根据光照的角度和方向产生相应的阴影，纹理应能准确反映物体的实际外观。</w:t>
            </w:r>
            <w:r>
              <w:br/>
            </w:r>
            <w:r>
              <w:rPr>
                <w:sz w:val="21"/>
              </w:rPr>
              <w:t>（五）交付要求</w:t>
            </w:r>
            <w:r>
              <w:br/>
            </w:r>
            <w:r>
              <w:rPr>
                <w:sz w:val="21"/>
              </w:rPr>
              <w:t>1、在合同签订后规定的时间内投标人应以电子文件的形式提交，并确保动画能够在指定的3D设计软件或引擎中打开和运行。</w:t>
            </w:r>
            <w:r>
              <w:br/>
            </w:r>
            <w:r>
              <w:rPr>
                <w:sz w:val="21"/>
              </w:rPr>
              <w:t>2、投标人应提供相对应的操作指南和技术手册，以便用户自行使用。</w:t>
            </w:r>
          </w:p>
          <w:p>
            <w:pPr>
              <w:jc w:val="left"/>
            </w:pPr>
          </w:p>
          <w:p>
            <w:pPr>
              <w:jc w:val="left"/>
            </w:pPr>
            <w:r>
              <w:rPr>
                <w:sz w:val="21"/>
              </w:rPr>
              <w:t>四、交互功能</w:t>
            </w:r>
          </w:p>
          <w:p>
            <w:pPr>
              <w:jc w:val="both"/>
            </w:pPr>
            <w:r>
              <w:rPr>
                <w:sz w:val="21"/>
              </w:rPr>
              <w:t>（一）基本要求</w:t>
            </w:r>
            <w:r>
              <w:br/>
            </w:r>
            <w:r>
              <w:rPr>
                <w:sz w:val="21"/>
              </w:rPr>
              <w:t>1、模块操作简易，能够帮助用户轻松实现与智能制造中心进行交互。</w:t>
            </w:r>
            <w:r>
              <w:br/>
            </w:r>
            <w:r>
              <w:rPr>
                <w:sz w:val="21"/>
              </w:rPr>
              <w:t>2、具备用户友好的交互界面，以便用户能够便捷地进行操作和控制。</w:t>
            </w:r>
            <w:r>
              <w:br/>
            </w:r>
            <w:r>
              <w:rPr>
                <w:sz w:val="21"/>
              </w:rPr>
              <w:t>3、具有良好的系统稳定性，能在各种复杂的环境和负载条件下稳定运行。</w:t>
            </w:r>
            <w:r>
              <w:br/>
            </w:r>
            <w:r>
              <w:rPr>
                <w:sz w:val="21"/>
              </w:rPr>
              <w:t>4、具有良好的可扩展性，以便于未来功能的扩展和升级。</w:t>
            </w:r>
            <w:r>
              <w:br/>
            </w:r>
            <w:r>
              <w:rPr>
                <w:sz w:val="21"/>
              </w:rPr>
              <w:t>（二）技术要求</w:t>
            </w:r>
            <w:r>
              <w:br/>
            </w:r>
            <w:r>
              <w:rPr>
                <w:sz w:val="21"/>
              </w:rPr>
              <w:t>支持多种输入设备，如鼠标、键盘、手柄等，以便于用户进行操作。</w:t>
            </w:r>
            <w:r>
              <w:br/>
            </w:r>
            <w:r>
              <w:rPr>
                <w:sz w:val="21"/>
              </w:rPr>
              <w:t>（三）功能要求</w:t>
            </w:r>
            <w:r>
              <w:br/>
            </w:r>
            <w:r>
              <w:rPr>
                <w:sz w:val="21"/>
              </w:rPr>
              <w:t>模块具备动画控制能力，应支持动画的播放、暂停、循环等功能，方便用户进行观察和学习。</w:t>
            </w:r>
            <w:r>
              <w:br/>
            </w:r>
            <w:r>
              <w:rPr>
                <w:sz w:val="21"/>
              </w:rPr>
              <w:t>（四）交付要求</w:t>
            </w:r>
            <w:r>
              <w:br/>
            </w:r>
            <w:r>
              <w:rPr>
                <w:sz w:val="21"/>
              </w:rPr>
              <w:t>1、在合同签订后规定的时间内投标人应以完成交互功能的交付，并且完成部署。</w:t>
            </w:r>
            <w:r>
              <w:br/>
            </w:r>
            <w:r>
              <w:rPr>
                <w:sz w:val="21"/>
              </w:rPr>
              <w:t>2、投标人应提供详细的技术文档。</w:t>
            </w:r>
            <w:r>
              <w:br/>
            </w:r>
            <w:r>
              <w:rPr>
                <w:sz w:val="21"/>
              </w:rPr>
              <w:t>3、交付的功能模块应通过一系列的测试，包括功能测试、稳定性测试等，以确保模块的质量。</w:t>
            </w:r>
          </w:p>
        </w:tc>
      </w:tr>
      <w:tr>
        <w:tc>
          <w:tcPr>
            <w:tcW w:type="dxa" w:w="2076"/>
          </w:tcPr>
          <w:p/>
        </w:tc>
        <w:tc>
          <w:tcPr>
            <w:tcW w:type="dxa" w:w="415"/>
          </w:tcPr>
          <w:p>
            <w:r>
              <w:rPr/>
              <w:t>5</w:t>
            </w:r>
          </w:p>
        </w:tc>
        <w:tc>
          <w:tcPr>
            <w:tcW w:type="dxa" w:w="5814"/>
          </w:tcPr>
          <w:p>
            <w:pPr>
              <w:jc w:val="left"/>
            </w:pPr>
            <w:r>
              <w:rPr>
                <w:sz w:val="21"/>
              </w:rPr>
              <w:t>智能制造单元</w:t>
            </w:r>
            <w:r>
              <w:rPr>
                <w:sz w:val="21"/>
              </w:rPr>
              <w:t>-整体场景</w:t>
            </w:r>
          </w:p>
          <w:p>
            <w:pPr>
              <w:jc w:val="left"/>
            </w:pPr>
            <w:r>
              <w:rPr>
                <w:sz w:val="21"/>
              </w:rPr>
              <w:t>一、三维模型</w:t>
            </w:r>
          </w:p>
          <w:p>
            <w:pPr>
              <w:jc w:val="left"/>
            </w:pPr>
            <w:r>
              <w:rPr>
                <w:sz w:val="21"/>
              </w:rPr>
              <w:t>（一）技术要求</w:t>
            </w:r>
            <w:r>
              <w:br/>
            </w:r>
            <w:r>
              <w:rPr>
                <w:sz w:val="21"/>
              </w:rPr>
              <w:t>1、智能制造单元场景采用Polygon多边形建模，其中包含3D数字模型及配套的数字贴图文件。</w:t>
            </w:r>
            <w:r>
              <w:br/>
            </w:r>
            <w:r>
              <w:rPr>
                <w:sz w:val="21"/>
              </w:rPr>
              <w:t>2、智能制造单元场景中的模型采用基于PBR（Physically-Based Rendering）类型材质属性并不少于3通道类型贴图数据分别为Albedo、Normal、Roughness。</w:t>
            </w:r>
            <w:r>
              <w:br/>
            </w:r>
            <w:r>
              <w:rPr>
                <w:sz w:val="21"/>
              </w:rPr>
              <w:t>3、所有智能制造单元场景中的模型具备可扩展性，支持二次编辑，可对接Unreal、Unity3D、3DsMax、Maya、Blender、Twinmotion等软件及引擎。</w:t>
            </w:r>
            <w:r>
              <w:br/>
            </w:r>
            <w:r>
              <w:rPr>
                <w:sz w:val="21"/>
              </w:rPr>
              <w:t>▲4、智能制造单元场景中的模型文件格式为Glb与FBX，其中FBX文件包中需包含对应的贴图数据文件。</w:t>
            </w:r>
            <w:r>
              <w:br/>
            </w:r>
            <w:r>
              <w:rPr>
                <w:sz w:val="21"/>
              </w:rPr>
              <w:t>5、智能制造单元场景中的模型可支持对接智能制造数字资产管理系统或同类型实时渲染系统进行分发与展示交互。（提供对应功能页面截图）</w:t>
            </w:r>
            <w:r>
              <w:br/>
            </w:r>
            <w:r>
              <w:rPr>
                <w:sz w:val="21"/>
              </w:rPr>
              <w:t>6、智能制造单元场景中的模型中需包含对应展开的UVW信息。</w:t>
            </w:r>
            <w:r>
              <w:br/>
            </w:r>
            <w:r>
              <w:rPr>
                <w:sz w:val="21"/>
              </w:rPr>
              <w:t>7、内容中涉及其任何功能、技术或服务不侵犯第三方知识产权。</w:t>
            </w:r>
            <w:r>
              <w:br/>
            </w:r>
            <w:r>
              <w:rPr>
                <w:sz w:val="21"/>
              </w:rPr>
              <w:t>（二）服务要求</w:t>
            </w:r>
            <w:r>
              <w:br/>
            </w:r>
            <w:r>
              <w:rPr>
                <w:sz w:val="21"/>
              </w:rPr>
              <w:t>提供</w:t>
            </w:r>
            <w:r>
              <w:rPr>
                <w:sz w:val="21"/>
              </w:rPr>
              <w:t>3年服务与3年免费质保期，质保期内提供7×24小时实时技术支持、应用系统标准功能升级和功能完善等。对于技术咨询应在8小时内提出解决方案。遇到重大技术问题，及时组织有关技术专家进行会诊，并在48小时内解决，如未解决需提供可替代解决方案，以确保系统正常运行。</w:t>
            </w:r>
            <w:r>
              <w:br/>
            </w:r>
            <w:r>
              <w:rPr>
                <w:sz w:val="21"/>
              </w:rPr>
              <w:t>（三）内容要求</w:t>
            </w:r>
            <w:r>
              <w:br/>
            </w:r>
            <w:r>
              <w:rPr>
                <w:sz w:val="21"/>
              </w:rPr>
              <w:t>1、完成智能制造单元整体场景的搭建及配套小型设备。</w:t>
            </w:r>
            <w:r>
              <w:br/>
            </w:r>
            <w:r>
              <w:rPr>
                <w:sz w:val="21"/>
              </w:rPr>
              <w:t>2、3D模型应对比实体参照物≥90%的还原精度，以确保虚拟仿真的准确性和可靠性。这需要对物体形状、尺寸、颜色等特征进行精细的建模和贴图，达到几乎与真实世界情况一样的效果。</w:t>
            </w:r>
            <w:r>
              <w:br/>
            </w:r>
            <w:r>
              <w:rPr>
                <w:sz w:val="21"/>
              </w:rPr>
              <w:t>（四）交付要求</w:t>
            </w:r>
            <w:r>
              <w:br/>
            </w:r>
            <w:r>
              <w:rPr>
                <w:sz w:val="21"/>
              </w:rPr>
              <w:t>1、在合同签订后规定的时间内投标人以电子文件形式完成模型的交付，包含：3D数字模型及配套的数字贴图文件；提供模型的源文件支持用户进行二次编辑。</w:t>
            </w:r>
            <w:r>
              <w:br/>
            </w:r>
            <w:r>
              <w:rPr>
                <w:sz w:val="21"/>
              </w:rPr>
              <w:t>2、投标人提供必要的技术手册，以便用户操作和使用模型。</w:t>
            </w:r>
          </w:p>
          <w:p>
            <w:pPr>
              <w:jc w:val="left"/>
            </w:pPr>
          </w:p>
          <w:p>
            <w:pPr>
              <w:jc w:val="left"/>
            </w:pPr>
            <w:r>
              <w:rPr>
                <w:sz w:val="21"/>
              </w:rPr>
              <w:t>二、</w:t>
            </w:r>
            <w:r>
              <w:rPr>
                <w:sz w:val="21"/>
              </w:rPr>
              <w:t>UI设计</w:t>
            </w:r>
          </w:p>
          <w:p>
            <w:pPr>
              <w:jc w:val="left"/>
            </w:pPr>
            <w:r>
              <w:rPr>
                <w:sz w:val="21"/>
              </w:rPr>
              <w:t>（一）基本要求</w:t>
            </w:r>
            <w:r>
              <w:br/>
            </w:r>
            <w:r>
              <w:rPr>
                <w:sz w:val="21"/>
              </w:rPr>
              <w:t>1、UI界面设计应保持简洁，避免过多的视觉元素和复杂的设计。每个界面上的元素都应该有明确的功能和用途，以减少用户的困惑和提高工作效率。</w:t>
            </w:r>
            <w:r>
              <w:br/>
            </w:r>
            <w:r>
              <w:rPr>
                <w:sz w:val="21"/>
              </w:rPr>
              <w:t>2、UI设计应具有较高的易用性，以降低用户的学习成本和操作难度。所有界面应直观易懂，快捷键和命令应明确标示，并提供足够的反馈以确认操作是否成功。</w:t>
            </w:r>
            <w:r>
              <w:br/>
            </w:r>
            <w:r>
              <w:rPr>
                <w:sz w:val="21"/>
              </w:rPr>
              <w:t>3、UI设计应具有良好的美观性，以提供愉悦的用户体验。这包括但不限于合适的色彩搭配、清晰的字体和图标、以及符合用户习惯的布局。</w:t>
            </w:r>
            <w:r>
              <w:br/>
            </w:r>
            <w:r>
              <w:rPr>
                <w:sz w:val="21"/>
              </w:rPr>
              <w:t>4、UI设计应充分考虑用户的需求和使用习惯，以便提供个性化的用户体验。可以提供多种语言选项，根据用户的习惯自动调整界面布局。</w:t>
            </w:r>
            <w:r>
              <w:br/>
            </w:r>
            <w:r>
              <w:rPr>
                <w:sz w:val="21"/>
              </w:rPr>
              <w:t>5、UI设计应具有良好的交互性，以支持用户与系统的实时互动。</w:t>
            </w:r>
            <w:r>
              <w:br/>
            </w:r>
            <w:r>
              <w:rPr>
                <w:sz w:val="21"/>
              </w:rPr>
              <w:t>6、UI设计应具有良好的兼容性，以确保在各种设备和操作系统上都能正常运行。</w:t>
            </w:r>
            <w:r>
              <w:br/>
            </w:r>
            <w:r>
              <w:rPr>
                <w:sz w:val="21"/>
              </w:rPr>
              <w:t>7、UI设计应具有可扩展性，以满足未来的功能扩展和升级需求。</w:t>
            </w:r>
            <w:r>
              <w:br/>
            </w:r>
            <w:r>
              <w:rPr>
                <w:sz w:val="21"/>
              </w:rPr>
              <w:t>8、投标人应提供全面的技术支持，包括但不限于UI设计的实现、测试、优化，以及用户手册和技术文档的编写。</w:t>
            </w:r>
            <w:r>
              <w:br/>
            </w:r>
            <w:r>
              <w:rPr>
                <w:sz w:val="21"/>
              </w:rPr>
              <w:t>（二）内容要求</w:t>
            </w:r>
            <w:r>
              <w:br/>
            </w:r>
            <w:r>
              <w:rPr>
                <w:sz w:val="21"/>
              </w:rPr>
              <w:t>UI界面设计贴合智能制造单元场景需求，能够根据不同的制造流程和设备进行设计，以提供更加高效、便捷和直观的操作体验。</w:t>
            </w:r>
            <w:r>
              <w:br/>
            </w:r>
            <w:r>
              <w:rPr>
                <w:sz w:val="21"/>
              </w:rPr>
              <w:t>（三）交付要求</w:t>
            </w:r>
            <w:r>
              <w:br/>
            </w:r>
            <w:r>
              <w:rPr>
                <w:sz w:val="21"/>
              </w:rPr>
              <w:t>1、在合同签订后规定的时间内投标人完成UI界面的设计并提交交付物。</w:t>
            </w:r>
            <w:r>
              <w:br/>
            </w:r>
            <w:r>
              <w:rPr>
                <w:sz w:val="21"/>
              </w:rPr>
              <w:t>2、交付物应包括但不限于UI设计原稿、相关文档、使用手册和安装说明等。</w:t>
            </w:r>
          </w:p>
          <w:p>
            <w:pPr>
              <w:jc w:val="left"/>
            </w:pPr>
          </w:p>
          <w:p>
            <w:pPr>
              <w:jc w:val="left"/>
            </w:pPr>
            <w:r>
              <w:rPr>
                <w:sz w:val="21"/>
              </w:rPr>
              <w:t>三、动画模拟</w:t>
            </w:r>
          </w:p>
          <w:p>
            <w:pPr>
              <w:jc w:val="left"/>
            </w:pPr>
            <w:r>
              <w:rPr>
                <w:sz w:val="21"/>
              </w:rPr>
              <w:t>（一）基本要求</w:t>
            </w:r>
            <w:r>
              <w:br/>
            </w:r>
            <w:r>
              <w:rPr>
                <w:sz w:val="21"/>
              </w:rPr>
              <w:t>1、内容符合我国法律法规，尊重民族风俗习惯，不存在版权争议，一个动画完成一个独立设备（装置）的展示，或一个知识点原理、流程的剖析，以动画方式展示工作原理和流程。</w:t>
            </w:r>
            <w:r>
              <w:br/>
            </w:r>
            <w:r>
              <w:rPr>
                <w:sz w:val="21"/>
              </w:rPr>
              <w:t>2、情节合情合理，能够帮助学员理解课程内容；动画表现细腻。</w:t>
            </w:r>
            <w:r>
              <w:br/>
            </w:r>
            <w:r>
              <w:rPr>
                <w:sz w:val="21"/>
              </w:rPr>
              <w:t>3、动画连续性强、节奏合适，帧和帧之间有较强的关联性。</w:t>
            </w:r>
            <w:r>
              <w:br/>
            </w:r>
            <w:r>
              <w:rPr>
                <w:sz w:val="21"/>
              </w:rPr>
              <w:t>4、情节合情合理，能够帮助学员理解课程内容；动画表现细腻。</w:t>
            </w:r>
            <w:r>
              <w:br/>
            </w:r>
            <w:r>
              <w:rPr>
                <w:sz w:val="21"/>
              </w:rPr>
              <w:t>（二）内容要求</w:t>
            </w:r>
            <w:r>
              <w:br/>
            </w:r>
            <w:r>
              <w:rPr>
                <w:sz w:val="21"/>
              </w:rPr>
              <w:t>根据工艺要求，完成零件工艺流程动画，包含以下内容：毛坯出库。</w:t>
            </w:r>
            <w:r>
              <w:br/>
            </w:r>
            <w:r>
              <w:rPr>
                <w:sz w:val="21"/>
              </w:rPr>
              <w:t>（三）格式要求</w:t>
            </w:r>
            <w:r>
              <w:br/>
            </w:r>
            <w:r>
              <w:rPr>
                <w:sz w:val="21"/>
              </w:rPr>
              <w:t>1、动画帧率决定了动画的流畅度和动态效果。动画应平滑、连贯，无卡顿、抖动现象。所有动画帧率应在≥25fps，以保证良好的观看体验。</w:t>
            </w:r>
            <w:r>
              <w:br/>
            </w:r>
            <w:r>
              <w:rPr>
                <w:sz w:val="21"/>
              </w:rPr>
              <w:t>2、动画时长：动画的时长应根据实际的生产流程来确定。每个设备的动画时长≥10秒。</w:t>
            </w:r>
            <w:r>
              <w:br/>
            </w:r>
            <w:r>
              <w:rPr>
                <w:sz w:val="21"/>
              </w:rPr>
              <w:t>（四）效果要求</w:t>
            </w:r>
            <w:r>
              <w:br/>
            </w:r>
            <w:r>
              <w:rPr>
                <w:sz w:val="21"/>
              </w:rPr>
              <w:t>1、动画应能模拟实际设备的运行效果，包括但不限于设备的移动、旋转、启动和停止等动作。其模拟的准确度应达到实际动作的90%以上。</w:t>
            </w:r>
            <w:r>
              <w:br/>
            </w:r>
            <w:r>
              <w:rPr>
                <w:sz w:val="21"/>
              </w:rPr>
              <w:t>2、动画应能模拟实际物体的物理特性，如重力、碰撞等。物体在移动和碰撞时，应产生相应的物理效果，以增强模拟的真实感。</w:t>
            </w:r>
            <w:r>
              <w:br/>
            </w:r>
            <w:r>
              <w:rPr>
                <w:sz w:val="21"/>
              </w:rPr>
              <w:t>3、动画应具有高质量的视觉效果，包括但不限于光照、阴影、纹理等。光照应能模拟实际环境的光照效果，阴影应能根据光照的角度和方向产生相应的阴影，纹理应能准确反映物体的实际外观。</w:t>
            </w:r>
            <w:r>
              <w:br/>
            </w:r>
            <w:r>
              <w:rPr>
                <w:sz w:val="21"/>
              </w:rPr>
              <w:t>（五）交付要求</w:t>
            </w:r>
            <w:r>
              <w:br/>
            </w:r>
            <w:r>
              <w:rPr>
                <w:sz w:val="21"/>
              </w:rPr>
              <w:t>1、在合同签订后规定的时间内投标人应以电子文件的形式提交，并确保动画能够在指定的3D设计软件或引擎中打开和运行。</w:t>
            </w:r>
            <w:r>
              <w:br/>
            </w:r>
            <w:r>
              <w:rPr>
                <w:sz w:val="21"/>
              </w:rPr>
              <w:t>2、投标人应提供相对应的操作指南和技术手册，以便用户自行使用。</w:t>
            </w:r>
          </w:p>
          <w:p>
            <w:pPr>
              <w:jc w:val="left"/>
            </w:pPr>
            <w:r>
              <w:rPr>
                <w:sz w:val="21"/>
              </w:rPr>
              <w:t>四、交互功能</w:t>
            </w:r>
          </w:p>
          <w:p>
            <w:pPr>
              <w:jc w:val="both"/>
            </w:pPr>
            <w:r>
              <w:rPr>
                <w:sz w:val="21"/>
              </w:rPr>
              <w:t>（一）基本要求</w:t>
            </w:r>
            <w:r>
              <w:br/>
            </w:r>
            <w:r>
              <w:rPr>
                <w:sz w:val="21"/>
              </w:rPr>
              <w:t>1、模块操作简易，能够帮助用户轻松实现与智能制造中心进行交互。</w:t>
            </w:r>
            <w:r>
              <w:br/>
            </w:r>
            <w:r>
              <w:rPr>
                <w:sz w:val="21"/>
              </w:rPr>
              <w:t>2、具备用户友好的交互界面，以便用户能够便捷地进行操作和控制。</w:t>
            </w:r>
            <w:r>
              <w:br/>
            </w:r>
            <w:r>
              <w:rPr>
                <w:sz w:val="21"/>
              </w:rPr>
              <w:t>3、具有良好的系统稳定性，能在各种复杂的环境和负载条件下稳定运行。</w:t>
            </w:r>
            <w:r>
              <w:br/>
            </w:r>
            <w:r>
              <w:rPr>
                <w:sz w:val="21"/>
              </w:rPr>
              <w:t>4、具有良好的可扩展性，以便于未来功能的扩展和升级。</w:t>
            </w:r>
            <w:r>
              <w:br/>
            </w:r>
            <w:r>
              <w:rPr>
                <w:sz w:val="21"/>
              </w:rPr>
              <w:t>（二）技术要求</w:t>
            </w:r>
            <w:r>
              <w:br/>
            </w:r>
            <w:r>
              <w:rPr>
                <w:sz w:val="21"/>
              </w:rPr>
              <w:t>支持多种输入设备，如鼠标、键盘、手柄等，以便于用户进行操作。</w:t>
            </w:r>
            <w:r>
              <w:br/>
            </w:r>
            <w:r>
              <w:rPr>
                <w:sz w:val="21"/>
              </w:rPr>
              <w:t>（三）功能要求</w:t>
            </w:r>
            <w:r>
              <w:br/>
            </w:r>
            <w:r>
              <w:rPr>
                <w:sz w:val="21"/>
              </w:rPr>
              <w:t>模块具备动画控制能力，应支持动画的播放、暂停、循环等功能，方便用户进行观察和学习。</w:t>
            </w:r>
            <w:r>
              <w:br/>
            </w:r>
            <w:r>
              <w:rPr>
                <w:sz w:val="21"/>
              </w:rPr>
              <w:t>（四）交付要求</w:t>
            </w:r>
            <w:r>
              <w:br/>
            </w:r>
            <w:r>
              <w:rPr>
                <w:sz w:val="21"/>
              </w:rPr>
              <w:t>1、在合同签订后规定的时间内投标人应以完成交互功能的交付，并且完成部署。</w:t>
            </w:r>
            <w:r>
              <w:br/>
            </w:r>
            <w:r>
              <w:rPr>
                <w:sz w:val="21"/>
              </w:rPr>
              <w:t>2、投标人应提供详细的技术文档。</w:t>
            </w:r>
            <w:r>
              <w:br/>
            </w:r>
            <w:r>
              <w:rPr>
                <w:sz w:val="21"/>
              </w:rPr>
              <w:t>3、交付的功能模块应通过一系列的测试，包括功能测试、稳定性测试等，以确保模块的质量。</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广州铁路职业技术学院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向中标人定额收取，以采购预算金额为计算基数参照国家计委颁布的（计价格【2002】1980号）及国家发改委颁布的（发改办价格【2003】857号）收取。不足15000元的按15000元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黎颖欣、吴秋娜</w:t>
      </w:r>
    </w:p>
    <w:p>
      <w:pPr>
        <w:ind w:firstLine="480"/>
      </w:pPr>
      <w:r>
        <w:rPr/>
        <w:t>电话：</w:t>
      </w:r>
      <w:r>
        <w:rPr/>
        <w:t>020-87688289、020-87684402</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话：020-38923575</w:t>
      </w:r>
    </w:p>
    <w:p>
      <w:r>
        <w:rPr/>
        <w:t>邮  编：510030</w:t>
      </w:r>
    </w:p>
    <w:p>
      <w:r>
        <w:rPr/>
        <w:t>传  真： /</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全国工商联人才中心产教融合示范实训基地建设购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采购包1（全国工商联人才中心产教融合示范实训基地建设购置）：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采购包1（全国工商联人才中心产教融合示范实训基地建设购置）：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采购包1（全国工商联人才中心产教融合示范实训基地建设购置）：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采购包1(全国工商联人才中心产教融合示范实训基地建设购置):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技术部分45.0分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技术标准与要求响应程度 (21.0分)</w:t>
            </w:r>
          </w:p>
        </w:tc>
        <w:tc>
          <w:tcPr>
            <w:tcW w:type="dxa" w:w="5076"/>
          </w:tcPr>
          <w:p>
            <w:pPr>
              <w:jc w:val="left"/>
            </w:pPr>
            <w:r>
              <w:rPr/>
              <w:t>根据投标人对采购需求的“技术标准与要求”响应情况进行评审： （1）完全响应或正偏离“技术标准与要求”中的“▲”条款（共6项）的，得12分，每个“▲”条款负偏离或未响应扣2分，最低扣至0分。  注：如招标文件中有明确提供的证明资料的，则以招标文件中要求的为准，无或未按要求提供证明材料的不得分；如招标文件中无明确提供的证明资料，以采购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 （2）附表一（序号1-4）和附表二（序号1-5）中一般技术参数条款（“技术标准与要求”中除“★”及“▲”之外的条款）（共9项），每一项有一条（或以上）一般技术参数负偏离或不满足，则那项一般参数整体不得分。每项完全满足的得1分，本小点最高得9分。</w:t>
            </w:r>
          </w:p>
        </w:tc>
      </w:tr>
      <w:tr>
        <w:tc>
          <w:tcPr>
            <w:tcW w:type="dxa" w:w="922"/>
            <w:gridSpan w:val="2"/>
            <w:vMerge/>
          </w:tcPr>
          <w:p/>
        </w:tc>
        <w:tc>
          <w:tcPr>
            <w:tcW w:type="dxa" w:w="2307"/>
          </w:tcPr>
          <w:p>
            <w:pPr>
              <w:jc w:val="left"/>
            </w:pPr>
            <w:r>
              <w:rPr/>
              <w:t>项目实施方案（一） (2.0分)</w:t>
            </w:r>
          </w:p>
        </w:tc>
        <w:tc>
          <w:tcPr>
            <w:tcW w:type="dxa" w:w="5076"/>
          </w:tcPr>
          <w:p>
            <w:pPr>
              <w:jc w:val="left"/>
            </w:pPr>
            <w:r>
              <w:rPr/>
              <w:t>评标委员会根据投标人提供的项目实施方案进行评审，方案应包括（投标文件中方案标题应以下列方案名称命名）： （1）建设规划； （2）功能模块设计； （3）项目安装、集成、调试； （4）验收计划。 提供全部内容得2分，每缺1项扣0.5分。</w:t>
            </w:r>
          </w:p>
        </w:tc>
      </w:tr>
      <w:tr>
        <w:tc>
          <w:tcPr>
            <w:tcW w:type="dxa" w:w="922"/>
            <w:gridSpan w:val="2"/>
            <w:vMerge/>
          </w:tcPr>
          <w:p/>
        </w:tc>
        <w:tc>
          <w:tcPr>
            <w:tcW w:type="dxa" w:w="2307"/>
          </w:tcPr>
          <w:p>
            <w:pPr>
              <w:jc w:val="left"/>
            </w:pPr>
            <w:r>
              <w:rPr/>
              <w:t>项目实施方案（二） (8.0分)</w:t>
            </w:r>
          </w:p>
        </w:tc>
        <w:tc>
          <w:tcPr>
            <w:tcW w:type="dxa" w:w="5076"/>
          </w:tcPr>
          <w:p>
            <w:pPr>
              <w:jc w:val="left"/>
            </w:pPr>
            <w:r>
              <w:rPr/>
              <w:t>评标委员会根据投标人提供的项目实施方案（一）详细内容进行综合评审： （1）项目实施方案对需求响应全面具体、针对项目全部重点难点全面剖析，能针对全部重点难点提出科学合理、可直接执行的实施方案，有效保障本项目实施，有利于实现服务效果，得8分； （2）项目实施方案对需求响应全面具体，针对部分重点难点全面剖析，只针对部分重点难点提出科学合理，具备一定执行性的实施方案，能基本保障本项目服务实施，基本满足服务效果，得5分； （3）项目实施方案对需求响应全面具体，针对部分重点难点全面剖析，只针对部分重点难点提出科学合理，具备一定执行性的实施方案，能基本保障本项目服务实施，部分满足服务效果，得3分； （4）项目实施方案对需求响应不全面，只针对部分重点难点剖析，提出方案合理性不足、针对性不强或难以执行的，无法保障本项目服务实施，达不到服务效果，得1分； （5）未提供方案，得0分。</w:t>
            </w:r>
          </w:p>
        </w:tc>
      </w:tr>
      <w:tr>
        <w:tc>
          <w:tcPr>
            <w:tcW w:type="dxa" w:w="922"/>
            <w:gridSpan w:val="2"/>
            <w:vMerge/>
          </w:tcPr>
          <w:p/>
        </w:tc>
        <w:tc>
          <w:tcPr>
            <w:tcW w:type="dxa" w:w="2307"/>
          </w:tcPr>
          <w:p>
            <w:pPr>
              <w:jc w:val="left"/>
            </w:pPr>
            <w:r>
              <w:rPr/>
              <w:t>售后服务方案（一） (2.0分)</w:t>
            </w:r>
          </w:p>
        </w:tc>
        <w:tc>
          <w:tcPr>
            <w:tcW w:type="dxa" w:w="5076"/>
          </w:tcPr>
          <w:p>
            <w:pPr>
              <w:jc w:val="left"/>
            </w:pPr>
            <w:r>
              <w:rPr/>
              <w:t>评标委员会根据投标人提供的售后服务方案进行评审，方案应包括（投标文件中方案标题应以下列方案名称命名）： （1）售后服务承诺； （2）售后服务响应体系； （3）售后服务保障措施； （4）售后应急措施。 提供全部内容得2分，每缺1项扣0.5分。</w:t>
            </w:r>
          </w:p>
        </w:tc>
      </w:tr>
      <w:tr>
        <w:tc>
          <w:tcPr>
            <w:tcW w:type="dxa" w:w="922"/>
            <w:gridSpan w:val="2"/>
            <w:vMerge/>
          </w:tcPr>
          <w:p/>
        </w:tc>
        <w:tc>
          <w:tcPr>
            <w:tcW w:type="dxa" w:w="2307"/>
          </w:tcPr>
          <w:p>
            <w:pPr>
              <w:jc w:val="left"/>
            </w:pPr>
            <w:r>
              <w:rPr/>
              <w:t>售后服务方案（二） (5.0分)</w:t>
            </w:r>
          </w:p>
        </w:tc>
        <w:tc>
          <w:tcPr>
            <w:tcW w:type="dxa" w:w="5076"/>
          </w:tcPr>
          <w:p>
            <w:pPr>
              <w:jc w:val="left"/>
            </w:pPr>
            <w:r>
              <w:rPr/>
              <w:t>评标委员会根据投标人提供的售后服务方案（一）详细内容进行综合评审：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5分；  （2）售后服务方案对需求响应全面具体，只针对实施的部分难点或部分关键点进行剖析，售后服务计划不完善或者配备人员不足，但方案仍具备一定执行性的，基本保障本项目服务实施，基本满足服务效果，得3分；  （3）售后服务方案对需求响应不全面，对实施难点重点认识不清晰，售后服务计划差或者人员配备差的，或者方案难以执行的，无法保障本项目服务实施，达不到服务效果，得1分；  （4）未提供方案，得0分。</w:t>
            </w:r>
          </w:p>
        </w:tc>
      </w:tr>
      <w:tr>
        <w:tc>
          <w:tcPr>
            <w:tcW w:type="dxa" w:w="922"/>
            <w:gridSpan w:val="2"/>
            <w:vMerge/>
          </w:tcPr>
          <w:p/>
        </w:tc>
        <w:tc>
          <w:tcPr>
            <w:tcW w:type="dxa" w:w="2307"/>
          </w:tcPr>
          <w:p>
            <w:pPr>
              <w:jc w:val="left"/>
            </w:pPr>
            <w:r>
              <w:rPr/>
              <w:t>技术培训方案（一） (2.0分)</w:t>
            </w:r>
          </w:p>
        </w:tc>
        <w:tc>
          <w:tcPr>
            <w:tcW w:type="dxa" w:w="5076"/>
          </w:tcPr>
          <w:p>
            <w:pPr>
              <w:jc w:val="left"/>
            </w:pPr>
            <w:r>
              <w:rPr/>
              <w:t>评标委员会根据投标人提供的技术培训方案进行评审，方案应包括（投标文件中方案标题应以下列方案名称命名）： （1）培训方式； （2）培训内容； （3）培训流程； （4）培训人员。 提供全部内容得2分，每缺1项扣0.5分。</w:t>
            </w:r>
          </w:p>
        </w:tc>
      </w:tr>
      <w:tr>
        <w:tc>
          <w:tcPr>
            <w:tcW w:type="dxa" w:w="922"/>
            <w:gridSpan w:val="2"/>
            <w:vMerge/>
          </w:tcPr>
          <w:p/>
        </w:tc>
        <w:tc>
          <w:tcPr>
            <w:tcW w:type="dxa" w:w="2307"/>
          </w:tcPr>
          <w:p>
            <w:pPr>
              <w:jc w:val="left"/>
            </w:pPr>
            <w:r>
              <w:rPr/>
              <w:t>技术培训方案（二） (5.0分)</w:t>
            </w:r>
          </w:p>
        </w:tc>
        <w:tc>
          <w:tcPr>
            <w:tcW w:type="dxa" w:w="5076"/>
          </w:tcPr>
          <w:p>
            <w:pPr>
              <w:jc w:val="left"/>
            </w:pPr>
            <w:r>
              <w:rPr/>
              <w:t>评标委员会根据投标人提供的技术培训方案（一）详细内容进行综合评审： （1）技术培训方案详细完整，对需求全面剖析，针对重点、难点、要点需求全面理解，分别提出具备专业性、实用性的实施方案并有合理可行保障措施，有效保障本项目实施，有利于实现服务效果，得5分；  （2）技术培训方案较详细完整，对部分需求进行剖析，针对部分重点、难点、要点需求进行理解，提出部分具备专业性、实用性的实施方案或者部分合理可行保障措施，基本保障本项目服务实施，部分满足服务效果，得3分；  （3）技术培训方案简单，没有对需求进行理解进行剖析，没有提出体现专业性或针对性的措施，或者措施方案不合理不可行的，无法保障本项目服务实施，达不到服务效果，得1分；  （4）未提供方案，得0分。</w:t>
            </w:r>
          </w:p>
        </w:tc>
      </w:tr>
      <w:tr>
        <w:tc>
          <w:tcPr>
            <w:tcW w:type="dxa" w:w="922"/>
            <w:gridSpan w:val="2"/>
            <w:vMerge w:val="restart"/>
          </w:tcPr>
          <w:p>
            <w:pPr>
              <w:jc w:val="center"/>
            </w:pPr>
            <w:r>
              <w:rPr/>
              <w:t>商务部分</w:t>
            </w:r>
          </w:p>
        </w:tc>
        <w:tc>
          <w:tcPr>
            <w:tcW w:type="dxa" w:w="2307"/>
          </w:tcPr>
          <w:p>
            <w:pPr>
              <w:jc w:val="left"/>
            </w:pPr>
            <w:r>
              <w:rPr/>
              <w:t>同类项目业绩 (6.0分)</w:t>
            </w:r>
          </w:p>
        </w:tc>
        <w:tc>
          <w:tcPr>
            <w:tcW w:type="dxa" w:w="5076"/>
          </w:tcPr>
          <w:p>
            <w:pPr>
              <w:jc w:val="left"/>
            </w:pPr>
            <w:r>
              <w:rPr/>
              <w:t>根据投标人提供的自2020年1月1日以来做过同类项目业绩（虚拟仿真建设的项目）每提供一项得2分，最高6分。 注：需提供合同复印件，以合同的签订日期为准，不提供或专家无法认定的不得分，同一个单位提供的多个业绩仅计算一次得分。</w:t>
            </w:r>
          </w:p>
        </w:tc>
      </w:tr>
      <w:tr>
        <w:tc>
          <w:tcPr>
            <w:tcW w:type="dxa" w:w="922"/>
            <w:gridSpan w:val="2"/>
            <w:vMerge/>
          </w:tcPr>
          <w:p/>
        </w:tc>
        <w:tc>
          <w:tcPr>
            <w:tcW w:type="dxa" w:w="2307"/>
          </w:tcPr>
          <w:p>
            <w:pPr>
              <w:jc w:val="left"/>
            </w:pPr>
            <w:r>
              <w:rPr/>
              <w:t>管理体系认证 (10.0分)</w:t>
            </w:r>
          </w:p>
        </w:tc>
        <w:tc>
          <w:tcPr>
            <w:tcW w:type="dxa" w:w="5076"/>
          </w:tcPr>
          <w:p>
            <w:pPr>
              <w:jc w:val="left"/>
            </w:pPr>
            <w:r>
              <w:rPr/>
              <w:t>投标人具有有效期内的质量管理体系认证证书、环境管理体系认证证书、职业健康安全管理体系认证证书，具有有效的信息安全管理体系认证证书、具有有效的信息技术服务管理体系认证证书； 每个证书得2分，满分得10分。  注：需提供上述有效期内的证书复印件并加盖公章，不提供证明文件或无效的不得分。</w:t>
            </w:r>
          </w:p>
        </w:tc>
      </w:tr>
      <w:tr>
        <w:tc>
          <w:tcPr>
            <w:tcW w:type="dxa" w:w="922"/>
            <w:gridSpan w:val="2"/>
            <w:vMerge/>
          </w:tcPr>
          <w:p/>
        </w:tc>
        <w:tc>
          <w:tcPr>
            <w:tcW w:type="dxa" w:w="2307"/>
          </w:tcPr>
          <w:p>
            <w:pPr>
              <w:jc w:val="left"/>
            </w:pPr>
            <w:r>
              <w:rPr/>
              <w:t>拟投入本项目的团队人员 (4.0分)</w:t>
            </w:r>
          </w:p>
        </w:tc>
        <w:tc>
          <w:tcPr>
            <w:tcW w:type="dxa" w:w="5076"/>
          </w:tcPr>
          <w:p>
            <w:pPr>
              <w:jc w:val="left"/>
            </w:pPr>
            <w:r>
              <w:rPr/>
              <w:t>项目团队成员具有项目计算机类或软件类或信息系统类的中级或以上职称证书的，每提供一个得2分，最高得4分。 注：本项最高得分为4分，需提供相关证书复印件，并提供人员在投标人单位任职的外部证明材料（如加盖政府有关部门印章的本项目磋商截止日之前三个月以内任意一个月的《投保单》或《社会保险参保人员证明》，或单位代缴个人所得税税单等。），证明材料不齐全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w:t>
      </w:r>
      <w:r>
        <w:rPr>
          <w:b/>
          <w:sz w:val="21"/>
        </w:rPr>
        <w:t>项须根据采购文件的约定及乙方投标文件的承诺执行；</w:t>
      </w:r>
    </w:p>
    <w:p>
      <w:pPr>
        <w:ind w:firstLine="211"/>
        <w:jc w:val="left"/>
      </w:pPr>
      <w:r>
        <w:rPr>
          <w:b/>
          <w:sz w:val="21"/>
        </w:rPr>
        <w:t>2、</w:t>
      </w:r>
      <w:r>
        <w:rPr>
          <w:b/>
          <w:sz w:val="21"/>
        </w:rPr>
        <w:t>本项目合同为中小企业预留合同。</w:t>
      </w:r>
    </w:p>
    <w:p>
      <w:pPr>
        <w:jc w:val="both"/>
      </w:pPr>
    </w:p>
    <w:p/>
    <w:p/>
    <w:p>
      <w:r>
        <w:rPr/>
        <w:t xml:space="preserve"> </w:t>
      </w:r>
    </w:p>
    <w:p/>
    <w:p>
      <w:pPr>
        <w:jc w:val="left"/>
      </w:pPr>
    </w:p>
    <w:p>
      <w:pPr>
        <w:ind w:firstLine="514"/>
        <w:jc w:val="center"/>
      </w:pPr>
      <w:r>
        <w:rPr>
          <w:sz w:val="56"/>
        </w:rPr>
        <w:t>全国工商联人才中心产教融合示范实训基地建设购置项目</w:t>
      </w:r>
    </w:p>
    <w:p>
      <w:pPr>
        <w:ind w:firstLine="514"/>
        <w:jc w:val="both"/>
      </w:pPr>
    </w:p>
    <w:p>
      <w:pPr>
        <w:ind w:firstLine="514"/>
        <w:jc w:val="both"/>
      </w:pPr>
    </w:p>
    <w:p>
      <w:pPr>
        <w:ind w:firstLine="1076"/>
        <w:jc w:val="center"/>
      </w:pPr>
      <w:r>
        <w:rPr>
          <w:b/>
          <w:sz w:val="52"/>
        </w:rPr>
        <w:t>合</w:t>
      </w:r>
    </w:p>
    <w:p>
      <w:pPr>
        <w:ind w:firstLine="1076"/>
        <w:jc w:val="center"/>
      </w:pPr>
    </w:p>
    <w:p>
      <w:pPr>
        <w:ind w:firstLine="1076"/>
        <w:jc w:val="center"/>
      </w:pPr>
      <w:r>
        <w:rPr>
          <w:b/>
          <w:sz w:val="52"/>
        </w:rPr>
        <w:t>同</w:t>
      </w:r>
    </w:p>
    <w:p>
      <w:pPr>
        <w:ind w:firstLine="1076"/>
        <w:jc w:val="center"/>
      </w:pPr>
    </w:p>
    <w:p>
      <w:pPr>
        <w:ind w:firstLine="1076"/>
        <w:jc w:val="center"/>
      </w:pPr>
      <w:r>
        <w:rPr>
          <w:b/>
          <w:sz w:val="52"/>
        </w:rPr>
        <w:t>书</w:t>
      </w:r>
    </w:p>
    <w:p>
      <w:pPr>
        <w:ind w:firstLine="514"/>
        <w:jc w:val="both"/>
      </w:pPr>
    </w:p>
    <w:p>
      <w:pPr>
        <w:ind w:firstLine="514"/>
        <w:jc w:val="both"/>
      </w:pPr>
    </w:p>
    <w:p>
      <w:pPr>
        <w:ind w:firstLine="514"/>
        <w:jc w:val="both"/>
      </w:pPr>
    </w:p>
    <w:p>
      <w:pPr>
        <w:ind w:firstLine="514"/>
        <w:jc w:val="both"/>
      </w:pPr>
    </w:p>
    <w:p>
      <w:pPr>
        <w:ind w:firstLine="594"/>
        <w:jc w:val="both"/>
      </w:pPr>
    </w:p>
    <w:p>
      <w:pPr>
        <w:ind w:firstLine="594"/>
        <w:jc w:val="both"/>
      </w:pPr>
      <w:r>
        <w:rPr>
          <w:b/>
          <w:sz w:val="28"/>
        </w:rPr>
        <w:t>合同编号：</w:t>
      </w:r>
      <w:r>
        <w:rPr>
          <w:b/>
          <w:sz w:val="21"/>
          <w:u w:val="single"/>
        </w:rPr>
        <w:t xml:space="preserve">                         </w:t>
      </w:r>
    </w:p>
    <w:p>
      <w:pPr>
        <w:ind w:firstLine="594"/>
        <w:jc w:val="both"/>
      </w:pPr>
      <w:r>
        <w:rPr>
          <w:b/>
          <w:sz w:val="28"/>
        </w:rPr>
        <w:t>签约地点：</w:t>
      </w:r>
      <w:r>
        <w:rPr>
          <w:b/>
          <w:sz w:val="21"/>
          <w:u w:val="single"/>
        </w:rPr>
        <w:t xml:space="preserve">                         </w:t>
      </w:r>
    </w:p>
    <w:p>
      <w:pPr>
        <w:ind w:firstLine="594"/>
        <w:jc w:val="both"/>
      </w:pPr>
      <w:r>
        <w:rPr>
          <w:b/>
          <w:sz w:val="28"/>
        </w:rPr>
        <w:t>签订日期：二</w:t>
      </w:r>
      <w:r>
        <w:rPr>
          <w:b/>
          <w:sz w:val="28"/>
        </w:rPr>
        <w:t>○二   年   月     日</w:t>
      </w:r>
    </w:p>
    <w:p>
      <w:pPr>
        <w:jc w:val="both"/>
      </w:pPr>
    </w:p>
    <w:p/>
    <w:p/>
    <w:p>
      <w:r>
        <w:rPr/>
        <w:t xml:space="preserve"> </w:t>
      </w:r>
    </w:p>
    <w:p>
      <w:pPr>
        <w:ind w:firstLine="454"/>
        <w:jc w:val="both"/>
      </w:pPr>
      <w:r>
        <w:rPr>
          <w:b/>
          <w:sz w:val="21"/>
        </w:rPr>
        <w:t>甲方：</w:t>
      </w:r>
      <w:r>
        <w:rPr>
          <w:b/>
          <w:sz w:val="24"/>
          <w:u w:val="single"/>
        </w:rPr>
        <w:t xml:space="preserve">        </w:t>
      </w:r>
    </w:p>
    <w:p>
      <w:pPr>
        <w:ind w:firstLine="452"/>
        <w:jc w:val="both"/>
      </w:pPr>
      <w:r>
        <w:rPr>
          <w:sz w:val="21"/>
        </w:rPr>
        <w:t>电话：</w:t>
      </w:r>
      <w:r>
        <w:rPr>
          <w:b/>
          <w:sz w:val="24"/>
          <w:u w:val="single"/>
        </w:rPr>
        <w:t xml:space="preserve">       </w:t>
      </w:r>
      <w:r>
        <w:rPr>
          <w:sz w:val="21"/>
        </w:rPr>
        <w:t>传真</w:t>
      </w:r>
      <w:r>
        <w:rPr>
          <w:sz w:val="21"/>
        </w:rPr>
        <w:t>：</w:t>
      </w:r>
      <w:r>
        <w:rPr>
          <w:b/>
          <w:sz w:val="24"/>
          <w:u w:val="single"/>
        </w:rPr>
        <w:t xml:space="preserve">      </w:t>
      </w:r>
      <w:r>
        <w:rPr>
          <w:sz w:val="21"/>
        </w:rPr>
        <w:t>地址：</w:t>
      </w:r>
      <w:r>
        <w:rPr>
          <w:b/>
          <w:sz w:val="24"/>
          <w:u w:val="single"/>
        </w:rPr>
        <w:t xml:space="preserve">        </w:t>
      </w:r>
    </w:p>
    <w:p>
      <w:pPr>
        <w:ind w:firstLine="454"/>
        <w:jc w:val="both"/>
      </w:pPr>
      <w:r>
        <w:rPr>
          <w:b/>
          <w:sz w:val="21"/>
        </w:rPr>
        <w:t>乙方：</w:t>
      </w:r>
      <w:r>
        <w:rPr>
          <w:b/>
          <w:sz w:val="24"/>
          <w:u w:val="single"/>
        </w:rPr>
        <w:t xml:space="preserve">        </w:t>
      </w:r>
    </w:p>
    <w:p>
      <w:pPr>
        <w:ind w:firstLine="452"/>
        <w:jc w:val="both"/>
      </w:pPr>
      <w:r>
        <w:rPr>
          <w:sz w:val="21"/>
        </w:rPr>
        <w:t>电话：</w:t>
      </w:r>
      <w:r>
        <w:rPr>
          <w:b/>
          <w:sz w:val="24"/>
          <w:u w:val="single"/>
        </w:rPr>
        <w:t xml:space="preserve">        </w:t>
      </w:r>
      <w:r>
        <w:rPr>
          <w:sz w:val="21"/>
        </w:rPr>
        <w:t>传真：</w:t>
      </w:r>
      <w:r>
        <w:rPr>
          <w:b/>
          <w:sz w:val="24"/>
          <w:u w:val="single"/>
        </w:rPr>
        <w:t xml:space="preserve">        </w:t>
      </w:r>
      <w:r>
        <w:rPr>
          <w:sz w:val="21"/>
        </w:rPr>
        <w:t>地址：</w:t>
      </w:r>
      <w:r>
        <w:rPr>
          <w:b/>
          <w:sz w:val="24"/>
          <w:u w:val="single"/>
        </w:rPr>
        <w:t xml:space="preserve">       </w:t>
      </w:r>
    </w:p>
    <w:p>
      <w:pPr>
        <w:ind w:firstLine="452"/>
        <w:jc w:val="both"/>
      </w:pPr>
      <w:r>
        <w:rPr>
          <w:sz w:val="21"/>
        </w:rPr>
        <w:t>根据</w:t>
      </w:r>
      <w:r>
        <w:rPr>
          <w:sz w:val="21"/>
        </w:rPr>
        <w:t>全国工商联人才中心产教融合示范实训基地建设购置项目</w:t>
      </w:r>
      <w:r>
        <w:rPr>
          <w:sz w:val="21"/>
        </w:rPr>
        <w:t>+教科研成果积分管理统计软件购置项目</w:t>
      </w:r>
      <w:r>
        <w:rPr>
          <w:sz w:val="21"/>
        </w:rPr>
        <w:t>（项目编号：</w:t>
      </w:r>
      <w:r>
        <w:rPr>
          <w:sz w:val="21"/>
        </w:rPr>
        <w:t>GZGK23D254A0794C）的采购结果，按照《中华人民共和国政府采购法》，《中华人民共和国民法典(合同编)》的规定，经双方协商，本着平等互利和诚实信用的原则，一致同意遵守本合同如下。</w:t>
      </w:r>
    </w:p>
    <w:p>
      <w:pPr>
        <w:ind w:firstLine="454"/>
        <w:jc w:val="both"/>
      </w:pPr>
      <w:r>
        <w:rPr>
          <w:b/>
          <w:sz w:val="21"/>
        </w:rPr>
        <w:t>一、合同金额</w:t>
      </w:r>
    </w:p>
    <w:p>
      <w:pPr>
        <w:ind w:firstLine="452"/>
        <w:jc w:val="both"/>
      </w:pPr>
      <w:r>
        <w:rPr>
          <w:sz w:val="21"/>
        </w:rPr>
        <w:t xml:space="preserve">  </w:t>
      </w:r>
      <w:r>
        <w:rPr>
          <w:sz w:val="21"/>
        </w:rPr>
        <w:t>合同金额为（大写）：</w:t>
      </w:r>
      <w:r>
        <w:rPr>
          <w:sz w:val="21"/>
        </w:rPr>
        <w:t>_____________元（￥_________元）人民币。</w:t>
      </w:r>
    </w:p>
    <w:p>
      <w:pPr>
        <w:ind w:firstLine="454"/>
        <w:jc w:val="both"/>
      </w:pPr>
      <w:r>
        <w:rPr>
          <w:b/>
          <w:sz w:val="21"/>
        </w:rPr>
        <w:t>二、采购内容</w:t>
      </w:r>
    </w:p>
    <w:p>
      <w:pPr>
        <w:ind w:firstLine="452"/>
        <w:jc w:val="left"/>
      </w:pPr>
      <w:r>
        <w:rPr>
          <w:sz w:val="21"/>
        </w:rPr>
        <w:t xml:space="preserve">  </w:t>
      </w:r>
      <w:r>
        <w:rPr>
          <w:color w:val="363636"/>
          <w:sz w:val="21"/>
        </w:rPr>
        <w:t>乙方根据甲方要求提供以下</w:t>
      </w:r>
      <w:r>
        <w:rPr>
          <w:color w:val="363636"/>
          <w:sz w:val="21"/>
        </w:rPr>
        <w:t>标的物</w:t>
      </w:r>
      <w:r>
        <w:rPr>
          <w:color w:val="363636"/>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691"/>
        <w:gridCol w:w="1267"/>
        <w:gridCol w:w="1105"/>
        <w:gridCol w:w="2140"/>
        <w:gridCol w:w="616"/>
        <w:gridCol w:w="616"/>
        <w:gridCol w:w="616"/>
        <w:gridCol w:w="623"/>
        <w:gridCol w:w="626"/>
      </w:tblGrid>
      <w:tr>
        <w:tc>
          <w:tcPr>
            <w:tcW w:type="dxa" w:w="69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267"/>
            <w:tcBorders>
              <w:top w:val="single" w:color="000000" w:sz="4"/>
              <w:left w:val="single" w:color="000000" w:sz="4"/>
              <w:bottom w:val="single" w:color="000000" w:sz="4"/>
              <w:right w:val="single" w:color="000000" w:sz="4"/>
            </w:tcBorders>
            <w:vAlign w:val="top"/>
          </w:tcPr>
          <w:p>
            <w:pPr>
              <w:jc w:val="center"/>
            </w:pPr>
            <w:r>
              <w:rPr>
                <w:sz w:val="21"/>
              </w:rPr>
              <w:t>标的物品名</w:t>
            </w:r>
          </w:p>
        </w:tc>
        <w:tc>
          <w:tcPr>
            <w:tcW w:type="dxa" w:w="1105"/>
            <w:tcBorders>
              <w:top w:val="single" w:color="000000" w:sz="4"/>
              <w:left w:val="single" w:color="000000" w:sz="4"/>
              <w:bottom w:val="single" w:color="000000" w:sz="4"/>
              <w:right w:val="single" w:color="000000" w:sz="4"/>
            </w:tcBorders>
            <w:vAlign w:val="top"/>
          </w:tcPr>
          <w:p>
            <w:pPr>
              <w:jc w:val="center"/>
            </w:pPr>
            <w:r>
              <w:rPr>
                <w:sz w:val="21"/>
              </w:rPr>
              <w:t>品目名称</w:t>
            </w:r>
          </w:p>
        </w:tc>
        <w:tc>
          <w:tcPr>
            <w:tcW w:type="dxa" w:w="2140"/>
            <w:tcBorders>
              <w:top w:val="single" w:color="000000" w:sz="4"/>
              <w:left w:val="single" w:color="000000" w:sz="4"/>
              <w:bottom w:val="single" w:color="000000" w:sz="4"/>
              <w:right w:val="single" w:color="000000" w:sz="4"/>
            </w:tcBorders>
            <w:vAlign w:val="top"/>
          </w:tcPr>
          <w:p>
            <w:pPr>
              <w:jc w:val="center"/>
            </w:pPr>
            <w:r>
              <w:rPr>
                <w:sz w:val="21"/>
              </w:rPr>
              <w:t>品牌</w:t>
            </w:r>
            <w:r>
              <w:rPr>
                <w:sz w:val="21"/>
              </w:rPr>
              <w:t>/规格型号（详细参数见附件一）</w:t>
            </w:r>
          </w:p>
        </w:tc>
        <w:tc>
          <w:tcPr>
            <w:tcW w:type="dxa" w:w="616"/>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616"/>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616"/>
            <w:tcBorders>
              <w:top w:val="single" w:color="000000" w:sz="4"/>
              <w:left w:val="single" w:color="000000" w:sz="4"/>
              <w:bottom w:val="single" w:color="000000" w:sz="4"/>
              <w:right w:val="single" w:color="000000" w:sz="4"/>
            </w:tcBorders>
            <w:vAlign w:val="top"/>
          </w:tcPr>
          <w:p>
            <w:pPr>
              <w:jc w:val="center"/>
            </w:pPr>
            <w:r>
              <w:rPr>
                <w:sz w:val="21"/>
              </w:rPr>
              <w:t>单价</w:t>
            </w:r>
          </w:p>
        </w:tc>
        <w:tc>
          <w:tcPr>
            <w:tcW w:type="dxa" w:w="623"/>
            <w:tcBorders>
              <w:top w:val="single" w:color="000000" w:sz="4"/>
              <w:left w:val="single" w:color="000000" w:sz="4"/>
              <w:bottom w:val="single" w:color="000000" w:sz="4"/>
              <w:right w:val="single" w:color="000000" w:sz="4"/>
            </w:tcBorders>
            <w:vAlign w:val="top"/>
          </w:tcPr>
          <w:p>
            <w:pPr>
              <w:jc w:val="center"/>
            </w:pPr>
            <w:r>
              <w:rPr>
                <w:sz w:val="21"/>
              </w:rPr>
              <w:t>总价</w:t>
            </w:r>
          </w:p>
        </w:tc>
        <w:tc>
          <w:tcPr>
            <w:tcW w:type="dxa" w:w="626"/>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691"/>
            <w:tcBorders>
              <w:top w:val="none" w:color="000000" w:sz="4"/>
              <w:left w:val="single" w:color="000000" w:sz="4"/>
              <w:bottom w:val="single" w:color="000000" w:sz="4"/>
              <w:right w:val="single" w:color="000000" w:sz="4"/>
            </w:tcBorders>
            <w:vAlign w:val="top"/>
          </w:tcPr>
          <w:p>
            <w:pPr>
              <w:jc w:val="center"/>
            </w:pPr>
          </w:p>
        </w:tc>
        <w:tc>
          <w:tcPr>
            <w:tcW w:type="dxa" w:w="1267"/>
            <w:tcBorders>
              <w:top w:val="none" w:color="000000" w:sz="4"/>
              <w:left w:val="single" w:color="000000" w:sz="4"/>
              <w:bottom w:val="single" w:color="000000" w:sz="4"/>
              <w:right w:val="single" w:color="000000" w:sz="4"/>
            </w:tcBorders>
            <w:vAlign w:val="top"/>
          </w:tcPr>
          <w:p>
            <w:pPr>
              <w:jc w:val="center"/>
            </w:pPr>
          </w:p>
        </w:tc>
        <w:tc>
          <w:tcPr>
            <w:tcW w:type="dxa" w:w="1105"/>
            <w:tcBorders>
              <w:top w:val="none" w:color="000000" w:sz="4"/>
              <w:left w:val="single" w:color="000000" w:sz="4"/>
              <w:bottom w:val="single" w:color="000000" w:sz="4"/>
              <w:right w:val="single" w:color="000000" w:sz="4"/>
            </w:tcBorders>
            <w:vAlign w:val="top"/>
          </w:tcPr>
          <w:p>
            <w:pPr>
              <w:jc w:val="center"/>
            </w:pPr>
          </w:p>
        </w:tc>
        <w:tc>
          <w:tcPr>
            <w:tcW w:type="dxa" w:w="2140"/>
            <w:tcBorders>
              <w:top w:val="none" w:color="000000" w:sz="4"/>
              <w:left w:val="single" w:color="000000" w:sz="4"/>
              <w:bottom w:val="single" w:color="000000" w:sz="4"/>
              <w:right w:val="single" w:color="000000" w:sz="4"/>
            </w:tcBorders>
            <w:vAlign w:val="top"/>
          </w:tcPr>
          <w:p>
            <w:pPr>
              <w:jc w:val="center"/>
            </w:pPr>
          </w:p>
        </w:tc>
        <w:tc>
          <w:tcPr>
            <w:tcW w:type="dxa" w:w="616"/>
            <w:tcBorders>
              <w:top w:val="none" w:color="000000" w:sz="4"/>
              <w:left w:val="single" w:color="000000" w:sz="4"/>
              <w:bottom w:val="single" w:color="000000" w:sz="4"/>
              <w:right w:val="single" w:color="000000" w:sz="4"/>
            </w:tcBorders>
            <w:vAlign w:val="top"/>
          </w:tcPr>
          <w:p>
            <w:r>
              <w:rPr>
                <w:sz w:val="19"/>
              </w:rPr>
              <w:t xml:space="preserve"> </w:t>
            </w:r>
          </w:p>
          <w:p>
            <w:pPr>
              <w:jc w:val="center"/>
            </w:pPr>
          </w:p>
        </w:tc>
        <w:tc>
          <w:tcPr>
            <w:tcW w:type="dxa" w:w="616"/>
            <w:tcBorders>
              <w:top w:val="none" w:color="000000" w:sz="4"/>
              <w:left w:val="single" w:color="000000" w:sz="4"/>
              <w:bottom w:val="single" w:color="000000" w:sz="4"/>
              <w:right w:val="single" w:color="000000" w:sz="4"/>
            </w:tcBorders>
            <w:vAlign w:val="top"/>
          </w:tcPr>
          <w:p>
            <w:pPr>
              <w:jc w:val="center"/>
            </w:pPr>
          </w:p>
        </w:tc>
        <w:tc>
          <w:tcPr>
            <w:tcW w:type="dxa" w:w="616"/>
            <w:tcBorders>
              <w:top w:val="none" w:color="000000" w:sz="4"/>
              <w:left w:val="single" w:color="000000" w:sz="4"/>
              <w:bottom w:val="single" w:color="000000" w:sz="4"/>
              <w:right w:val="single" w:color="000000" w:sz="4"/>
            </w:tcBorders>
            <w:vAlign w:val="top"/>
          </w:tcPr>
          <w:p>
            <w:pPr>
              <w:jc w:val="center"/>
            </w:pPr>
          </w:p>
        </w:tc>
        <w:tc>
          <w:tcPr>
            <w:tcW w:type="dxa" w:w="623"/>
            <w:tcBorders>
              <w:top w:val="none" w:color="000000" w:sz="4"/>
              <w:left w:val="single" w:color="000000" w:sz="4"/>
              <w:bottom w:val="single" w:color="000000" w:sz="4"/>
              <w:right w:val="single" w:color="000000" w:sz="4"/>
            </w:tcBorders>
            <w:vAlign w:val="top"/>
          </w:tcPr>
          <w:p>
            <w:pPr>
              <w:jc w:val="center"/>
            </w:pPr>
          </w:p>
        </w:tc>
        <w:tc>
          <w:tcPr>
            <w:tcW w:type="dxa" w:w="626"/>
            <w:tcBorders>
              <w:top w:val="none" w:color="000000" w:sz="4"/>
              <w:left w:val="single" w:color="000000" w:sz="4"/>
              <w:bottom w:val="single" w:color="000000" w:sz="4"/>
              <w:right w:val="single" w:color="000000" w:sz="4"/>
            </w:tcBorders>
            <w:vAlign w:val="top"/>
          </w:tcPr>
          <w:p>
            <w:pPr>
              <w:jc w:val="center"/>
            </w:pPr>
          </w:p>
        </w:tc>
      </w:tr>
      <w:tr>
        <w:tc>
          <w:tcPr>
            <w:tcW w:type="dxa" w:w="691"/>
            <w:tcBorders>
              <w:top w:val="none" w:color="000000" w:sz="4"/>
              <w:left w:val="single" w:color="000000" w:sz="4"/>
              <w:bottom w:val="single" w:color="000000" w:sz="4"/>
              <w:right w:val="single" w:color="000000" w:sz="4"/>
            </w:tcBorders>
            <w:vAlign w:val="top"/>
          </w:tcPr>
          <w:p>
            <w:pPr>
              <w:jc w:val="center"/>
            </w:pPr>
          </w:p>
        </w:tc>
        <w:tc>
          <w:tcPr>
            <w:tcW w:type="dxa" w:w="1267"/>
            <w:tcBorders>
              <w:top w:val="none" w:color="000000" w:sz="4"/>
              <w:left w:val="single" w:color="000000" w:sz="4"/>
              <w:bottom w:val="single" w:color="000000" w:sz="4"/>
              <w:right w:val="single" w:color="000000" w:sz="4"/>
            </w:tcBorders>
            <w:vAlign w:val="top"/>
          </w:tcPr>
          <w:p>
            <w:pPr>
              <w:jc w:val="center"/>
            </w:pPr>
          </w:p>
        </w:tc>
        <w:tc>
          <w:tcPr>
            <w:tcW w:type="dxa" w:w="1105"/>
            <w:tcBorders>
              <w:top w:val="none" w:color="000000" w:sz="4"/>
              <w:left w:val="single" w:color="000000" w:sz="4"/>
              <w:bottom w:val="single" w:color="000000" w:sz="4"/>
              <w:right w:val="single" w:color="000000" w:sz="4"/>
            </w:tcBorders>
            <w:vAlign w:val="top"/>
          </w:tcPr>
          <w:p>
            <w:pPr>
              <w:jc w:val="center"/>
            </w:pPr>
          </w:p>
        </w:tc>
        <w:tc>
          <w:tcPr>
            <w:tcW w:type="dxa" w:w="2140"/>
            <w:tcBorders>
              <w:top w:val="none" w:color="000000" w:sz="4"/>
              <w:left w:val="single" w:color="000000" w:sz="4"/>
              <w:bottom w:val="single" w:color="000000" w:sz="4"/>
              <w:right w:val="single" w:color="000000" w:sz="4"/>
            </w:tcBorders>
            <w:vAlign w:val="top"/>
          </w:tcPr>
          <w:p>
            <w:pPr>
              <w:jc w:val="center"/>
            </w:pPr>
          </w:p>
        </w:tc>
        <w:tc>
          <w:tcPr>
            <w:tcW w:type="dxa" w:w="616"/>
            <w:tcBorders>
              <w:top w:val="none" w:color="000000" w:sz="4"/>
              <w:left w:val="single" w:color="000000" w:sz="4"/>
              <w:bottom w:val="single" w:color="000000" w:sz="4"/>
              <w:right w:val="single" w:color="000000" w:sz="4"/>
            </w:tcBorders>
            <w:vAlign w:val="top"/>
          </w:tcPr>
          <w:p>
            <w:r>
              <w:rPr>
                <w:sz w:val="19"/>
              </w:rPr>
              <w:t xml:space="preserve"> </w:t>
            </w:r>
          </w:p>
          <w:p>
            <w:pPr>
              <w:jc w:val="center"/>
            </w:pPr>
          </w:p>
        </w:tc>
        <w:tc>
          <w:tcPr>
            <w:tcW w:type="dxa" w:w="616"/>
            <w:tcBorders>
              <w:top w:val="none" w:color="000000" w:sz="4"/>
              <w:left w:val="single" w:color="000000" w:sz="4"/>
              <w:bottom w:val="single" w:color="000000" w:sz="4"/>
              <w:right w:val="single" w:color="000000" w:sz="4"/>
            </w:tcBorders>
            <w:vAlign w:val="top"/>
          </w:tcPr>
          <w:p>
            <w:pPr>
              <w:jc w:val="center"/>
            </w:pPr>
          </w:p>
        </w:tc>
        <w:tc>
          <w:tcPr>
            <w:tcW w:type="dxa" w:w="616"/>
            <w:tcBorders>
              <w:top w:val="none" w:color="000000" w:sz="4"/>
              <w:left w:val="single" w:color="000000" w:sz="4"/>
              <w:bottom w:val="single" w:color="000000" w:sz="4"/>
              <w:right w:val="single" w:color="000000" w:sz="4"/>
            </w:tcBorders>
            <w:vAlign w:val="top"/>
          </w:tcPr>
          <w:p>
            <w:pPr>
              <w:jc w:val="center"/>
            </w:pPr>
          </w:p>
        </w:tc>
        <w:tc>
          <w:tcPr>
            <w:tcW w:type="dxa" w:w="623"/>
            <w:tcBorders>
              <w:top w:val="none" w:color="000000" w:sz="4"/>
              <w:left w:val="single" w:color="000000" w:sz="4"/>
              <w:bottom w:val="single" w:color="000000" w:sz="4"/>
              <w:right w:val="single" w:color="000000" w:sz="4"/>
            </w:tcBorders>
            <w:vAlign w:val="top"/>
          </w:tcPr>
          <w:p>
            <w:pPr>
              <w:jc w:val="center"/>
            </w:pPr>
          </w:p>
        </w:tc>
        <w:tc>
          <w:tcPr>
            <w:tcW w:type="dxa" w:w="626"/>
            <w:tcBorders>
              <w:top w:val="none" w:color="000000" w:sz="4"/>
              <w:left w:val="single" w:color="000000" w:sz="4"/>
              <w:bottom w:val="single" w:color="000000" w:sz="4"/>
              <w:right w:val="single" w:color="000000" w:sz="4"/>
            </w:tcBorders>
            <w:vAlign w:val="top"/>
          </w:tcPr>
          <w:p>
            <w:pPr>
              <w:jc w:val="center"/>
            </w:pPr>
          </w:p>
        </w:tc>
      </w:tr>
    </w:tbl>
    <w:p>
      <w:pPr>
        <w:jc w:val="both"/>
      </w:pPr>
    </w:p>
    <w:p>
      <w:pPr>
        <w:ind w:firstLine="454"/>
        <w:jc w:val="both"/>
      </w:pPr>
      <w:r>
        <w:rPr>
          <w:b/>
          <w:sz w:val="21"/>
        </w:rPr>
        <w:t>三、甲方乙方的权利和义务</w:t>
      </w:r>
    </w:p>
    <w:p>
      <w:pPr>
        <w:ind w:firstLine="452"/>
        <w:jc w:val="both"/>
      </w:pPr>
      <w:r>
        <w:rPr>
          <w:sz w:val="21"/>
        </w:rPr>
        <w:t>1.甲方的权利和义务</w:t>
      </w:r>
    </w:p>
    <w:p>
      <w:pPr>
        <w:ind w:firstLine="452"/>
        <w:jc w:val="both"/>
      </w:pPr>
      <w:r>
        <w:rPr>
          <w:sz w:val="24"/>
        </w:rPr>
        <w:t xml:space="preserve"> </w:t>
      </w:r>
    </w:p>
    <w:p>
      <w:pPr>
        <w:ind w:firstLine="452"/>
        <w:jc w:val="both"/>
      </w:pPr>
      <w:r>
        <w:rPr>
          <w:sz w:val="21"/>
        </w:rPr>
        <w:t>2.乙方的权利和义务</w:t>
      </w:r>
    </w:p>
    <w:p>
      <w:pPr>
        <w:ind w:firstLine="452"/>
        <w:jc w:val="both"/>
      </w:pPr>
      <w:r>
        <w:rPr>
          <w:sz w:val="24"/>
        </w:rPr>
        <w:t xml:space="preserve"> </w:t>
      </w:r>
    </w:p>
    <w:p>
      <w:pPr>
        <w:ind w:firstLine="454"/>
        <w:jc w:val="both"/>
      </w:pPr>
      <w:r>
        <w:rPr>
          <w:b/>
          <w:sz w:val="21"/>
        </w:rPr>
        <w:t>四、服务期间（项目完成期限）</w:t>
      </w:r>
    </w:p>
    <w:p>
      <w:pPr>
        <w:ind w:firstLine="452"/>
        <w:jc w:val="both"/>
      </w:pPr>
      <w:r>
        <w:rPr>
          <w:sz w:val="21"/>
        </w:rPr>
        <w:t>1.委托服务期间自______年______月至______年______月止。</w:t>
      </w:r>
    </w:p>
    <w:p>
      <w:pPr>
        <w:ind w:firstLine="454"/>
        <w:jc w:val="both"/>
      </w:pPr>
      <w:r>
        <w:rPr>
          <w:b/>
          <w:sz w:val="21"/>
        </w:rPr>
        <w:t>五、付款方式</w:t>
      </w:r>
    </w:p>
    <w:p>
      <w:pPr>
        <w:ind w:firstLine="452"/>
        <w:jc w:val="both"/>
      </w:pPr>
      <w:r>
        <w:rPr>
          <w:sz w:val="21"/>
        </w:rPr>
        <w:t>付款时间及条件：（按照采购需求要求的付款方式）</w:t>
      </w:r>
    </w:p>
    <w:p>
      <w:pPr>
        <w:ind w:firstLine="452"/>
        <w:jc w:val="both"/>
      </w:pPr>
      <w:r>
        <w:rPr>
          <w:sz w:val="21"/>
        </w:rPr>
        <w:t>付款方式：</w:t>
      </w:r>
    </w:p>
    <w:p>
      <w:pPr>
        <w:ind w:firstLine="454"/>
        <w:jc w:val="both"/>
      </w:pPr>
      <w:r>
        <w:rPr>
          <w:b/>
          <w:sz w:val="21"/>
        </w:rPr>
        <w:t>六、知识产权归属</w:t>
      </w:r>
    </w:p>
    <w:p>
      <w:pPr>
        <w:ind w:firstLine="452"/>
        <w:jc w:val="both"/>
      </w:pPr>
      <w:r>
        <w:rPr>
          <w:sz w:val="21"/>
        </w:rPr>
        <w:t>本项目全部研究成果的知识产权归甲方所有，受国家知识产权法保护，未经甲方允许，不得另作他用。</w:t>
      </w:r>
    </w:p>
    <w:p>
      <w:pPr>
        <w:ind w:firstLine="454"/>
        <w:jc w:val="both"/>
      </w:pPr>
      <w:r>
        <w:rPr>
          <w:b/>
          <w:sz w:val="21"/>
        </w:rPr>
        <w:t>七、保密</w:t>
      </w:r>
    </w:p>
    <w:p>
      <w:pPr>
        <w:ind w:firstLine="452"/>
        <w:jc w:val="both"/>
      </w:pPr>
      <w:r>
        <w:rPr>
          <w:sz w:val="21"/>
        </w:rPr>
        <w:t>乙方在项目实施过程中，对甲方所提供的所有相关资料、数据，未经甲方书面同意不得向任何第三人泄露，且保密责任不因合同的终止或解除而失效。项目完成后，乙方须把甲方提供的所有资料、数据完整归还甲方，并不得留存任何复制品。</w:t>
      </w:r>
    </w:p>
    <w:p>
      <w:pPr>
        <w:ind w:firstLine="454"/>
        <w:jc w:val="both"/>
      </w:pPr>
      <w:r>
        <w:rPr>
          <w:b/>
          <w:sz w:val="21"/>
        </w:rPr>
        <w:t>八、违约责任与赔偿损失</w:t>
      </w:r>
    </w:p>
    <w:p>
      <w:pPr>
        <w:ind w:firstLine="452"/>
        <w:jc w:val="both"/>
      </w:pPr>
      <w:r>
        <w:rPr>
          <w:sz w:val="21"/>
        </w:rPr>
        <w:t>1.乙方提供的服务不符合本合同规定的，甲方有权拒收，并且乙方须向甲方方支付本合同总价5%的违约金。</w:t>
      </w:r>
    </w:p>
    <w:p>
      <w:pPr>
        <w:ind w:firstLine="452"/>
        <w:jc w:val="both"/>
      </w:pPr>
      <w:r>
        <w:rPr>
          <w:sz w:val="21"/>
        </w:rPr>
        <w:t>2.乙方未能按本合同规定的交货时间提供服务，从逾期之日起每日按本合同总价3‰的数额向甲方支付违约金；逾期半个月以上的，甲方有权终止合同，由此造成的甲方经济损失由乙方承担。</w:t>
      </w:r>
    </w:p>
    <w:p>
      <w:pPr>
        <w:ind w:firstLine="420"/>
        <w:jc w:val="both"/>
      </w:pPr>
      <w:r>
        <w:rPr>
          <w:sz w:val="21"/>
        </w:rPr>
        <w:t>3.甲方无正当理由拒收接受服务，到期拒付服务款项的，甲方向乙方偿付本合同总的5%的违约金。甲方人逾期付款，则每日按本合同总价的3‰向乙方偿付违约金。</w:t>
      </w:r>
    </w:p>
    <w:p>
      <w:pPr>
        <w:ind w:firstLine="420"/>
        <w:jc w:val="both"/>
      </w:pPr>
      <w:r>
        <w:rPr>
          <w:sz w:val="21"/>
        </w:rPr>
        <w:t>4.对于因甲方原因导致变更、中止或者终止政府采购合同的，甲方应当依照以下合同约定对供应商受到的损失予以赔偿或者补偿：</w:t>
      </w:r>
      <w:r>
        <w:rPr>
          <w:sz w:val="24"/>
          <w:u w:val="single"/>
        </w:rPr>
        <w:t xml:space="preserve">                         </w:t>
      </w:r>
    </w:p>
    <w:p>
      <w:pPr>
        <w:ind w:firstLine="420"/>
        <w:jc w:val="both"/>
      </w:pPr>
      <w:r>
        <w:rPr>
          <w:sz w:val="21"/>
        </w:rPr>
        <w:t>5.其它违约责任按《中华人民共和国民法典(合同编)》处理。</w:t>
      </w:r>
    </w:p>
    <w:p>
      <w:pPr>
        <w:ind w:firstLine="422"/>
        <w:jc w:val="both"/>
      </w:pPr>
      <w:r>
        <w:rPr>
          <w:b/>
          <w:sz w:val="21"/>
        </w:rPr>
        <w:t>九、</w:t>
      </w:r>
      <w:r>
        <w:rPr>
          <w:b/>
          <w:sz w:val="21"/>
        </w:rPr>
        <w:t>履约保证金</w:t>
      </w:r>
    </w:p>
    <w:p>
      <w:pPr>
        <w:ind w:firstLine="420"/>
        <w:jc w:val="both"/>
      </w:pPr>
      <w:r>
        <w:rPr/>
        <w:t>收取比例：5%,说明：甲方与乙方签订合同后10个工作日内乙方向甲方交付合同金额5%的履约保证金（履约保证金可以采用银行转账、支票、汇票、本票、银行保函、或担保函等形式提交）。在履约过程中，如因乙方的原因，造成合同提前终止，甲方将不予退还乙方的履约保证金。若乙方没有违约行为，履约保证金在乙方提出书面申请后15个工作日内由甲方以非现金形式无息退还乙方。</w:t>
      </w:r>
      <w:r>
        <w:br/>
      </w:r>
      <w:r>
        <w:rPr/>
        <w:t>履约保证金不予退还的情形：</w:t>
      </w:r>
      <w:r>
        <w:br/>
      </w:r>
      <w:r>
        <w:rPr/>
        <w:t>（1）拒绝履行合同义务的；</w:t>
      </w:r>
      <w:r>
        <w:br/>
      </w:r>
      <w:r>
        <w:rPr/>
        <w:t>（2）履约验收不合格的。</w:t>
      </w:r>
      <w:r>
        <w:br/>
      </w:r>
      <w:r>
        <w:rPr/>
        <w:t>甲方逾期退还履约保证金的，从逾期之日起每日按履约保证金3‰的数额向乙方支付违约金。但因乙方自身原因导致无法及时退还的除外。</w:t>
      </w:r>
    </w:p>
    <w:p>
      <w:pPr>
        <w:ind w:firstLine="454"/>
        <w:jc w:val="both"/>
      </w:pPr>
      <w:r>
        <w:rPr>
          <w:b/>
          <w:sz w:val="21"/>
        </w:rPr>
        <w:t>十</w:t>
      </w:r>
      <w:r>
        <w:rPr>
          <w:b/>
          <w:sz w:val="21"/>
        </w:rPr>
        <w:t>、争议的解决</w:t>
      </w:r>
    </w:p>
    <w:p>
      <w:pPr>
        <w:ind w:firstLine="452"/>
        <w:jc w:val="both"/>
      </w:pPr>
      <w:r>
        <w:rPr>
          <w:sz w:val="21"/>
        </w:rPr>
        <w:t>合同执行过程中发生的任何争议，如双方不能通过友好协商解决，按相关法律法规处理。</w:t>
      </w:r>
      <w:r>
        <w:rPr>
          <w:sz w:val="21"/>
        </w:rPr>
        <w:t xml:space="preserve">     </w:t>
      </w:r>
    </w:p>
    <w:p>
      <w:pPr>
        <w:ind w:firstLine="454"/>
        <w:jc w:val="both"/>
      </w:pPr>
      <w:r>
        <w:rPr>
          <w:b/>
          <w:sz w:val="21"/>
        </w:rPr>
        <w:t>十</w:t>
      </w:r>
      <w:r>
        <w:rPr>
          <w:b/>
          <w:sz w:val="21"/>
        </w:rPr>
        <w:t>一</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ind w:firstLine="454"/>
        <w:jc w:val="both"/>
      </w:pPr>
      <w:r>
        <w:rPr>
          <w:b/>
          <w:sz w:val="21"/>
        </w:rPr>
        <w:t>十</w:t>
      </w:r>
      <w:r>
        <w:rPr>
          <w:b/>
          <w:sz w:val="21"/>
        </w:rPr>
        <w:t>二</w:t>
      </w:r>
      <w:r>
        <w:rPr>
          <w:b/>
          <w:sz w:val="21"/>
        </w:rPr>
        <w:t>、税费</w:t>
      </w:r>
    </w:p>
    <w:p>
      <w:pPr>
        <w:ind w:firstLine="452"/>
        <w:jc w:val="both"/>
      </w:pPr>
      <w:r>
        <w:rPr>
          <w:sz w:val="21"/>
        </w:rPr>
        <w:t xml:space="preserve">  </w:t>
      </w:r>
      <w:r>
        <w:rPr>
          <w:sz w:val="21"/>
        </w:rPr>
        <w:t>在中国境内、外发生的与本合同执行有关的一切税费均由乙方负担。</w:t>
      </w:r>
    </w:p>
    <w:p>
      <w:pPr>
        <w:ind w:firstLine="454"/>
        <w:jc w:val="both"/>
      </w:pPr>
      <w:r>
        <w:rPr>
          <w:b/>
          <w:sz w:val="21"/>
        </w:rPr>
        <w:t>十</w:t>
      </w:r>
      <w:r>
        <w:rPr>
          <w:b/>
          <w:sz w:val="21"/>
        </w:rPr>
        <w:t>三</w:t>
      </w:r>
      <w:r>
        <w:rPr>
          <w:b/>
          <w:sz w:val="21"/>
        </w:rPr>
        <w:t>、其它</w:t>
      </w:r>
    </w:p>
    <w:p>
      <w:pPr>
        <w:ind w:firstLine="452"/>
        <w:jc w:val="both"/>
      </w:pPr>
      <w:r>
        <w:rPr>
          <w:sz w:val="21"/>
        </w:rPr>
        <w:t>1.本合同所有附件、竞争性磋商文件、响应文件、成交通知书均为合同的有效组成部分，与本合同具有同等法律效力</w:t>
      </w:r>
    </w:p>
    <w:p>
      <w:pPr>
        <w:ind w:firstLine="452"/>
        <w:jc w:val="both"/>
      </w:pPr>
      <w:r>
        <w:rPr>
          <w:sz w:val="21"/>
        </w:rPr>
        <w:t>2.在执行本合同的过程中，所有经双方签署确认的文件（包括会议纪要、补充协议、往来信函）即成为本合同的有效组成部分。</w:t>
      </w:r>
    </w:p>
    <w:p>
      <w:pPr>
        <w:ind w:firstLine="452"/>
        <w:jc w:val="both"/>
      </w:pPr>
      <w:r>
        <w:rPr>
          <w:sz w:val="21"/>
        </w:rPr>
        <w:t>3.如一方地址、电话、传真号码有变更，应在变更当日内书面通知对方，否则，应承担相应责任。</w:t>
      </w:r>
    </w:p>
    <w:p>
      <w:pPr>
        <w:ind w:firstLine="452"/>
        <w:jc w:val="both"/>
      </w:pPr>
      <w:r>
        <w:rPr>
          <w:sz w:val="21"/>
        </w:rPr>
        <w:t>4.除甲方事先书面同意外，乙方不得部分或全部转让其应履行的合同项下的义务。</w:t>
      </w:r>
    </w:p>
    <w:p>
      <w:pPr>
        <w:ind w:firstLine="454"/>
        <w:jc w:val="both"/>
      </w:pPr>
      <w:r>
        <w:rPr>
          <w:b/>
          <w:sz w:val="21"/>
        </w:rPr>
        <w:t>十</w:t>
      </w:r>
      <w:r>
        <w:rPr>
          <w:b/>
          <w:sz w:val="21"/>
        </w:rPr>
        <w:t>四</w:t>
      </w:r>
      <w:r>
        <w:rPr>
          <w:b/>
          <w:sz w:val="21"/>
        </w:rPr>
        <w:t>、合同生效</w:t>
      </w:r>
    </w:p>
    <w:p>
      <w:pPr>
        <w:ind w:firstLine="420"/>
        <w:jc w:val="both"/>
      </w:pPr>
      <w:r>
        <w:rPr>
          <w:sz w:val="21"/>
        </w:rPr>
        <w:t>1.本合同在甲乙双方法人代表或其授权代表签字盖章后生效。</w:t>
      </w:r>
    </w:p>
    <w:p>
      <w:pPr>
        <w:ind w:firstLine="420"/>
        <w:jc w:val="both"/>
      </w:pPr>
      <w:r>
        <w:rPr>
          <w:sz w:val="21"/>
        </w:rPr>
        <w:t>2.合同一式</w:t>
      </w:r>
      <w:r>
        <w:rPr>
          <w:sz w:val="24"/>
          <w:u w:val="single"/>
        </w:rPr>
        <w:t xml:space="preserve">   </w:t>
      </w:r>
      <w:r>
        <w:rPr>
          <w:sz w:val="21"/>
        </w:rPr>
        <w:t xml:space="preserve"> </w:t>
      </w:r>
      <w:r>
        <w:rPr>
          <w:sz w:val="21"/>
        </w:rPr>
        <w:t>份。</w:t>
      </w:r>
    </w:p>
    <w:p>
      <w:pPr>
        <w:ind w:firstLine="452"/>
        <w:jc w:val="both"/>
      </w:pPr>
      <w:r>
        <w:rPr>
          <w:sz w:val="24"/>
        </w:rPr>
        <w:t xml:space="preserve"> </w:t>
      </w:r>
    </w:p>
    <w:p>
      <w:pPr>
        <w:jc w:val="both"/>
      </w:pPr>
      <w:r>
        <w:rPr>
          <w:b/>
          <w:sz w:val="21"/>
        </w:rPr>
        <w:t>甲方（盖章）：</w:t>
      </w:r>
      <w:r>
        <w:rPr>
          <w:b/>
          <w:sz w:val="21"/>
        </w:rPr>
        <w:t xml:space="preserve">                              </w:t>
      </w:r>
      <w:r>
        <w:rPr>
          <w:b/>
          <w:sz w:val="21"/>
        </w:rPr>
        <w:t>乙方（盖章）：</w:t>
      </w:r>
    </w:p>
    <w:p>
      <w:pPr>
        <w:jc w:val="both"/>
      </w:pPr>
      <w:r>
        <w:rPr>
          <w:b/>
          <w:sz w:val="21"/>
        </w:rPr>
        <w:t>代表：</w:t>
      </w:r>
      <w:r>
        <w:rPr>
          <w:b/>
          <w:sz w:val="21"/>
        </w:rPr>
        <w:t xml:space="preserve">                                      </w:t>
      </w:r>
      <w:r>
        <w:rPr>
          <w:b/>
          <w:sz w:val="21"/>
        </w:rPr>
        <w:t>代表：</w:t>
      </w:r>
    </w:p>
    <w:p>
      <w:pPr>
        <w:jc w:val="both"/>
      </w:pPr>
      <w:r>
        <w:rPr>
          <w:sz w:val="21"/>
        </w:rPr>
        <w:t>签订地点：</w:t>
      </w:r>
    </w:p>
    <w:p>
      <w:pPr>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4620"/>
        <w:jc w:val="both"/>
      </w:pPr>
      <w:r>
        <w:rPr>
          <w:sz w:val="21"/>
        </w:rPr>
        <w:t>开</w:t>
      </w:r>
      <w:r>
        <w:rPr>
          <w:sz w:val="21"/>
        </w:rPr>
        <w:t>户</w:t>
      </w:r>
      <w:r>
        <w:rPr>
          <w:sz w:val="21"/>
        </w:rPr>
        <w:t>行：</w:t>
      </w:r>
    </w:p>
    <w:p>
      <w:pPr>
        <w:ind w:firstLine="4620"/>
        <w:jc w:val="both"/>
      </w:pPr>
      <w:r>
        <w:rPr>
          <w:sz w:val="21"/>
        </w:rPr>
        <w:t>开户名称：</w:t>
      </w:r>
    </w:p>
    <w:p>
      <w:pPr>
        <w:ind w:firstLine="4410"/>
        <w:jc w:val="both"/>
      </w:pPr>
      <w:r>
        <w:rPr>
          <w:sz w:val="21"/>
        </w:rPr>
        <w:t>银行账号：</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440101-2023-23333</w:t>
      </w:r>
    </w:p>
    <w:p>
      <w:pPr>
        <w:jc w:val="center"/>
      </w:pPr>
      <w:r>
        <w:rPr>
          <w:b/>
          <w:sz w:val="24"/>
        </w:rPr>
        <w:t>采购项目编号：</w:t>
      </w:r>
      <w:r>
        <w:rPr>
          <w:b/>
          <w:sz w:val="24"/>
        </w:rPr>
        <w:t>GZGK23D254A0794C</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全国工商联人才中心产教融合示范实训基地建设购置项目</w:t>
      </w:r>
      <w:r>
        <w:rPr>
          <w:u w:val="single"/>
        </w:rPr>
        <w:t>”</w:t>
      </w:r>
      <w:r>
        <w:rPr/>
        <w:t>项目的招标[采购项目编号为：</w:t>
      </w:r>
      <w:r>
        <w:rPr>
          <w:u w:val="single"/>
        </w:rPr>
        <w:t>GZGK23D254A0794C</w:t>
      </w:r>
      <w:r>
        <w:rPr/>
        <w:t>]，我方愿参与投标。</w:t>
      </w:r>
    </w:p>
    <w:p>
      <w:pPr>
        <w:ind w:firstLine="480"/>
      </w:pPr>
      <w:r>
        <w:rPr/>
        <w:t>我方确认收到贵方提供的</w:t>
      </w:r>
      <w:r>
        <w:rPr>
          <w:u w:val="single"/>
        </w:rPr>
        <w:t>“</w:t>
      </w:r>
      <w:r>
        <w:rPr>
          <w:u w:val="single"/>
        </w:rPr>
        <w:t>全国工商联人才中心产教融合示范实训基地建设购置项目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全国工商联人才中心产教融合示范实训基地建设购置项目</w:t>
      </w:r>
      <w:r>
        <w:rPr/>
        <w:t>”项目采购[采购项目编号为</w:t>
      </w:r>
      <w:r>
        <w:rPr/>
        <w:t>GZGK23D254A0794C</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广州铁路职业技术学院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全国工商联人才中心产教融合示范实训基地建设购置项目</w:t>
      </w:r>
      <w:r>
        <w:rPr/>
        <w:t>招标中获中标（采购项目编号：</w:t>
      </w:r>
      <w:r>
        <w:rPr/>
        <w:t>GZGK23D254A0794C</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