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440001-2024-00037</w:t>
      </w:r>
    </w:p>
    <w:p>
      <w:pPr>
        <w:jc w:val="center"/>
      </w:pPr>
      <w:r>
        <w:rPr>
          <w:b/>
          <w:sz w:val="24"/>
        </w:rPr>
        <w:t>采购项目编号：</w:t>
      </w:r>
      <w:r>
        <w:rPr>
          <w:b/>
          <w:sz w:val="24"/>
        </w:rPr>
        <w:t>GZGK23P290A0964Z</w:t>
      </w:r>
    </w:p>
    <w:p>
      <w:pPr>
        <w:jc w:val="center"/>
      </w:pPr>
      <w:r>
        <w:rPr>
          <w:b/>
          <w:sz w:val="24"/>
        </w:rPr>
        <w:t>项目名称：</w:t>
      </w:r>
      <w:r>
        <w:rPr>
          <w:b/>
          <w:sz w:val="24"/>
        </w:rPr>
        <w:t>广东省中小学“百千万人才培养工程”小学名校长培养项目学员专著出版</w:t>
      </w:r>
    </w:p>
    <w:p>
      <w:pPr>
        <w:jc w:val="center"/>
      </w:pPr>
      <w:r>
        <w:rPr>
          <w:b/>
          <w:sz w:val="24"/>
        </w:rPr>
        <w:t>采购人：</w:t>
      </w:r>
      <w:r>
        <w:rPr>
          <w:b/>
          <w:sz w:val="24"/>
        </w:rPr>
        <w:t>肇庆学院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肇庆学院</w:t>
      </w:r>
      <w:r>
        <w:rPr/>
        <w:t>的委托，采用</w:t>
      </w:r>
      <w:r>
        <w:rPr/>
        <w:t>公开招标</w:t>
      </w:r>
      <w:r>
        <w:rPr/>
        <w:t>方式组织采购</w:t>
      </w:r>
      <w:r>
        <w:rPr/>
        <w:t>广东省中小学“百千万人才培养工程”小学名校长培养项目学员专著出版</w:t>
      </w:r>
      <w:r>
        <w:rPr/>
        <w:t>。欢迎符合资格条件的国内供应商参加投标。</w:t>
      </w:r>
    </w:p>
    <w:p>
      <w:r>
        <w:rPr>
          <w:b/>
          <w:sz w:val="28"/>
        </w:rPr>
        <w:t>一.项目概述</w:t>
      </w:r>
    </w:p>
    <w:p>
      <w:r>
        <w:rPr>
          <w:b/>
          <w:sz w:val="24"/>
        </w:rPr>
        <w:t>1.名称与编号</w:t>
      </w:r>
    </w:p>
    <w:p>
      <w:pPr>
        <w:ind w:firstLine="480"/>
      </w:pPr>
      <w:r>
        <w:rPr/>
        <w:t>项目名称：</w:t>
      </w:r>
      <w:r>
        <w:rPr/>
        <w:t>广东省中小学“百千万人才培养工程”小学名校长培养项目学员专著出版</w:t>
      </w:r>
    </w:p>
    <w:p>
      <w:pPr>
        <w:ind w:firstLine="480"/>
      </w:pPr>
      <w:r>
        <w:rPr/>
        <w:t>采购计划编号：</w:t>
      </w:r>
      <w:r>
        <w:rPr/>
        <w:t>440001-2024-00037</w:t>
      </w:r>
    </w:p>
    <w:p>
      <w:pPr>
        <w:ind w:firstLine="480"/>
      </w:pPr>
      <w:r>
        <w:rPr/>
        <w:t>采购项目编号：</w:t>
      </w:r>
      <w:r>
        <w:rPr/>
        <w:t>GZGK23P290A0964Z</w:t>
      </w:r>
    </w:p>
    <w:p>
      <w:pPr>
        <w:ind w:firstLine="480"/>
      </w:pPr>
      <w:r>
        <w:rPr/>
        <w:t>采购方式：</w:t>
      </w:r>
      <w:r>
        <w:rPr/>
        <w:t>公开招标</w:t>
      </w:r>
    </w:p>
    <w:p>
      <w:pPr>
        <w:ind w:firstLine="480"/>
      </w:pPr>
      <w:r>
        <w:rPr/>
        <w:t>预算金额：</w:t>
      </w:r>
      <w:r>
        <w:rPr/>
        <w:t>1,610,000.00</w:t>
      </w:r>
      <w:r>
        <w:rPr/>
        <w:t>元</w:t>
      </w:r>
    </w:p>
    <w:p>
      <w:r>
        <w:rPr>
          <w:b/>
          <w:sz w:val="24"/>
        </w:rPr>
        <w:t>2.项目内容及需求情况（采购项目技术规格、参数及要求）</w:t>
      </w:r>
    </w:p>
    <w:p>
      <w:pPr>
        <w:ind w:firstLine="480"/>
      </w:pPr>
    </w:p>
    <w:p/>
    <w:p>
      <w:r>
        <w:rPr/>
        <w:t>采购包1(广东省中小学“百千万人才培养工程”小学名校长培养项目学员专著出版):</w:t>
      </w:r>
    </w:p>
    <w:p>
      <w:r>
        <w:rPr/>
        <w:t>采购包预算金额：1,610,000.00元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出版服务</w:t>
            </w:r>
          </w:p>
        </w:tc>
        <w:tc>
          <w:tcPr>
            <w:tcW w:type="dxa" w:w="2136"/>
          </w:tcPr>
          <w:p>
            <w:r>
              <w:rPr/>
              <w:t>22名学员专著出版</w:t>
            </w:r>
          </w:p>
        </w:tc>
        <w:tc>
          <w:tcPr>
            <w:tcW w:type="dxa" w:w="1187"/>
          </w:tcPr>
          <w:p>
            <w:r>
              <w:rPr/>
              <w:t>22.00(部)</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出版服务</w:t>
            </w:r>
          </w:p>
        </w:tc>
        <w:tc>
          <w:tcPr>
            <w:tcW w:type="dxa" w:w="2136"/>
          </w:tcPr>
          <w:p>
            <w:r>
              <w:rPr/>
              <w:t>小学名校长班专著出版</w:t>
            </w:r>
          </w:p>
        </w:tc>
        <w:tc>
          <w:tcPr>
            <w:tcW w:type="dxa" w:w="1187"/>
          </w:tcPr>
          <w:p>
            <w:r>
              <w:rPr/>
              <w:t>1.00(部)</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2）有依法缴纳税收和社会保障资金的良好记录：投标文件中提供《资格条件承诺函》。</w:t>
      </w:r>
    </w:p>
    <w:p/>
    <w:p>
      <w:r>
        <w:rPr/>
        <w:t>3）具有良好的商业信誉和健全的财务会计制度：投标文件中提供《资格条件承诺函》。</w:t>
      </w:r>
    </w:p>
    <w:p/>
    <w:p>
      <w:r>
        <w:rPr/>
        <w:t>4）履行合同所必需的设备和专业技术能力：投标文件中提供《资格条件承诺函》。</w:t>
      </w:r>
    </w:p>
    <w:p/>
    <w:p>
      <w:r>
        <w:rPr/>
        <w:t>5）参加采购活动前3年内，在经营活动中没有重大违法记录：投标文件中提供《资格条件承诺函》。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采购包1（广东省中小学“百千万人才培养工程”小学名校长培养项目学员专著出版）：</w:t>
      </w:r>
      <w:r>
        <w:rPr/>
        <w:t>采购包整体专门面向中小企业，全部服务须由中小微企业或监狱企业或残疾人福利性单位提供。</w:t>
      </w:r>
    </w:p>
    <w:p/>
    <w:p>
      <w:r>
        <w:rPr>
          <w:b/>
          <w:sz w:val="24"/>
        </w:rPr>
        <w:t>3.本项目特定的资格要求：</w:t>
      </w:r>
    </w:p>
    <w:p>
      <w:pPr>
        <w:ind w:firstLine="480"/>
      </w:pPr>
    </w:p>
    <w:p/>
    <w:p>
      <w:r>
        <w:rPr/>
        <w:t>采购包1（广东省中小学“百千万人才培养工程”小学名校长培养项目学员专著出版）：</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3)投标人须具有有效《中华人民共和国出版物发行许可证》或《中华人民共和国出版物经营许可证》（提供证书复印件）；（如国家另有规定，则适用其规定）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肇庆学院</w:t>
      </w:r>
    </w:p>
    <w:p>
      <w:pPr>
        <w:ind w:firstLine="480"/>
      </w:pPr>
      <w:r>
        <w:rPr/>
        <w:t>地址：</w:t>
      </w:r>
      <w:r>
        <w:rPr/>
        <w:t>广东省肇庆市端州区肇庆大道55号</w:t>
      </w:r>
    </w:p>
    <w:p>
      <w:pPr>
        <w:ind w:firstLine="480"/>
      </w:pPr>
      <w:r>
        <w:rPr/>
        <w:t>联系方式：</w:t>
      </w:r>
      <w:r>
        <w:rPr/>
        <w:t>0758-2716861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020-31603842、020-37635007</w:t>
      </w:r>
    </w:p>
    <w:p>
      <w:r>
        <w:rPr>
          <w:b/>
          <w:sz w:val="24"/>
        </w:rPr>
        <w:t>3.项目联系方式</w:t>
      </w:r>
    </w:p>
    <w:p>
      <w:pPr>
        <w:ind w:firstLine="480"/>
      </w:pPr>
      <w:r>
        <w:rPr/>
        <w:t>项目联系人：</w:t>
      </w:r>
      <w:r>
        <w:rPr/>
        <w:t>李国晨、张锡宇</w:t>
      </w:r>
    </w:p>
    <w:p>
      <w:pPr>
        <w:ind w:firstLine="480"/>
      </w:pPr>
      <w:r>
        <w:rPr/>
        <w:t>电话：</w:t>
      </w:r>
      <w:r>
        <w:rPr/>
        <w:t>020-31603842、020-37635007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GZGK23P290A0964Z</w:t>
      </w:r>
    </w:p>
    <w:p>
      <w:pPr>
        <w:jc w:val="both"/>
      </w:pPr>
      <w:r>
        <w:rPr>
          <w:b/>
          <w:sz w:val="21"/>
        </w:rPr>
        <w:t>（二）</w:t>
      </w:r>
      <w:r>
        <w:rPr>
          <w:b/>
          <w:sz w:val="21"/>
        </w:rPr>
        <w:t>项目名称：</w:t>
      </w:r>
      <w:r>
        <w:rPr>
          <w:sz w:val="21"/>
        </w:rPr>
        <w:t>广东省中小学</w:t>
      </w:r>
      <w:r>
        <w:rPr>
          <w:sz w:val="21"/>
        </w:rPr>
        <w:t>“百千万人才培养工程”小学名校长培养项目学员专著出版</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ind w:firstLine="420"/>
        <w:jc w:val="both"/>
      </w:pPr>
      <w:r>
        <w:rPr>
          <w:sz w:val="21"/>
        </w:rPr>
        <w:t>2、</w:t>
      </w:r>
      <w:r>
        <w:rPr>
          <w:sz w:val="21"/>
        </w:rPr>
        <w:t>标有</w:t>
      </w:r>
      <w:r>
        <w:rPr>
          <w:sz w:val="21"/>
        </w:rPr>
        <w:t>“▲”的条款为重要性要求，投标人如有“▲”的条款未响应或负偏离的将被严重扣分。</w:t>
      </w:r>
    </w:p>
    <w:p>
      <w:pPr>
        <w:ind w:firstLine="420"/>
        <w:jc w:val="both"/>
      </w:pPr>
      <w:r>
        <w:rPr>
          <w:sz w:val="21"/>
        </w:rPr>
        <w:t>3、</w:t>
      </w:r>
      <w:r>
        <w:rPr>
          <w:sz w:val="21"/>
        </w:rPr>
        <w:t>投标人必须承诺提供厂商原装、全新的、符合国家及用户提出的有关质量标准的货物。</w:t>
      </w:r>
    </w:p>
    <w:p>
      <w:pPr>
        <w:ind w:firstLine="420"/>
        <w:jc w:val="both"/>
      </w:pPr>
      <w:r>
        <w:rPr>
          <w:sz w:val="21"/>
        </w:rPr>
        <w:t>4、</w:t>
      </w:r>
      <w:r>
        <w:rPr>
          <w:sz w:val="21"/>
        </w:rPr>
        <w:t>投标人应对采购需求中的技术指标在响应详细内容中列出具体数值。如果投标人只注明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ind w:firstLine="420"/>
        <w:jc w:val="both"/>
      </w:pPr>
      <w:r>
        <w:rPr>
          <w:sz w:val="21"/>
        </w:rPr>
        <w:t>5、</w:t>
      </w:r>
      <w:r>
        <w:rPr>
          <w:sz w:val="21"/>
        </w:rPr>
        <w:t>投标人没有在投标文件中注明偏离（文字说明或在响应表注明）的参数、配置、条款视为被投标人完全接受。</w:t>
      </w:r>
    </w:p>
    <w:p>
      <w:pPr>
        <w:ind w:firstLine="420"/>
        <w:jc w:val="both"/>
      </w:pPr>
      <w:r>
        <w:rPr>
          <w:sz w:val="21"/>
        </w:rPr>
        <w:t>6、</w:t>
      </w:r>
      <w:r>
        <w:rPr>
          <w:sz w:val="21"/>
        </w:rPr>
        <w:t>投标人应保证，采购人在中华人民共和国使用该货物、服务或货物、服务的任何一部分时，免受第三方提出的侵犯其专利权、商标权、著作权或其它知识产权的起诉。</w:t>
      </w:r>
    </w:p>
    <w:p>
      <w:pPr>
        <w:ind w:firstLine="420"/>
        <w:jc w:val="both"/>
      </w:pPr>
      <w:r>
        <w:rPr>
          <w:sz w:val="21"/>
        </w:rPr>
        <w:t>7、</w:t>
      </w:r>
      <w:r>
        <w:rPr>
          <w:sz w:val="21"/>
        </w:rPr>
        <w:t>不允许中标供应商</w:t>
      </w:r>
      <w:r>
        <w:rPr>
          <w:sz w:val="21"/>
        </w:rPr>
        <w:t>转包、分包项目内容</w:t>
      </w:r>
      <w:r>
        <w:rPr>
          <w:sz w:val="21"/>
        </w:rPr>
        <w:t>。</w:t>
      </w:r>
    </w:p>
    <w:p>
      <w:pPr>
        <w:ind w:firstLine="420"/>
        <w:jc w:val="both"/>
      </w:pPr>
      <w:r>
        <w:rPr>
          <w:sz w:val="21"/>
        </w:rPr>
        <w:t>8、</w:t>
      </w:r>
      <w:r>
        <w:rPr>
          <w:sz w:val="21"/>
        </w:rPr>
        <w:t>小型和微型企业、监狱企业和残疾人福利性单位必须按照招标</w:t>
      </w:r>
      <w:r>
        <w:rPr>
          <w:sz w:val="21"/>
        </w:rPr>
        <w:t>文件第三章</w:t>
      </w:r>
      <w:r>
        <w:rPr>
          <w:sz w:val="21"/>
        </w:rPr>
        <w:t>的内容提供相应的资料。</w:t>
      </w:r>
    </w:p>
    <w:p>
      <w:pPr>
        <w:ind w:firstLine="420"/>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ind w:firstLine="420"/>
        <w:jc w:val="both"/>
      </w:pPr>
      <w:r>
        <w:rPr>
          <w:sz w:val="21"/>
        </w:rPr>
        <w:t>10、</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分钟内完成，但为了保证开标程序顺利、高效地完成，投标人亦可委派代表携带</w:t>
      </w:r>
      <w:r>
        <w:rPr>
          <w:sz w:val="21"/>
        </w:rPr>
        <w:t>CA-key</w:t>
      </w:r>
      <w:r>
        <w:rPr>
          <w:sz w:val="21"/>
        </w:rPr>
        <w:t>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w:t>
      </w:r>
      <w:r>
        <w:rPr>
          <w:b/>
          <w:sz w:val="21"/>
        </w:rPr>
        <w:t>报价说明：</w:t>
      </w:r>
    </w:p>
    <w:p>
      <w:pPr>
        <w:ind w:firstLine="420"/>
        <w:jc w:val="both"/>
      </w:pPr>
      <w:r>
        <w:rPr>
          <w:sz w:val="21"/>
        </w:rPr>
        <w:t>投标报价包括：书款、运输、保险、投入人员费用（包括应付的工资和应缴纳的五险一金等费用）、图书加工费、组织现采活动所需要的费用、税费、不可预见费等在项目实施过程中的全部费用，投标人报价中漏报、少报的费用，视为此项费用已隐含在投标报价中，中标后不得再向采购人收取任何费用。</w:t>
      </w:r>
    </w:p>
    <w:p>
      <w:pPr>
        <w:jc w:val="both"/>
      </w:pPr>
      <w:r>
        <w:rPr>
          <w:b/>
          <w:sz w:val="21"/>
        </w:rPr>
        <w:t>（六）</w:t>
      </w:r>
      <w:r>
        <w:rPr>
          <w:b/>
          <w:sz w:val="21"/>
        </w:rPr>
        <w:t>实现的功能</w:t>
      </w:r>
    </w:p>
    <w:p>
      <w:pPr>
        <w:ind w:firstLine="420"/>
        <w:jc w:val="both"/>
      </w:pPr>
      <w:r>
        <w:rPr>
          <w:sz w:val="21"/>
        </w:rPr>
        <w:t>为贯彻落实广东省委、省政府关于全面深化新时代教师队伍建设改革的有关部署要求，进一步加强广东省中小学教师队伍建设，培育造就一大批教育家型教师、卓越教师和骨干教师，努力营造优秀教育人才脱颖而出的制度环境。广东省教育厅、省财政厅研究制定《广东省中小学</w:t>
      </w:r>
      <w:r>
        <w:rPr>
          <w:sz w:val="21"/>
        </w:rPr>
        <w:t>“百千万人才培养工程”培养项目实施办法》，省财政对省级培养项目给予经费支持，用于培养对象的课题研究和成果宣传出版等任务。</w:t>
      </w:r>
      <w:r>
        <w:br/>
      </w:r>
      <w:r>
        <w:rPr>
          <w:b/>
          <w:sz w:val="21"/>
        </w:rPr>
        <w:t>（七）其他要求</w:t>
      </w:r>
    </w:p>
    <w:p>
      <w:pPr>
        <w:ind w:firstLine="420"/>
        <w:jc w:val="both"/>
      </w:pPr>
      <w:r>
        <w:rPr>
          <w:sz w:val="21"/>
        </w:rPr>
        <w:t>1. 服务支撑能力</w:t>
      </w:r>
    </w:p>
    <w:p>
      <w:pPr>
        <w:ind w:firstLine="420"/>
        <w:jc w:val="both"/>
      </w:pPr>
      <w:r>
        <w:rPr>
          <w:sz w:val="21"/>
        </w:rPr>
        <w:t>响应供应商根据项目的实际情况，科学合理地拟定项目的服务支撑能力，对如下内容作出详细说明：（1）服务人员的同类经验及能力；（2）保证服务团队稳定性的方案；（3）工作时间进度计划。</w:t>
      </w:r>
    </w:p>
    <w:p>
      <w:pPr>
        <w:ind w:firstLine="420"/>
        <w:jc w:val="both"/>
      </w:pPr>
      <w:r>
        <w:rPr>
          <w:sz w:val="21"/>
        </w:rPr>
        <w:t>2. 服务方案</w:t>
      </w:r>
    </w:p>
    <w:p>
      <w:pPr>
        <w:ind w:firstLine="420"/>
        <w:jc w:val="both"/>
      </w:pPr>
      <w:r>
        <w:rPr>
          <w:sz w:val="21"/>
        </w:rPr>
        <w:t>响应供应商根据项目的实际情况，科学合理地拟定项目的服务方案，对如下内容作出详细说明：（1）工作标准；（2）工作流程；（3）服务内容及方式；（4）策划及设计能力。</w:t>
      </w:r>
    </w:p>
    <w:p>
      <w:pPr>
        <w:ind w:firstLine="420"/>
        <w:jc w:val="both"/>
      </w:pPr>
      <w:r>
        <w:rPr>
          <w:sz w:val="21"/>
        </w:rPr>
        <w:t>3. 对本项目重点难点分析、应对措施及相关的合理化建议</w:t>
      </w:r>
    </w:p>
    <w:p>
      <w:pPr>
        <w:ind w:firstLine="420"/>
        <w:jc w:val="both"/>
      </w:pPr>
      <w:r>
        <w:rPr>
          <w:sz w:val="21"/>
        </w:rPr>
        <w:t>响应供应商根据项目的实际情况，科学合理地拟定对本项目重点难点分析、应对措施及相关的合理化建议，对如下内容作出详细说明：（1）项目重点难点分析；（2）应对措施；（3）合理化建议。</w:t>
      </w:r>
    </w:p>
    <w:p>
      <w:pPr>
        <w:ind w:firstLine="420"/>
        <w:jc w:val="both"/>
      </w:pPr>
      <w:r>
        <w:rPr>
          <w:sz w:val="21"/>
        </w:rPr>
        <w:t>4. 质量保障措施及方案</w:t>
      </w:r>
    </w:p>
    <w:p>
      <w:pPr>
        <w:ind w:firstLine="420"/>
        <w:jc w:val="both"/>
      </w:pPr>
      <w:r>
        <w:rPr>
          <w:sz w:val="21"/>
        </w:rPr>
        <w:t>响应供应商根据项目的实际情况，科学合理地项目的质量保障措施及方案，对如下内容作出详细说明：（1）质量保证体系；（2）各环节关键节点质量保证措施；（3）应急事故预防与处理措施（4）验收不通过的解决方案。</w:t>
      </w:r>
    </w:p>
    <w:p>
      <w:pPr>
        <w:ind w:firstLine="420"/>
        <w:jc w:val="both"/>
      </w:pPr>
      <w:r>
        <w:rPr>
          <w:sz w:val="21"/>
        </w:rPr>
        <w:t>5. 主要材料</w:t>
      </w:r>
    </w:p>
    <w:p>
      <w:pPr>
        <w:ind w:firstLine="420"/>
        <w:jc w:val="both"/>
      </w:pPr>
      <w:r>
        <w:rPr>
          <w:sz w:val="21"/>
        </w:rPr>
        <w:t>响应供应商根据项目的实际情况，科学合理地项目的主要材料，对如下内容作出详细说明：（1）使用材料质量；（2）安全环保。</w:t>
      </w:r>
    </w:p>
    <w:p>
      <w:pPr>
        <w:jc w:val="both"/>
      </w:pPr>
      <w:r>
        <w:rPr>
          <w:b/>
          <w:sz w:val="21"/>
        </w:rPr>
        <w:t>（八）</w:t>
      </w:r>
      <w:r>
        <w:rPr>
          <w:b/>
          <w:sz w:val="21"/>
        </w:rPr>
        <w:t>需执行国家相关标准、行业标准、地方标准或者其他标准、规范。</w:t>
      </w:r>
    </w:p>
    <w:p/>
    <w:p>
      <w:pPr>
        <w:ind w:firstLine="480"/>
      </w:pPr>
    </w:p>
    <w:p/>
    <w:p>
      <w:r>
        <w:rPr/>
        <w:t>采购包1（广东省中小学“百千万人才培养工程”小学名校长培养项目学员专著出版）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专著于2024年4月30日前出版交付。</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1期：支付比例100%,1、合同签订后5个工作日内向供应商支付合同总价的90%作为预付款； 2、采购人对合同货物验收合格并在收到符合条款约定的发票后的15日内，向供应商支付合同总价的10%。 3、每笔款项支付前，中标供应商须提交与每笔款项金额相等的正式发票。 4、支付方式：采用支票、银行汇付（含电汇）等形式。</w:t>
            </w:r>
          </w:p>
        </w:tc>
      </w:tr>
      <w:tr>
        <w:tc>
          <w:tcPr>
            <w:tcW w:type="dxa" w:w="4153"/>
          </w:tcPr>
          <w:p>
            <w:r>
              <w:rPr/>
              <w:t>验收要求</w:t>
            </w:r>
          </w:p>
        </w:tc>
        <w:tc>
          <w:tcPr>
            <w:tcW w:type="dxa" w:w="4153"/>
          </w:tcPr>
          <w:p/>
          <w:p/>
          <w:p/>
          <w:p>
            <w:r>
              <w:rPr/>
              <w:t>1期：1.验收条件及标准：根据国家相关条例规范验收。 2.货物验收：按中标供应商通过出版后发送图书方式进行验收，所提供图书为正版图书，图书经验收合格，且未经使用的全新产品。 3.履行签订合同中的其他条款。 4. 验收方式：项目服务期满后，由中标供应商提出项目验收申请，采购人组织验收工作，依国家有关标准、合同的约定对中标供应商提供的服务进行验收，若中标供应商提供的服务与要求不符，将在中标供应商改进服务后重新组织验收。 5. 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（一）包装与运输，支持邮寄送货，严格按图书邮寄正规包装，保证图书产品运送过程中不受损，否则拒收。</w:t>
            </w:r>
          </w:p>
          <w:p/>
          <w:p>
            <w:r>
              <w:rPr/>
              <w:t>（二）交货方式，将出版后的图书发送至采购人。</w:t>
            </w:r>
          </w:p>
          <w:p/>
          <w:p>
            <w:r>
              <w:rPr/>
              <w:t>（三）保险，货物从出厂运至采购人指定地点的保险费用须包含在投标报价中。</w:t>
            </w:r>
          </w:p>
          <w:p/>
          <w:p>
            <w:r>
              <w:rPr/>
              <w:t>（四）售后服务及保险等，1.按国家有关规定及厂家承诺实行“三包”，要求送货上门至验收合格； 2.所提供的图书为正版图书，不得配送非法出版物，保证图书质量，无装订开裂、纸质低劣、字迹模糊、缺张少页、污损陈旧和图片重影等现象。 3、如有其他问题，供应商需在24小时内予以答复。</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出版服务</w:t>
            </w:r>
          </w:p>
        </w:tc>
        <w:tc>
          <w:tcPr>
            <w:tcW w:type="dxa" w:w="933"/>
          </w:tcPr>
          <w:p>
            <w:pPr>
              <w:jc w:val="left"/>
            </w:pPr>
            <w:r>
              <w:rPr/>
              <w:t>22名学员专著出版</w:t>
            </w:r>
          </w:p>
        </w:tc>
        <w:tc>
          <w:tcPr>
            <w:tcW w:type="dxa" w:w="933"/>
          </w:tcPr>
          <w:p>
            <w:pPr>
              <w:jc w:val="left"/>
            </w:pPr>
            <w:r>
              <w:rPr/>
              <w:t>部</w:t>
            </w:r>
          </w:p>
        </w:tc>
        <w:tc>
          <w:tcPr>
            <w:tcW w:type="dxa" w:w="933"/>
          </w:tcPr>
          <w:p>
            <w:pPr>
              <w:jc w:val="right"/>
            </w:pPr>
            <w:r>
              <w:rPr/>
              <w:t>22.00</w:t>
            </w:r>
          </w:p>
        </w:tc>
        <w:tc>
          <w:tcPr>
            <w:tcW w:type="dxa" w:w="933"/>
          </w:tcPr>
          <w:p>
            <w:pPr>
              <w:jc w:val="right"/>
            </w:pPr>
            <w:r>
              <w:rPr/>
              <w:t>70,000.00</w:t>
            </w:r>
          </w:p>
        </w:tc>
        <w:tc>
          <w:tcPr>
            <w:tcW w:type="dxa" w:w="933"/>
          </w:tcPr>
          <w:p>
            <w:pPr>
              <w:jc w:val="right"/>
            </w:pPr>
            <w:r>
              <w:rPr/>
              <w:t>1,540,000.00</w:t>
            </w:r>
          </w:p>
        </w:tc>
        <w:tc>
          <w:tcPr>
            <w:tcW w:type="dxa" w:w="840"/>
          </w:tcPr>
          <w:p>
            <w:r>
              <w:rPr/>
              <w:t>批发业</w:t>
            </w:r>
          </w:p>
        </w:tc>
        <w:tc>
          <w:tcPr>
            <w:tcW w:type="dxa" w:w="933"/>
          </w:tcPr>
          <w:p>
            <w:r>
              <w:rPr/>
              <w:t>详见附表一</w:t>
            </w:r>
          </w:p>
        </w:tc>
      </w:tr>
      <w:tr>
        <w:tc>
          <w:tcPr>
            <w:tcW w:type="dxa" w:w="933"/>
          </w:tcPr>
          <w:p>
            <w:pPr>
              <w:jc w:val="center"/>
            </w:pPr>
            <w:r>
              <w:rPr/>
              <w:t>2</w:t>
            </w:r>
          </w:p>
        </w:tc>
        <w:tc>
          <w:tcPr>
            <w:tcW w:type="dxa" w:w="933"/>
          </w:tcPr>
          <w:p>
            <w:pPr>
              <w:jc w:val="left"/>
            </w:pPr>
            <w:r>
              <w:rPr/>
              <w:t>出版服务</w:t>
            </w:r>
          </w:p>
        </w:tc>
        <w:tc>
          <w:tcPr>
            <w:tcW w:type="dxa" w:w="933"/>
          </w:tcPr>
          <w:p>
            <w:pPr>
              <w:jc w:val="left"/>
            </w:pPr>
            <w:r>
              <w:rPr/>
              <w:t>小学名校长班专著出版</w:t>
            </w:r>
          </w:p>
        </w:tc>
        <w:tc>
          <w:tcPr>
            <w:tcW w:type="dxa" w:w="933"/>
          </w:tcPr>
          <w:p>
            <w:pPr>
              <w:jc w:val="left"/>
            </w:pPr>
            <w:r>
              <w:rPr/>
              <w:t>部</w:t>
            </w:r>
          </w:p>
        </w:tc>
        <w:tc>
          <w:tcPr>
            <w:tcW w:type="dxa" w:w="933"/>
          </w:tcPr>
          <w:p>
            <w:pPr>
              <w:jc w:val="right"/>
            </w:pPr>
            <w:r>
              <w:rPr/>
              <w:t>1.00</w:t>
            </w:r>
          </w:p>
        </w:tc>
        <w:tc>
          <w:tcPr>
            <w:tcW w:type="dxa" w:w="933"/>
          </w:tcPr>
          <w:p>
            <w:pPr>
              <w:jc w:val="right"/>
            </w:pPr>
            <w:r>
              <w:rPr/>
              <w:t>70,000.00</w:t>
            </w:r>
          </w:p>
        </w:tc>
        <w:tc>
          <w:tcPr>
            <w:tcW w:type="dxa" w:w="933"/>
          </w:tcPr>
          <w:p>
            <w:pPr>
              <w:jc w:val="right"/>
            </w:pPr>
            <w:r>
              <w:rPr/>
              <w:t>70,000.00</w:t>
            </w:r>
          </w:p>
        </w:tc>
        <w:tc>
          <w:tcPr>
            <w:tcW w:type="dxa" w:w="840"/>
          </w:tcPr>
          <w:p>
            <w:r>
              <w:rPr/>
              <w:t>批发业</w:t>
            </w:r>
          </w:p>
        </w:tc>
        <w:tc>
          <w:tcPr>
            <w:tcW w:type="dxa" w:w="933"/>
          </w:tcPr>
          <w:p>
            <w:r>
              <w:rPr/>
              <w:t>详见附表二</w:t>
            </w:r>
          </w:p>
        </w:tc>
      </w:tr>
    </w:tbl>
    <w:p/>
    <w:p>
      <w:r>
        <w:rPr>
          <w:b/>
        </w:rPr>
        <w:t>附表</w:t>
      </w:r>
      <w:r>
        <w:rPr>
          <w:b/>
        </w:rPr>
        <w:t>一</w:t>
      </w:r>
      <w:r>
        <w:rPr>
          <w:b/>
        </w:rPr>
        <w:t>：</w:t>
      </w:r>
      <w:r>
        <w:rPr>
          <w:b/>
        </w:rPr>
        <w:t>22名学员专著出版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Ind w:type="dxa" w:w="135"/>
              <w:tblBorders>
                <w:top w:val="none" w:color="000000" w:sz="4"/>
                <w:left w:val="none" w:color="000000" w:sz="4"/>
                <w:bottom w:val="none" w:color="000000" w:sz="4"/>
                <w:right w:val="none" w:color="000000" w:sz="4"/>
                <w:insideH w:val="none"/>
                <w:insideV w:val="none"/>
              </w:tblBorders>
            </w:tblPr>
            <w:tblGrid>
              <w:gridCol w:w="622"/>
              <w:gridCol w:w="679"/>
              <w:gridCol w:w="4297"/>
            </w:tblGrid>
            <w:tr>
              <w:tc>
                <w:tcPr>
                  <w:tcW w:type="dxa" w:w="622"/>
                  <w:tcBorders>
                    <w:top w:val="single" w:color="000000" w:sz="4"/>
                    <w:left w:val="single" w:color="000000" w:sz="4"/>
                    <w:bottom w:val="single" w:color="000000" w:sz="4"/>
                    <w:right w:val="single" w:color="000000" w:sz="4"/>
                  </w:tcBorders>
                </w:tcPr>
                <w:p>
                  <w:pPr>
                    <w:jc w:val="center"/>
                  </w:pPr>
                  <w:r>
                    <w:rPr>
                      <w:sz w:val="21"/>
                    </w:rPr>
                    <w:t>采购内容</w:t>
                  </w:r>
                </w:p>
              </w:tc>
              <w:tc>
                <w:tcPr>
                  <w:tcW w:type="dxa" w:w="679"/>
                  <w:tcBorders>
                    <w:top w:val="single" w:color="000000" w:sz="4"/>
                    <w:left w:val="none" w:color="000000" w:sz="4"/>
                    <w:bottom w:val="single" w:color="000000" w:sz="4"/>
                    <w:right w:val="single" w:color="000000" w:sz="4"/>
                  </w:tcBorders>
                </w:tcPr>
                <w:p>
                  <w:pPr>
                    <w:jc w:val="center"/>
                  </w:pPr>
                  <w:r>
                    <w:rPr>
                      <w:sz w:val="21"/>
                    </w:rPr>
                    <w:t>图书类型</w:t>
                  </w:r>
                </w:p>
              </w:tc>
              <w:tc>
                <w:tcPr>
                  <w:tcW w:type="dxa" w:w="4297"/>
                  <w:tcBorders>
                    <w:top w:val="single" w:color="000000" w:sz="4"/>
                    <w:left w:val="none" w:color="000000" w:sz="4"/>
                    <w:bottom w:val="single" w:color="000000" w:sz="4"/>
                    <w:right w:val="single" w:color="000000" w:sz="4"/>
                  </w:tcBorders>
                </w:tcPr>
                <w:p>
                  <w:pPr>
                    <w:jc w:val="center"/>
                  </w:pPr>
                  <w:r>
                    <w:rPr>
                      <w:sz w:val="21"/>
                    </w:rPr>
                    <w:t>技术参数（包括性能、材料、结构、外观、安全，或者服务内容和标准）</w:t>
                  </w:r>
                </w:p>
              </w:tc>
            </w:tr>
            <w:tr>
              <w:tc>
                <w:tcPr>
                  <w:tcW w:type="dxa" w:w="622"/>
                  <w:tcBorders>
                    <w:top w:val="none" w:color="000000" w:sz="4"/>
                    <w:left w:val="single" w:color="000000" w:sz="4"/>
                    <w:bottom w:val="single" w:color="000000" w:sz="4"/>
                    <w:right w:val="single" w:color="000000" w:sz="4"/>
                  </w:tcBorders>
                </w:tcPr>
                <w:p>
                  <w:pPr>
                    <w:jc w:val="center"/>
                  </w:pPr>
                  <w:r>
                    <w:rPr>
                      <w:sz w:val="21"/>
                    </w:rPr>
                    <w:t>22</w:t>
                  </w:r>
                  <w:r>
                    <w:rPr>
                      <w:sz w:val="21"/>
                    </w:rPr>
                    <w:t>名学员专著出版</w:t>
                  </w:r>
                </w:p>
              </w:tc>
              <w:tc>
                <w:tcPr>
                  <w:tcW w:type="dxa" w:w="679"/>
                  <w:tcBorders>
                    <w:top w:val="none" w:color="000000" w:sz="4"/>
                    <w:left w:val="none" w:color="000000" w:sz="4"/>
                    <w:bottom w:val="single" w:color="000000" w:sz="4"/>
                    <w:right w:val="single" w:color="000000" w:sz="4"/>
                  </w:tcBorders>
                </w:tcPr>
                <w:p>
                  <w:pPr>
                    <w:jc w:val="center"/>
                  </w:pPr>
                  <w:r>
                    <w:rPr>
                      <w:sz w:val="21"/>
                    </w:rPr>
                    <w:t>学术专著</w:t>
                  </w:r>
                </w:p>
              </w:tc>
              <w:tc>
                <w:tcPr>
                  <w:tcW w:type="dxa" w:w="4297"/>
                  <w:tcBorders>
                    <w:top w:val="none" w:color="000000" w:sz="4"/>
                    <w:left w:val="none" w:color="000000" w:sz="4"/>
                    <w:bottom w:val="single" w:color="000000" w:sz="4"/>
                    <w:right w:val="single" w:color="000000" w:sz="4"/>
                  </w:tcBorders>
                </w:tcPr>
                <w:p>
                  <w:pPr>
                    <w:jc w:val="left"/>
                  </w:pPr>
                  <w:r>
                    <w:rPr>
                      <w:sz w:val="21"/>
                    </w:rPr>
                    <w:t>一、出版策划服务要求</w:t>
                  </w:r>
                </w:p>
                <w:p>
                  <w:pPr>
                    <w:jc w:val="left"/>
                  </w:pPr>
                  <w:r>
                    <w:rPr>
                      <w:sz w:val="21"/>
                    </w:rPr>
                    <w:t>（一）版面字数：20万字以内。</w:t>
                  </w:r>
                </w:p>
                <w:p>
                  <w:pPr>
                    <w:jc w:val="left"/>
                  </w:pPr>
                  <w:r>
                    <w:rPr>
                      <w:sz w:val="21"/>
                    </w:rPr>
                    <w:t>（二）图书开本：16开。</w:t>
                  </w:r>
                </w:p>
                <w:p>
                  <w:pPr>
                    <w:jc w:val="left"/>
                  </w:pPr>
                  <w:r>
                    <w:rPr>
                      <w:sz w:val="21"/>
                    </w:rPr>
                    <w:t>（三）内文用纸：70克双胶纸。</w:t>
                  </w:r>
                </w:p>
                <w:p>
                  <w:pPr>
                    <w:jc w:val="left"/>
                  </w:pPr>
                  <w:r>
                    <w:rPr>
                      <w:sz w:val="21"/>
                    </w:rPr>
                    <w:t>（四）封面用纸：200克铜板纸，彩色，压膜。</w:t>
                  </w:r>
                </w:p>
                <w:p>
                  <w:pPr>
                    <w:jc w:val="left"/>
                  </w:pPr>
                  <w:r>
                    <w:rPr>
                      <w:sz w:val="21"/>
                    </w:rPr>
                    <w:t>（五）印制方式：黑白制作，制作数量300册</w:t>
                  </w:r>
                  <w:r>
                    <w:rPr>
                      <w:sz w:val="21"/>
                    </w:rPr>
                    <w:t>/</w:t>
                  </w:r>
                  <w:r>
                    <w:rPr>
                      <w:sz w:val="21"/>
                    </w:rPr>
                    <w:t>部</w:t>
                  </w:r>
                  <w:r>
                    <w:rPr>
                      <w:sz w:val="21"/>
                    </w:rPr>
                    <w:t>。</w:t>
                  </w:r>
                </w:p>
                <w:p>
                  <w:pPr>
                    <w:jc w:val="left"/>
                  </w:pPr>
                  <w:r>
                    <w:rPr>
                      <w:sz w:val="21"/>
                    </w:rPr>
                    <w:t>（六）出版要求：全书（含封面内文）设计制作、专业编辑校对、照排、制作、书号申请及管理等；采用正规国际标准书号；成品著作的文字差错率在1/10000以下；封面、扉页、封底设计能恰当反映著作内容，构思合理、格调健康、风格鲜明、文字准确、色彩和谐；版式设计规范、统一，字号字型、序号使用合理。</w:t>
                  </w:r>
                </w:p>
                <w:p>
                  <w:pPr>
                    <w:jc w:val="left"/>
                  </w:pPr>
                  <w:r>
                    <w:rPr>
                      <w:sz w:val="21"/>
                    </w:rPr>
                    <w:t>二、制作质量要求：图书质量符合《图书质量管理规定》和行业标准。</w:t>
                  </w:r>
                </w:p>
                <w:p>
                  <w:pPr>
                    <w:jc w:val="left"/>
                  </w:pPr>
                  <w:r>
                    <w:rPr>
                      <w:sz w:val="21"/>
                    </w:rPr>
                    <w:t>（一）封面制作：套印准确，字、图、点、线印迹清楚，不花、不毛、不糊，实地版墨色均匀，无回胶印，背面无脏污。</w:t>
                  </w:r>
                </w:p>
                <w:p>
                  <w:pPr>
                    <w:jc w:val="left"/>
                  </w:pPr>
                  <w:r>
                    <w:rPr>
                      <w:sz w:val="21"/>
                    </w:rPr>
                    <w:t>（二）插图制作：套印准确，层次分明，轮廓实；电分制版无浮雕印；网点清晰饱满，小点不秃，大点光洁不糊，质感好；墨色均匀厚实，色彩鲜有光泽，肤色正，接版准确，色调深浅一致。</w:t>
                  </w:r>
                </w:p>
                <w:p>
                  <w:pPr>
                    <w:jc w:val="left"/>
                  </w:pPr>
                  <w:r>
                    <w:rPr>
                      <w:sz w:val="21"/>
                    </w:rPr>
                    <w:t>（三）正文制作：压力适度，全书前后轻重一致；全书前后墨色一致，浓淡适度；套印版面端正，正反套印准确；文字、标点清晰，无缺笔断划，标题黑实不花，小字不糊不瞎；书面无脏污、破损，无钉花、野墨。</w:t>
                  </w:r>
                </w:p>
                <w:p>
                  <w:pPr>
                    <w:jc w:val="left"/>
                  </w:pPr>
                  <w:r>
                    <w:rPr>
                      <w:sz w:val="21"/>
                    </w:rPr>
                    <w:t>（四）装订：开本尺寸符合设计要求，套书规格一致，成品裁切方正，无明显刀花，无连接页、折角、破头；书背平整，无空背起泡，无明显皱折，书脊字居中，封面齐色，边框要色正；全书页码折正，书面平服，无皱折（八字折等）；书页整洁，无脏污、破页、野胶。</w:t>
                  </w:r>
                </w:p>
                <w:p>
                  <w:pPr>
                    <w:jc w:val="left"/>
                  </w:pPr>
                  <w:r>
                    <w:rPr>
                      <w:sz w:val="21"/>
                    </w:rPr>
                    <w:t>三、其他要求</w:t>
                  </w:r>
                </w:p>
                <w:p>
                  <w:pPr>
                    <w:jc w:val="left"/>
                  </w:pPr>
                  <w:r>
                    <w:rPr>
                      <w:sz w:val="21"/>
                    </w:rPr>
                    <w:t>（一）中标人须在签订采购合同后，与采购人签订版权合同及保密协议。</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小学名校长班专著出版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Ind w:type="dxa" w:w="135"/>
              <w:tblBorders>
                <w:top w:val="none" w:color="000000" w:sz="4"/>
                <w:left w:val="none" w:color="000000" w:sz="4"/>
                <w:bottom w:val="none" w:color="000000" w:sz="4"/>
                <w:right w:val="none" w:color="000000" w:sz="4"/>
                <w:insideH w:val="none"/>
                <w:insideV w:val="none"/>
              </w:tblBorders>
            </w:tblPr>
            <w:tblGrid>
              <w:gridCol w:w="622"/>
              <w:gridCol w:w="679"/>
              <w:gridCol w:w="4297"/>
            </w:tblGrid>
            <w:tr>
              <w:tc>
                <w:tcPr>
                  <w:tcW w:type="dxa" w:w="622"/>
                  <w:tcBorders>
                    <w:top w:val="single" w:color="000000" w:sz="4"/>
                    <w:left w:val="single" w:color="000000" w:sz="4"/>
                    <w:bottom w:val="single" w:color="000000" w:sz="4"/>
                    <w:right w:val="single" w:color="000000" w:sz="4"/>
                  </w:tcBorders>
                </w:tcPr>
                <w:p>
                  <w:pPr>
                    <w:jc w:val="center"/>
                  </w:pPr>
                  <w:r>
                    <w:rPr>
                      <w:sz w:val="21"/>
                    </w:rPr>
                    <w:t>采购内容</w:t>
                  </w:r>
                </w:p>
              </w:tc>
              <w:tc>
                <w:tcPr>
                  <w:tcW w:type="dxa" w:w="679"/>
                  <w:tcBorders>
                    <w:top w:val="single" w:color="000000" w:sz="4"/>
                    <w:left w:val="none" w:color="000000" w:sz="4"/>
                    <w:bottom w:val="single" w:color="000000" w:sz="4"/>
                    <w:right w:val="single" w:color="000000" w:sz="4"/>
                  </w:tcBorders>
                </w:tcPr>
                <w:p>
                  <w:pPr>
                    <w:jc w:val="center"/>
                  </w:pPr>
                  <w:r>
                    <w:rPr>
                      <w:sz w:val="21"/>
                    </w:rPr>
                    <w:t>图书类型</w:t>
                  </w:r>
                </w:p>
              </w:tc>
              <w:tc>
                <w:tcPr>
                  <w:tcW w:type="dxa" w:w="4297"/>
                  <w:tcBorders>
                    <w:top w:val="single" w:color="000000" w:sz="4"/>
                    <w:left w:val="none" w:color="000000" w:sz="4"/>
                    <w:bottom w:val="single" w:color="000000" w:sz="4"/>
                    <w:right w:val="single" w:color="000000" w:sz="4"/>
                  </w:tcBorders>
                </w:tcPr>
                <w:p>
                  <w:pPr>
                    <w:jc w:val="center"/>
                  </w:pPr>
                  <w:r>
                    <w:rPr>
                      <w:sz w:val="21"/>
                    </w:rPr>
                    <w:t>技术参数（包括性能、材料、结构、外观、安全，或者服务内容和标准）</w:t>
                  </w:r>
                </w:p>
              </w:tc>
            </w:tr>
            <w:tr>
              <w:tc>
                <w:tcPr>
                  <w:tcW w:type="dxa" w:w="622"/>
                  <w:tcBorders>
                    <w:top w:val="none" w:color="000000" w:sz="4"/>
                    <w:left w:val="single" w:color="000000" w:sz="4"/>
                    <w:bottom w:val="single" w:color="000000" w:sz="4"/>
                    <w:right w:val="single" w:color="000000" w:sz="4"/>
                  </w:tcBorders>
                </w:tcPr>
                <w:p>
                  <w:pPr>
                    <w:jc w:val="center"/>
                  </w:pPr>
                  <w:r>
                    <w:rPr>
                      <w:sz w:val="21"/>
                    </w:rPr>
                    <w:t>小学名校长班专著出版</w:t>
                  </w:r>
                </w:p>
              </w:tc>
              <w:tc>
                <w:tcPr>
                  <w:tcW w:type="dxa" w:w="679"/>
                  <w:tcBorders>
                    <w:top w:val="none" w:color="000000" w:sz="4"/>
                    <w:left w:val="none" w:color="000000" w:sz="4"/>
                    <w:bottom w:val="single" w:color="000000" w:sz="4"/>
                    <w:right w:val="single" w:color="000000" w:sz="4"/>
                  </w:tcBorders>
                </w:tcPr>
                <w:p>
                  <w:pPr>
                    <w:jc w:val="center"/>
                  </w:pPr>
                  <w:r>
                    <w:rPr>
                      <w:sz w:val="21"/>
                    </w:rPr>
                    <w:t>学术专著</w:t>
                  </w:r>
                </w:p>
              </w:tc>
              <w:tc>
                <w:tcPr>
                  <w:tcW w:type="dxa" w:w="4297"/>
                  <w:tcBorders>
                    <w:top w:val="none" w:color="000000" w:sz="4"/>
                    <w:left w:val="none" w:color="000000" w:sz="4"/>
                    <w:bottom w:val="single" w:color="000000" w:sz="4"/>
                    <w:right w:val="single" w:color="000000" w:sz="4"/>
                  </w:tcBorders>
                </w:tcPr>
                <w:p>
                  <w:pPr>
                    <w:jc w:val="left"/>
                  </w:pPr>
                  <w:r>
                    <w:rPr>
                      <w:sz w:val="21"/>
                    </w:rPr>
                    <w:t>一、出版策划服务要求</w:t>
                  </w:r>
                </w:p>
                <w:p>
                  <w:pPr>
                    <w:jc w:val="left"/>
                  </w:pPr>
                  <w:r>
                    <w:rPr>
                      <w:sz w:val="21"/>
                    </w:rPr>
                    <w:t>（一）版面字数：20万字以内。</w:t>
                  </w:r>
                </w:p>
                <w:p>
                  <w:pPr>
                    <w:jc w:val="left"/>
                  </w:pPr>
                  <w:r>
                    <w:rPr>
                      <w:sz w:val="21"/>
                    </w:rPr>
                    <w:t>（二）图书开本：16开。</w:t>
                  </w:r>
                </w:p>
                <w:p>
                  <w:pPr>
                    <w:jc w:val="left"/>
                  </w:pPr>
                  <w:r>
                    <w:rPr>
                      <w:sz w:val="21"/>
                    </w:rPr>
                    <w:t>（三）内文用纸：70克双胶纸。</w:t>
                  </w:r>
                </w:p>
                <w:p>
                  <w:pPr>
                    <w:jc w:val="left"/>
                  </w:pPr>
                  <w:r>
                    <w:rPr>
                      <w:sz w:val="21"/>
                    </w:rPr>
                    <w:t>（四）封面用纸：200克铜板纸，彩色，压膜。</w:t>
                  </w:r>
                </w:p>
                <w:p>
                  <w:pPr>
                    <w:jc w:val="left"/>
                  </w:pPr>
                  <w:r>
                    <w:rPr>
                      <w:sz w:val="21"/>
                    </w:rPr>
                    <w:t>（五）印制方式：黑白制作，制作数量300册</w:t>
                  </w:r>
                  <w:r>
                    <w:rPr>
                      <w:sz w:val="21"/>
                    </w:rPr>
                    <w:t>/</w:t>
                  </w:r>
                  <w:r>
                    <w:rPr>
                      <w:sz w:val="21"/>
                    </w:rPr>
                    <w:t>部</w:t>
                  </w:r>
                  <w:r>
                    <w:rPr>
                      <w:sz w:val="21"/>
                    </w:rPr>
                    <w:t>。</w:t>
                  </w:r>
                </w:p>
                <w:p>
                  <w:pPr>
                    <w:jc w:val="left"/>
                  </w:pPr>
                  <w:r>
                    <w:rPr>
                      <w:sz w:val="21"/>
                    </w:rPr>
                    <w:t>（六）出版要求：全书（含封面内文）设计制作、专业编辑校对、照排、制作、书号申请及管理等；采用正规国际标准书号；成品著作的文字差错率在1/10000以下；封面、扉页、封底设计能恰当反映著作内容，构思合理、格调健康、风格鲜明、文字准确、色彩和谐；版式设计规范、统一，字号字型、序号使用合理。</w:t>
                  </w:r>
                </w:p>
                <w:p>
                  <w:pPr>
                    <w:jc w:val="left"/>
                  </w:pPr>
                  <w:r>
                    <w:rPr>
                      <w:sz w:val="21"/>
                    </w:rPr>
                    <w:t>二、制作质量要求：图书质量符合《图书质量管理规定》和行业标准。</w:t>
                  </w:r>
                </w:p>
                <w:p>
                  <w:pPr>
                    <w:jc w:val="left"/>
                  </w:pPr>
                  <w:r>
                    <w:rPr>
                      <w:sz w:val="21"/>
                    </w:rPr>
                    <w:t>（一）封面制作：套印准确，字、图、点、线印迹清楚，不花、不毛、不糊，实地版墨色均匀，无回胶印，背面无脏污。</w:t>
                  </w:r>
                </w:p>
                <w:p>
                  <w:pPr>
                    <w:jc w:val="left"/>
                  </w:pPr>
                  <w:r>
                    <w:rPr>
                      <w:sz w:val="21"/>
                    </w:rPr>
                    <w:t>（二）插图制作：套印准确，层次分明，轮廓实；电分制版无浮雕印；网点清晰饱满，小点不秃，大点光洁不糊，质感好；墨色均匀厚实，色彩鲜有光泽，肤色正，接版准确，色调深浅一致。</w:t>
                  </w:r>
                </w:p>
                <w:p>
                  <w:pPr>
                    <w:jc w:val="left"/>
                  </w:pPr>
                  <w:r>
                    <w:rPr>
                      <w:sz w:val="21"/>
                    </w:rPr>
                    <w:t>（三）正文制作：压力适度，全书前后轻重一致；全书前后墨色一致，浓淡适度；套印版面端正，正反套印准确；文字、标点清晰，无缺笔断划，标题黑实不花，小字不糊不瞎；书面无脏污、破损，无钉花、野墨。</w:t>
                  </w:r>
                </w:p>
                <w:p>
                  <w:pPr>
                    <w:jc w:val="left"/>
                  </w:pPr>
                  <w:r>
                    <w:rPr>
                      <w:sz w:val="21"/>
                    </w:rPr>
                    <w:t>（四）装订：开本尺寸符合设计要求，套书规格一致，成品裁切方正，无明显刀花，无连接页、折角、破头；书背平整，无空背起泡，无明显皱折，书脊字居中，封面齐色，边框要色正；全书页码折正，书面平服，无皱折（八字折等）；书页整洁，无脏污、破页、野胶。</w:t>
                  </w:r>
                </w:p>
                <w:p>
                  <w:pPr>
                    <w:jc w:val="left"/>
                  </w:pPr>
                  <w:r>
                    <w:rPr>
                      <w:sz w:val="21"/>
                    </w:rPr>
                    <w:t>三、其他要求</w:t>
                  </w:r>
                </w:p>
                <w:p>
                  <w:pPr>
                    <w:jc w:val="left"/>
                  </w:pPr>
                  <w:r>
                    <w:rPr>
                      <w:sz w:val="21"/>
                    </w:rPr>
                    <w:t>（一）中标人须在签订采购合同后，与采购人签订版权合同及保密协议。</w:t>
                  </w:r>
                </w:p>
                <w:p>
                  <w:pPr>
                    <w:jc w:val="left"/>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肇庆学院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￥19,880.00元（大写：人民币壹万玖仟捌佰捌拾元整）。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李国晨、张锡宇</w:t>
      </w:r>
    </w:p>
    <w:p>
      <w:pPr>
        <w:ind w:firstLine="480"/>
      </w:pPr>
      <w:r>
        <w:rPr/>
        <w:t>电话：</w:t>
      </w:r>
      <w:r>
        <w:rPr/>
        <w:t>020-31603842、020-37635007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中小学“百千万人才培养工程”小学名校长培养项目学员专著出版)：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采购包1（广东省中小学“百千万人才培养工程”小学名校长培养项目学员专著出版）：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采购包1（广东省中小学“百千万人才培养工程”小学名校长培养项目学员专著出版）：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投标人须具有有效《中华人民共和国出版物发行许可证》或《中华人民共和国出版物经营许可证》（提供证书复印件）；（如国家另有规定，则适用其规定）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采购包整体专门面向中小企业，全部服务须由中小微企业或监狱企业或残疾人福利性单位提供。</w:t>
            </w:r>
          </w:p>
        </w:tc>
      </w:tr>
    </w:tbl>
    <w:p/>
    <w:p>
      <w:pPr>
        <w:ind w:firstLine="480"/>
      </w:pPr>
      <w:r>
        <w:rPr/>
        <w:t>表二符合性审查表：</w:t>
      </w:r>
    </w:p>
    <w:p>
      <w:pPr>
        <w:ind w:firstLine="480"/>
      </w:pPr>
    </w:p>
    <w:p/>
    <w:p>
      <w:r>
        <w:rPr/>
        <w:t>采购包1（广东省中小学“百千万人才培养工程”小学名校长培养项目学员专著出版）：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采购包1(广东省中小学“百千万人才培养工程”小学名校长培养项目学员专著出版):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服务方案（一） (4.0分)</w:t>
            </w:r>
          </w:p>
        </w:tc>
        <w:tc>
          <w:tcPr>
            <w:tcW w:type="dxa" w:w="5076"/>
          </w:tcPr>
          <w:p>
            <w:pPr>
              <w:jc w:val="left"/>
            </w:pPr>
            <w:r>
              <w:rPr/>
              <w:t>评标委员会根据投标人提供的服务方案进行评审，方案应包括（投标文件中方案标题应以下列方案名称命名）： （1）工作标准； （2）工作流程； （3）服务内容及方式； （4）策划及设计能力。 注：提供全部内容得4分，每缺1项扣1分。</w:t>
            </w:r>
          </w:p>
        </w:tc>
      </w:tr>
      <w:tr>
        <w:tc>
          <w:tcPr>
            <w:tcW w:type="dxa" w:w="922"/>
            <w:gridSpan w:val="2"/>
            <w:vMerge/>
          </w:tcPr>
          <w:p/>
        </w:tc>
        <w:tc>
          <w:tcPr>
            <w:tcW w:type="dxa" w:w="2307"/>
          </w:tcPr>
          <w:p>
            <w:pPr>
              <w:jc w:val="left"/>
            </w:pPr>
            <w:r>
              <w:rPr/>
              <w:t>服务方案（二） (15.0分)</w:t>
            </w:r>
          </w:p>
        </w:tc>
        <w:tc>
          <w:tcPr>
            <w:tcW w:type="dxa" w:w="5076"/>
          </w:tcPr>
          <w:p>
            <w:pPr>
              <w:jc w:val="left"/>
            </w:pPr>
            <w:r>
              <w:rPr/>
              <w:t>评标委员会根据投标人提供的策划能力（一）详细内容进行综合评审： （1）服务方案对需求充分响应，对需求全面剖析，针对采购需求全面理解，分别提出具备专业性、实用性的实施方案并有合理可行保障措施，有效保障本项目实施，有利于实现服务效果，得15分； （2）服务方案对需求充分响应，对需求全面剖析，针对采购需求进行理解，提出部分具备专业性、实用性的实施方案或者部分合理可行保障措施，基本保障本项目服务实施，基本满足服务效果，得10分； （3）服务方案对需求部分响应，对部分需求进行剖析，针对部分采购需求进行理解，提出部分具备专业性、实用性的实施方案或者部分合理可行保障措施，基本保障本项目服务实施，部分满足服务效果，得5分； （4）服务方案对需求响应不充分，没有对需求进行理解进行剖析，没有提出体现专业性或针对性的措施，或者措施方案不合理不可行的，无法保障本项目服务实施，达不到服务效果，得1分； （5）不提供不得分。</w:t>
            </w:r>
          </w:p>
        </w:tc>
      </w:tr>
      <w:tr>
        <w:tc>
          <w:tcPr>
            <w:tcW w:type="dxa" w:w="922"/>
            <w:gridSpan w:val="2"/>
            <w:vMerge/>
          </w:tcPr>
          <w:p/>
        </w:tc>
        <w:tc>
          <w:tcPr>
            <w:tcW w:type="dxa" w:w="2307"/>
          </w:tcPr>
          <w:p>
            <w:pPr>
              <w:jc w:val="left"/>
            </w:pPr>
            <w:r>
              <w:rPr/>
              <w:t>对本项目重点难点分析、应对措施及相关的合理化建议（一） (3.0分)</w:t>
            </w:r>
          </w:p>
        </w:tc>
        <w:tc>
          <w:tcPr>
            <w:tcW w:type="dxa" w:w="5076"/>
          </w:tcPr>
          <w:p>
            <w:pPr>
              <w:jc w:val="left"/>
            </w:pPr>
            <w:r>
              <w:rPr/>
              <w:t>评标委员会根据投标人提供的对本项目重点难点分析、应对措施及相关的合理化建议进行评审，方案应包括（投标文件中方案标题应以下列方案名称命名）： （1）项目重点难点分析； （2）应对措施； （3）合理化建议。 注：提供全部内容得3分，每缺1项扣1分。</w:t>
            </w:r>
          </w:p>
        </w:tc>
      </w:tr>
      <w:tr>
        <w:tc>
          <w:tcPr>
            <w:tcW w:type="dxa" w:w="922"/>
            <w:gridSpan w:val="2"/>
            <w:vMerge/>
          </w:tcPr>
          <w:p/>
        </w:tc>
        <w:tc>
          <w:tcPr>
            <w:tcW w:type="dxa" w:w="2307"/>
          </w:tcPr>
          <w:p>
            <w:pPr>
              <w:jc w:val="left"/>
            </w:pPr>
            <w:r>
              <w:rPr/>
              <w:t>对本项目重点难点分析、应对措施及相关的合理化建议（二） (9.0分)</w:t>
            </w:r>
          </w:p>
        </w:tc>
        <w:tc>
          <w:tcPr>
            <w:tcW w:type="dxa" w:w="5076"/>
          </w:tcPr>
          <w:p>
            <w:pPr>
              <w:jc w:val="left"/>
            </w:pPr>
            <w:r>
              <w:rPr/>
              <w:t>评标委员会根据投标人提供对本项目重点难点分析、应对措施及相关的合理化建议（一）详细内容进行综合评审： （1）针对项目需求有全面理解，能全面把握项目的重点难点问题，并针对全部重点难点问题提出具体可行的保障措施和合理化的建议，措施建议细致可行，有利于项目的需求全面满足，得9分； （2）针对项目需求有基本理解，针对部分重点难点进行分析，针对项目部分重点难点提出具体可行的保障措施或者合理化建议，措施建议基本可行，基本上能满足项目的需求，得5分； （3）只针对部分需求进行理解分析或者没有分析项目需求，不理解项目重点难点，提出的建议不合理或者不具备操作性，无法满足项目需求的，得1分； （4）不提供不得分。</w:t>
            </w:r>
          </w:p>
        </w:tc>
      </w:tr>
      <w:tr>
        <w:tc>
          <w:tcPr>
            <w:tcW w:type="dxa" w:w="922"/>
            <w:gridSpan w:val="2"/>
            <w:vMerge/>
          </w:tcPr>
          <w:p/>
        </w:tc>
        <w:tc>
          <w:tcPr>
            <w:tcW w:type="dxa" w:w="2307"/>
          </w:tcPr>
          <w:p>
            <w:pPr>
              <w:jc w:val="left"/>
            </w:pPr>
            <w:r>
              <w:rPr/>
              <w:t>质量保障措施及方案（一） (4.0分)</w:t>
            </w:r>
          </w:p>
        </w:tc>
        <w:tc>
          <w:tcPr>
            <w:tcW w:type="dxa" w:w="5076"/>
          </w:tcPr>
          <w:p>
            <w:pPr>
              <w:jc w:val="left"/>
            </w:pPr>
            <w:r>
              <w:rPr/>
              <w:t>评标委员会根据投标人提供的质量保障措施及方案进行综合评审，方案应包括（投标文件中方案标题应以下列方案名称命名）： （1）质量保证体系； （2）各环节关键节点质量保证措施； （3）应急事故预防与处理措施 （4）验收不通过的解决方案。 提供全部内容 得4分，每缺1项扣1分。</w:t>
            </w:r>
          </w:p>
        </w:tc>
      </w:tr>
      <w:tr>
        <w:tc>
          <w:tcPr>
            <w:tcW w:type="dxa" w:w="922"/>
            <w:gridSpan w:val="2"/>
            <w:vMerge/>
          </w:tcPr>
          <w:p/>
        </w:tc>
        <w:tc>
          <w:tcPr>
            <w:tcW w:type="dxa" w:w="2307"/>
          </w:tcPr>
          <w:p>
            <w:pPr>
              <w:jc w:val="left"/>
            </w:pPr>
            <w:r>
              <w:rPr/>
              <w:t>质量保障措施及方案（二） (9.0分)</w:t>
            </w:r>
          </w:p>
        </w:tc>
        <w:tc>
          <w:tcPr>
            <w:tcW w:type="dxa" w:w="5076"/>
          </w:tcPr>
          <w:p>
            <w:pPr>
              <w:jc w:val="left"/>
            </w:pPr>
            <w:r>
              <w:rPr/>
              <w:t>评标委员会根据投标人提供质量保障措施及方案（一）的详细内容进行综合评审： （1）从质量保障体系、质量保障关键节点分析、保障预案方面综合评审，满足项目实施要求的，能有效保障本项目实施，有利于实现服务效果的得9分， （2）从质量保障体系、质量保障关键节点分析、保障预案方面综合评审，方案存在瑕疵的，能基本保障本项目服务实施，基本满足服务效果的得5分， （3）从质量保障体系、质量保障关键节点分析、保障预案方面综合评审，方案存在不足或缺陷的，难以本项目服务实施或难以达到服务效果的得1分， （4）不提供不得分。</w:t>
            </w:r>
          </w:p>
        </w:tc>
      </w:tr>
      <w:tr>
        <w:tc>
          <w:tcPr>
            <w:tcW w:type="dxa" w:w="922"/>
            <w:gridSpan w:val="2"/>
            <w:vMerge/>
          </w:tcPr>
          <w:p/>
        </w:tc>
        <w:tc>
          <w:tcPr>
            <w:tcW w:type="dxa" w:w="2307"/>
          </w:tcPr>
          <w:p>
            <w:pPr>
              <w:jc w:val="left"/>
            </w:pPr>
            <w:r>
              <w:rPr/>
              <w:t>主要材料（一） (2.0分)</w:t>
            </w:r>
          </w:p>
        </w:tc>
        <w:tc>
          <w:tcPr>
            <w:tcW w:type="dxa" w:w="5076"/>
          </w:tcPr>
          <w:p>
            <w:pPr>
              <w:jc w:val="left"/>
            </w:pPr>
            <w:r>
              <w:rPr/>
              <w:t>评标委员会根据投标人提供的主要材料进行综合评审，方案应包括（投标文件中方案标题应以下列方案名称命名）： （1）使用材料质量； （2）安全环保。 提供全部内容 得2分，每缺1项扣1分。</w:t>
            </w:r>
          </w:p>
        </w:tc>
      </w:tr>
      <w:tr>
        <w:tc>
          <w:tcPr>
            <w:tcW w:type="dxa" w:w="922"/>
            <w:gridSpan w:val="2"/>
            <w:vMerge/>
          </w:tcPr>
          <w:p/>
        </w:tc>
        <w:tc>
          <w:tcPr>
            <w:tcW w:type="dxa" w:w="2307"/>
          </w:tcPr>
          <w:p>
            <w:pPr>
              <w:jc w:val="left"/>
            </w:pPr>
            <w:r>
              <w:rPr/>
              <w:t>主要材料（二） (9.0分)</w:t>
            </w:r>
          </w:p>
        </w:tc>
        <w:tc>
          <w:tcPr>
            <w:tcW w:type="dxa" w:w="5076"/>
          </w:tcPr>
          <w:p>
            <w:pPr>
              <w:jc w:val="left"/>
            </w:pPr>
            <w:r>
              <w:rPr/>
              <w:t>评标委员会根据投标人提供主要材料（一）的详细内容进行综合评审： （1）主要材料的质量及安全环保方面能有效保障本项目实施，有利于实现服务效果的，得9分； （2）主要材料的质量及安全环保方面能基本保障本项目服务实施，基本满足服务效果的，得5分； （3）主要材料的质量及安全环保方面难以保障本项目服务实施，难以达到服务效果的，得1分； （4）不提供不得分。</w:t>
            </w:r>
          </w:p>
        </w:tc>
      </w:tr>
      <w:tr>
        <w:tc>
          <w:tcPr>
            <w:tcW w:type="dxa" w:w="922"/>
            <w:gridSpan w:val="2"/>
            <w:vMerge w:val="restart"/>
          </w:tcPr>
          <w:p>
            <w:pPr>
              <w:jc w:val="center"/>
            </w:pPr>
            <w:r>
              <w:rPr/>
              <w:t>商务部分</w:t>
            </w:r>
          </w:p>
        </w:tc>
        <w:tc>
          <w:tcPr>
            <w:tcW w:type="dxa" w:w="2307"/>
          </w:tcPr>
          <w:p>
            <w:pPr>
              <w:jc w:val="left"/>
            </w:pPr>
            <w:r>
              <w:rPr/>
              <w:t>同类项目业绩 (9.0分)</w:t>
            </w:r>
          </w:p>
        </w:tc>
        <w:tc>
          <w:tcPr>
            <w:tcW w:type="dxa" w:w="5076"/>
          </w:tcPr>
          <w:p>
            <w:pPr>
              <w:jc w:val="left"/>
            </w:pPr>
            <w:r>
              <w:rPr/>
              <w:t>投标人自2020年1月1日至今承接的同类出版项目业绩，每提供一个得1分，最高得9分。 注：须提供合同或协议的关键页（关键页必须有用户单位名称、合同项目名称、合同标的主要内容、签订合同双方的落款盖章、合同签订日期）复印件，未提交证明材料或者专家无法认定的不得分。</w:t>
            </w:r>
          </w:p>
        </w:tc>
      </w:tr>
      <w:tr>
        <w:tc>
          <w:tcPr>
            <w:tcW w:type="dxa" w:w="922"/>
            <w:gridSpan w:val="2"/>
            <w:vMerge/>
          </w:tcPr>
          <w:p/>
        </w:tc>
        <w:tc>
          <w:tcPr>
            <w:tcW w:type="dxa" w:w="2307"/>
          </w:tcPr>
          <w:p>
            <w:pPr>
              <w:jc w:val="left"/>
            </w:pPr>
            <w:r>
              <w:rPr/>
              <w:t>客户评价 (9.0分)</w:t>
            </w:r>
          </w:p>
        </w:tc>
        <w:tc>
          <w:tcPr>
            <w:tcW w:type="dxa" w:w="5076"/>
          </w:tcPr>
          <w:p>
            <w:pPr>
              <w:jc w:val="left"/>
            </w:pPr>
            <w:r>
              <w:rPr/>
              <w:t>投标人提供同类项目业绩中对应的客户评价，同一单位出具的多份满意度评价按一份计算；客户评价须为良好或以上（如80分或以上，含同等意义的评价、表扬信，服务满意度等），每提供一个得1分，最高得9分。 注：提供相关证明资料，不提供或专家无法认定的不得分。</w:t>
            </w:r>
          </w:p>
        </w:tc>
      </w:tr>
      <w:tr>
        <w:tc>
          <w:tcPr>
            <w:tcW w:type="dxa" w:w="922"/>
            <w:gridSpan w:val="2"/>
            <w:vMerge/>
          </w:tcPr>
          <w:p/>
        </w:tc>
        <w:tc>
          <w:tcPr>
            <w:tcW w:type="dxa" w:w="2307"/>
          </w:tcPr>
          <w:p>
            <w:pPr>
              <w:jc w:val="left"/>
            </w:pPr>
            <w:r>
              <w:rPr/>
              <w:t>服务支撑能力（一） (3.0分)</w:t>
            </w:r>
          </w:p>
        </w:tc>
        <w:tc>
          <w:tcPr>
            <w:tcW w:type="dxa" w:w="5076"/>
          </w:tcPr>
          <w:p>
            <w:pPr>
              <w:jc w:val="left"/>
            </w:pPr>
            <w:r>
              <w:rPr/>
              <w:t>评标委员会根据投标人提供的服务支撑能力进行评审，方案应包括（投标文件中方案标题应以下列方案名称命名）： （1）服务人员的同类经验及能力； （2）保证服务团队稳定性的方案； （3）工作时间进度计划。 注：提供全部内容得3分，每缺1项扣1分。</w:t>
            </w:r>
          </w:p>
        </w:tc>
      </w:tr>
      <w:tr>
        <w:tc>
          <w:tcPr>
            <w:tcW w:type="dxa" w:w="922"/>
            <w:gridSpan w:val="2"/>
            <w:vMerge/>
          </w:tcPr>
          <w:p/>
        </w:tc>
        <w:tc>
          <w:tcPr>
            <w:tcW w:type="dxa" w:w="2307"/>
          </w:tcPr>
          <w:p>
            <w:pPr>
              <w:jc w:val="left"/>
            </w:pPr>
            <w:r>
              <w:rPr/>
              <w:t>服务支撑能力（二） (9.0分)</w:t>
            </w:r>
          </w:p>
        </w:tc>
        <w:tc>
          <w:tcPr>
            <w:tcW w:type="dxa" w:w="5076"/>
          </w:tcPr>
          <w:p>
            <w:pPr>
              <w:jc w:val="left"/>
            </w:pPr>
            <w:r>
              <w:rPr/>
              <w:t>评标委员会根据投标人提供的服务支撑能力（一）详细内容进行综合评审： （1）服务人员同类项目经验丰富、所提供的方案及计划能有效保障本项目实施，有利于实现服务效果的，得9分； （2）部分服务人员同类项目经验丰富、所提供的方案及计划基本保障本项目服务实施，基本满足服务效果的，得5分； （3）服务人员同类项目经验不足、所提供的方案及计划存在缺陷，难以本项目服务实施或难以达到服务效果的，得1分； （4）不提供不得分。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广东省中小学</w:t>
      </w:r>
      <w:r>
        <w:rPr>
          <w:sz w:val="21"/>
          <w:u w:val="single"/>
        </w:rPr>
        <w:t>“百千万人才培养工程”小学名校长培养项目学员专著出版</w:t>
      </w:r>
      <w:r>
        <w:rPr>
          <w:sz w:val="21"/>
        </w:rPr>
        <w:t>招标文件（项目编号：</w:t>
      </w:r>
      <w:r>
        <w:rPr>
          <w:sz w:val="21"/>
        </w:rPr>
        <w:t>GZGK23P290A0964Z）的要求，经双方协商，本着平等互利和诚实信用的原则，一致同意签订本合同。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ind w:firstLine="420"/>
        <w:jc w:val="both"/>
      </w:pPr>
      <w:r>
        <w:rPr>
          <w:sz w:val="21"/>
        </w:rPr>
        <w:t>1.验收条件及标准：根据国家相关条例规范验收。</w:t>
      </w:r>
    </w:p>
    <w:p>
      <w:pPr>
        <w:ind w:firstLine="420"/>
        <w:jc w:val="both"/>
      </w:pPr>
      <w:r>
        <w:rPr>
          <w:sz w:val="21"/>
        </w:rPr>
        <w:t>2.货物验收：按乙方通过出版后发送图书方式进行验收，所提供图书为正版图书，图书经验收合格，且未经使用的全新产品。</w:t>
      </w:r>
    </w:p>
    <w:p>
      <w:pPr>
        <w:ind w:firstLine="420"/>
        <w:jc w:val="both"/>
      </w:pPr>
      <w:r>
        <w:rPr>
          <w:sz w:val="21"/>
        </w:rPr>
        <w:t>3.履行签订合同中的其他条款。</w:t>
      </w:r>
    </w:p>
    <w:p>
      <w:pPr>
        <w:ind w:firstLine="420"/>
        <w:jc w:val="both"/>
      </w:pPr>
      <w:r>
        <w:rPr>
          <w:sz w:val="21"/>
        </w:rPr>
        <w:t>4. 验收方式：项目服务期满后，由乙方提出项目验收申请，甲方组织验收工作，依国家有关标准、合同的约定对乙方提供的服务进行验收，若乙方提供的服务与要求不符，将在乙方改进服务后重新组织验收。</w:t>
      </w:r>
    </w:p>
    <w:p>
      <w:pPr>
        <w:ind w:firstLine="420"/>
        <w:jc w:val="both"/>
      </w:pPr>
      <w:r>
        <w:rPr>
          <w:sz w:val="21"/>
        </w:rPr>
        <w:t>5. 验收期限：甲方应当在收到乙方提出项目验收申请之日7日内按照合同的约定对履约情况进行验收，对每一项技术、服务的履约情况进行确认。</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 xml:space="preserve"> 0.1</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440001-2024-00037</w:t>
      </w:r>
    </w:p>
    <w:p>
      <w:pPr>
        <w:jc w:val="center"/>
      </w:pPr>
      <w:r>
        <w:rPr>
          <w:b/>
          <w:sz w:val="24"/>
        </w:rPr>
        <w:t>采购项目编号：</w:t>
      </w:r>
      <w:r>
        <w:rPr>
          <w:b/>
          <w:sz w:val="24"/>
        </w:rPr>
        <w:t>GZGK23P290A0964Z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广东省中小学“百千万人才培养工程”小学名校长培养项目学员专著出版</w:t>
      </w:r>
      <w:r>
        <w:rPr>
          <w:u w:val="single"/>
        </w:rPr>
        <w:t>”</w:t>
      </w:r>
      <w:r>
        <w:rPr/>
        <w:t>项目的招标[采购项目编号为：</w:t>
      </w:r>
      <w:r>
        <w:rPr>
          <w:u w:val="single"/>
        </w:rPr>
        <w:t>GZGK23P290A0964Z</w:t>
      </w:r>
      <w:r>
        <w:rPr/>
        <w:t>]，我方愿参与投标。</w:t>
      </w:r>
    </w:p>
    <w:p>
      <w:pPr>
        <w:ind w:firstLine="480"/>
      </w:pPr>
      <w:r>
        <w:rPr/>
        <w:t>我方确认收到贵方提供的</w:t>
      </w:r>
      <w:r>
        <w:rPr>
          <w:u w:val="single"/>
        </w:rPr>
        <w:t>“</w:t>
      </w:r>
      <w:r>
        <w:rPr>
          <w:u w:val="single"/>
        </w:rPr>
        <w:t>广东省中小学“百千万人才培养工程”小学名校长培养项目学员专著出版</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广东省中小学“百千万人才培养工程”小学名校长培养项目学员专著出版</w:t>
      </w:r>
      <w:r>
        <w:rPr/>
        <w:t>”项目采购[采购项目编号为</w:t>
      </w:r>
      <w:r>
        <w:rPr/>
        <w:t>GZGK23P290A0964Z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肇庆学院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广东省中小学“百千万人才培养工程”小学名校长培养项目学员专著出版</w:t>
      </w:r>
      <w:r>
        <w:rPr/>
        <w:t>招标中获中标（采购项目编号：</w:t>
      </w:r>
      <w:r>
        <w:rPr/>
        <w:t>GZGK23P290A0964Z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广东省中小学“百千万人才培养工程”小学名校长培养项目学员专著出版</w:t>
      </w:r>
      <w:r>
        <w:rPr/>
        <w:t>”项目（采购项目编号：</w:t>
      </w:r>
      <w:r>
        <w:rPr/>
        <w:t>GZGK23P290A0964Z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