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440118-2023-05495</w:t>
      </w:r>
    </w:p>
    <w:p>
      <w:pPr>
        <w:jc w:val="center"/>
      </w:pPr>
      <w:r>
        <w:rPr>
          <w:b/>
          <w:sz w:val="24"/>
        </w:rPr>
        <w:t>采购项目编号：</w:t>
      </w:r>
      <w:r>
        <w:rPr>
          <w:b/>
          <w:sz w:val="24"/>
        </w:rPr>
        <w:t>GZGK23D251C0783Z</w:t>
      </w:r>
    </w:p>
    <w:p>
      <w:pPr>
        <w:jc w:val="center"/>
      </w:pPr>
      <w:r>
        <w:rPr>
          <w:b/>
          <w:sz w:val="24"/>
        </w:rPr>
        <w:t>项目名称：</w:t>
      </w:r>
      <w:r>
        <w:rPr>
          <w:b/>
          <w:sz w:val="24"/>
        </w:rPr>
        <w:t>2024年广州市增城区石滩镇人民政府租用工作用车采购项目</w:t>
      </w:r>
    </w:p>
    <w:p>
      <w:pPr>
        <w:jc w:val="center"/>
      </w:pPr>
      <w:r>
        <w:rPr>
          <w:b/>
          <w:sz w:val="24"/>
        </w:rPr>
        <w:t>采购人：</w:t>
      </w:r>
      <w:r>
        <w:rPr>
          <w:b/>
          <w:sz w:val="24"/>
        </w:rPr>
        <w:t>广州市增城区石滩镇人民政府</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广州市增城区石滩镇人民政府</w:t>
      </w:r>
      <w:r>
        <w:rPr/>
        <w:t>的委托，采用</w:t>
      </w:r>
      <w:r>
        <w:rPr/>
        <w:t>公开招标</w:t>
      </w:r>
      <w:r>
        <w:rPr/>
        <w:t>方式组织采购</w:t>
      </w:r>
      <w:r>
        <w:rPr/>
        <w:t>2024年广州市增城区石滩镇人民政府租用工作用车采购项目</w:t>
      </w:r>
      <w:r>
        <w:rPr/>
        <w:t>。欢迎符合资格条件的国内供应商参加投标。</w:t>
      </w:r>
    </w:p>
    <w:p>
      <w:r>
        <w:rPr>
          <w:b/>
          <w:sz w:val="28"/>
        </w:rPr>
        <w:t>一.项目概述</w:t>
      </w:r>
    </w:p>
    <w:p>
      <w:r>
        <w:rPr>
          <w:b/>
          <w:sz w:val="24"/>
        </w:rPr>
        <w:t>1.名称与编号</w:t>
      </w:r>
    </w:p>
    <w:p>
      <w:pPr>
        <w:ind w:firstLine="480"/>
      </w:pPr>
      <w:r>
        <w:rPr/>
        <w:t>项目名称：</w:t>
      </w:r>
      <w:r>
        <w:rPr/>
        <w:t>2024年广州市增城区石滩镇人民政府租用工作用车采购项目</w:t>
      </w:r>
    </w:p>
    <w:p>
      <w:pPr>
        <w:ind w:firstLine="480"/>
      </w:pPr>
      <w:r>
        <w:rPr/>
        <w:t>采购计划编号：</w:t>
      </w:r>
      <w:r>
        <w:rPr/>
        <w:t>440118-2023-05495</w:t>
      </w:r>
    </w:p>
    <w:p>
      <w:pPr>
        <w:ind w:firstLine="480"/>
      </w:pPr>
      <w:r>
        <w:rPr/>
        <w:t>采购项目编号：</w:t>
      </w:r>
      <w:r>
        <w:rPr/>
        <w:t>GZGK23D251C0783Z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采购包1(公务保障用车):</w:t>
      </w:r>
    </w:p>
    <w:p>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公务保障用车</w:t>
            </w:r>
          </w:p>
        </w:tc>
        <w:tc>
          <w:tcPr>
            <w:tcW w:type="dxa" w:w="977"/>
          </w:tcPr>
          <w:p>
            <w:r>
              <w:rPr/>
              <w:t>1.00(项)</w:t>
            </w:r>
          </w:p>
        </w:tc>
        <w:tc>
          <w:tcPr>
            <w:tcW w:type="dxa" w:w="977"/>
          </w:tcPr>
          <w:p>
            <w:r>
              <w:rPr/>
              <w:t>详见第二章</w:t>
            </w:r>
          </w:p>
        </w:tc>
        <w:tc>
          <w:tcPr>
            <w:tcW w:type="dxa" w:w="977"/>
          </w:tcPr>
          <w:p>
            <w:r>
              <w:rPr/>
              <w:t>2,400,000.00</w:t>
            </w:r>
          </w:p>
        </w:tc>
        <w:tc>
          <w:tcPr>
            <w:tcW w:type="dxa" w:w="977"/>
          </w:tcPr>
          <w:p>
            <w:r>
              <w:rPr/>
              <w:t>否</w:t>
            </w:r>
          </w:p>
        </w:tc>
      </w:tr>
    </w:tbl>
    <w:p/>
    <w:p>
      <w:r>
        <w:rPr/>
        <w:t>本采购包不接受联合体投标</w:t>
      </w:r>
    </w:p>
    <w:p/>
    <w:p>
      <w:r>
        <w:rPr/>
        <w:t>合同履行期限：见“标的提供时间”要求。</w:t>
      </w:r>
    </w:p>
    <w:p/>
    <w:p>
      <w:r>
        <w:rPr/>
        <w:t>采购包2(干部职工上下班接送用车及专项行动临时保障用车):</w:t>
      </w:r>
    </w:p>
    <w:p>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道路客运服务</w:t>
            </w:r>
          </w:p>
        </w:tc>
        <w:tc>
          <w:tcPr>
            <w:tcW w:type="dxa" w:w="2052"/>
          </w:tcPr>
          <w:p>
            <w:r>
              <w:rPr/>
              <w:t>干部职工上下班接送用车及专项行动临时保障用车</w:t>
            </w:r>
          </w:p>
        </w:tc>
        <w:tc>
          <w:tcPr>
            <w:tcW w:type="dxa" w:w="977"/>
          </w:tcPr>
          <w:p>
            <w:r>
              <w:rPr/>
              <w:t>1.00(项)</w:t>
            </w:r>
          </w:p>
        </w:tc>
        <w:tc>
          <w:tcPr>
            <w:tcW w:type="dxa" w:w="977"/>
          </w:tcPr>
          <w:p>
            <w:r>
              <w:rPr/>
              <w:t>详见第二章</w:t>
            </w:r>
          </w:p>
        </w:tc>
        <w:tc>
          <w:tcPr>
            <w:tcW w:type="dxa" w:w="977"/>
          </w:tcPr>
          <w:p>
            <w:r>
              <w:rPr/>
              <w:t>600,000.00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采购包1（公务保障用车）：</w:t>
      </w:r>
      <w:r>
        <w:rPr/>
        <w:t>采购包整体专门面向中小企业，服务的承接商须为中小微企业或监狱企业或残疾人福利性单位。</w:t>
      </w:r>
    </w:p>
    <w:p>
      <w:pPr>
        <w:jc w:val="left"/>
      </w:pPr>
    </w:p>
    <w:p>
      <w:r>
        <w:rPr/>
        <w:t>采购包2（干部职工上下班接送用车及专项行动临时保障用车）：</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采购包1（公务保障用车）：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3)特定资格要求（已获取本项目采购文件）</w:t>
      </w:r>
    </w:p>
    <w:p/>
    <w:p>
      <w:r>
        <w:rPr/>
        <w:t>4)投标人应当已在交通运输部门完成小微型客车租赁企业备案的单位。（提供由交通运输部门出具有效的小微型客车租赁企业备案证明复印件）</w:t>
      </w:r>
    </w:p>
    <w:p/>
    <w:p>
      <w:r>
        <w:rPr/>
        <w:t>采购包2（干部职工上下班接送用车及专项行动临时保障用车）：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3)具有交通行政主管部门核发有效的《道路运输经营许可证》。</w:t>
      </w:r>
    </w:p>
    <w:p/>
    <w:p>
      <w:r>
        <w:rPr/>
        <w:t>4)特定资格要求（已获取本项目采购文件）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广州市增城区石滩镇人民政府</w:t>
      </w:r>
    </w:p>
    <w:p>
      <w:pPr>
        <w:ind w:firstLine="480"/>
      </w:pPr>
      <w:r>
        <w:rPr/>
        <w:t>地址：</w:t>
      </w:r>
      <w:r>
        <w:rPr/>
        <w:t>广州市增城区石滩镇解放南路38号</w:t>
      </w:r>
    </w:p>
    <w:p>
      <w:pPr>
        <w:ind w:firstLine="480"/>
      </w:pPr>
      <w:r>
        <w:rPr/>
        <w:t>联系方式：</w:t>
      </w:r>
      <w:r>
        <w:rPr/>
        <w:t>020-82923326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020-37656571、020-32162326</w:t>
      </w:r>
    </w:p>
    <w:p>
      <w:r>
        <w:rPr>
          <w:b/>
          <w:sz w:val="24"/>
        </w:rPr>
        <w:t>3.项目联系方式</w:t>
      </w:r>
    </w:p>
    <w:p>
      <w:pPr>
        <w:ind w:firstLine="480"/>
      </w:pPr>
      <w:r>
        <w:rPr/>
        <w:t>项目联系人：</w:t>
      </w:r>
      <w:r>
        <w:rPr/>
        <w:t>张智钊、李亚娟</w:t>
      </w:r>
    </w:p>
    <w:p>
      <w:pPr>
        <w:ind w:firstLine="480"/>
      </w:pPr>
      <w:r>
        <w:rPr/>
        <w:t>电话：</w:t>
      </w:r>
      <w:r>
        <w:rPr/>
        <w:t>020-37656571、020-32162326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GZGK23D251C0783Z</w:t>
      </w:r>
    </w:p>
    <w:p>
      <w:pPr>
        <w:jc w:val="both"/>
      </w:pPr>
      <w:r>
        <w:rPr>
          <w:b/>
          <w:sz w:val="21"/>
        </w:rPr>
        <w:t>（二）</w:t>
      </w:r>
      <w:r>
        <w:rPr>
          <w:b/>
          <w:sz w:val="21"/>
        </w:rPr>
        <w:t>项目名称：</w:t>
      </w:r>
      <w:r>
        <w:rPr>
          <w:sz w:val="21"/>
        </w:rPr>
        <w:t>2024年广州市增城区石滩镇人民政府租用工作用车采购项目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投标人应保证，采购人在中华人民共和国使用该货物或货物的任何一部分时，免受第三方提出的侵犯其专利权、商标权、著作权或其它知识产权的起诉。</w:t>
      </w:r>
    </w:p>
    <w:p>
      <w:pPr>
        <w:jc w:val="both"/>
      </w:pPr>
      <w:r>
        <w:rPr>
          <w:sz w:val="21"/>
        </w:rPr>
        <w:t>6、</w:t>
      </w:r>
      <w:r>
        <w:rPr>
          <w:sz w:val="21"/>
        </w:rPr>
        <w:t>不允许中标供应商</w:t>
      </w:r>
      <w:r>
        <w:rPr>
          <w:sz w:val="21"/>
        </w:rPr>
        <w:t>转包、分包项目（中标采购包的）内容</w:t>
      </w:r>
      <w:r>
        <w:rPr>
          <w:sz w:val="21"/>
        </w:rPr>
        <w:t>。</w:t>
      </w:r>
    </w:p>
    <w:p>
      <w:pPr>
        <w:jc w:val="both"/>
      </w:pPr>
      <w:r>
        <w:rPr>
          <w:sz w:val="21"/>
        </w:rPr>
        <w:t>7、</w:t>
      </w:r>
      <w:r>
        <w:rPr>
          <w:sz w:val="21"/>
        </w:rPr>
        <w:t>小型和微型企业、监狱企业和残疾人福利性单位必须按照招标（采购）文件第三章内容提供相应的资料。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非加密投标文件的</w:t>
      </w:r>
      <w:r>
        <w:rPr>
          <w:sz w:val="21"/>
        </w:rPr>
        <w:t>U盘邮寄地址（邮寄地址：</w:t>
      </w:r>
      <w:r>
        <w:rPr>
          <w:sz w:val="21"/>
        </w:rPr>
        <w:t>广州市增城区增城低碳总部园新城创业中心</w:t>
      </w:r>
      <w:r>
        <w:rPr>
          <w:sz w:val="21"/>
        </w:rPr>
        <w:t>A15号楼208单元</w:t>
      </w:r>
      <w:r>
        <w:rPr>
          <w:sz w:val="21"/>
        </w:rPr>
        <w:t>，收件人及电话：详见项目公告的项目联系人）。投标人如选择邮寄非加密投标文件的</w:t>
      </w:r>
      <w:r>
        <w:rPr>
          <w:sz w:val="21"/>
        </w:rPr>
        <w:t>U盘，请提前安排时间邮寄，务必保证投标文件于提交投标文件截止时间前到达上述地址（以签收时间为准），并及时将快递单号发送至招标代理机构邮箱：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1.优惠率报价在以下范围内取值：0.00%≤优惠率＜100.00%。优惠率必须为固定、唯一报价，不接受区间报价，若报价超出此范围则响应无效。实际租车费用=（租价×天数）×（1-中标优惠率）。所有车型均采用同一个中标优惠率。</w:t>
      </w:r>
    </w:p>
    <w:p>
      <w:pPr>
        <w:ind w:firstLine="420"/>
        <w:jc w:val="both"/>
      </w:pPr>
      <w:r>
        <w:rPr>
          <w:sz w:val="21"/>
        </w:rPr>
        <w:t>例如，某车型的单价基准价为</w:t>
      </w:r>
      <w:r>
        <w:rPr>
          <w:sz w:val="21"/>
        </w:rPr>
        <w:t>100 元，投标人的实际结算价为 80 元，拟优惠 20 元，则其投标优惠率为[（100-80）/100]×100%=20%。</w:t>
      </w:r>
    </w:p>
    <w:p>
      <w:pPr>
        <w:ind w:firstLine="420"/>
        <w:jc w:val="both"/>
      </w:pPr>
      <w:r>
        <w:rPr>
          <w:sz w:val="21"/>
        </w:rPr>
        <w:t>2.投标报价包括：</w:t>
      </w:r>
    </w:p>
    <w:p>
      <w:pPr>
        <w:ind w:firstLine="420"/>
        <w:jc w:val="both"/>
      </w:pPr>
      <w:r>
        <w:rPr>
          <w:sz w:val="21"/>
        </w:rPr>
        <w:t>（</w:t>
      </w:r>
      <w:r>
        <w:rPr>
          <w:sz w:val="21"/>
        </w:rPr>
        <w:t>1）采购包1：车辆使用费、保管费、营运费、车辆维修保养费、消洗费、发票税、车船税、年审养路费、保险费、各项税费及合同实施过程中不可预见费用等。（油费、充电费、停车费、桥路费、违章费由采购人自行支付，中标供应商无需支付。）</w:t>
      </w:r>
    </w:p>
    <w:p>
      <w:pPr>
        <w:ind w:firstLine="420"/>
        <w:jc w:val="both"/>
      </w:pPr>
      <w:r>
        <w:rPr>
          <w:sz w:val="21"/>
        </w:rPr>
        <w:t>（</w:t>
      </w:r>
      <w:r>
        <w:rPr>
          <w:sz w:val="21"/>
        </w:rPr>
        <w:t>2）采购包2：车辆使用费、司机费用、保管费、营运费、车辆维修保养费、油费、消洗费、发票税、车船税、司机餐费、年审养路费、违章费用、保险费、各项税费及合同实施过程中不可预见费用等。</w:t>
      </w:r>
    </w:p>
    <w:p>
      <w:pPr>
        <w:ind w:firstLine="420"/>
        <w:jc w:val="both"/>
      </w:pPr>
      <w:r>
        <w:rPr>
          <w:sz w:val="21"/>
        </w:rPr>
        <w:t>3.本项目执行的结束时间以“结算金额累计达到项目各采购包预算金额”或“合同履约期限”二者先到者结束。本项目以实际租用车辆的价格及天数进行结算，结算金额不得超出对应采购包的预算金额。</w:t>
      </w:r>
    </w:p>
    <w:p>
      <w:pPr>
        <w:ind w:firstLine="420"/>
        <w:jc w:val="both"/>
      </w:pPr>
      <w:r>
        <w:rPr>
          <w:sz w:val="21"/>
        </w:rPr>
        <w:t>4.投标人必须清楚理解：本服务采购项目的取得并不意味着必然获得本项目服务的机会，采购人无法预计也无法保证中标供应商所能获得的服务项目数量。在服务期内中标供应商不得因采购人实际委托项目数量的减少或增加而要求提供任何形式的补偿或者赔偿。</w:t>
      </w:r>
      <w:r>
        <w:rPr>
          <w:sz w:val="21"/>
        </w:rPr>
        <w:t>投标人</w:t>
      </w:r>
      <w:r>
        <w:rPr>
          <w:sz w:val="21"/>
        </w:rPr>
        <w:t>需充分考虑投标的风险。</w:t>
      </w:r>
    </w:p>
    <w:p>
      <w:pPr>
        <w:jc w:val="both"/>
      </w:pPr>
      <w:r>
        <w:rPr>
          <w:b/>
          <w:sz w:val="21"/>
        </w:rPr>
        <w:t>（六）</w:t>
      </w:r>
      <w:r>
        <w:rPr>
          <w:b/>
          <w:sz w:val="21"/>
        </w:rPr>
        <w:t>实现的目标</w:t>
      </w:r>
    </w:p>
    <w:p>
      <w:pPr>
        <w:ind w:firstLine="420"/>
        <w:jc w:val="both"/>
      </w:pPr>
      <w:r>
        <w:rPr>
          <w:sz w:val="21"/>
        </w:rPr>
        <w:t>采购包</w:t>
      </w:r>
      <w:r>
        <w:rPr>
          <w:sz w:val="21"/>
        </w:rPr>
        <w:t>1：</w:t>
      </w:r>
      <w:r>
        <w:rPr>
          <w:sz w:val="21"/>
        </w:rPr>
        <w:t>为</w:t>
      </w:r>
      <w:r>
        <w:rPr>
          <w:sz w:val="21"/>
        </w:rPr>
        <w:t>广州市增城区石滩镇人民政府</w:t>
      </w:r>
      <w:r>
        <w:rPr>
          <w:sz w:val="21"/>
        </w:rPr>
        <w:t>的</w:t>
      </w:r>
      <w:r>
        <w:rPr>
          <w:sz w:val="21"/>
        </w:rPr>
        <w:t>公务保障用车提供车辆租赁服务。</w:t>
      </w:r>
    </w:p>
    <w:p>
      <w:pPr>
        <w:ind w:firstLine="420"/>
        <w:jc w:val="both"/>
      </w:pPr>
      <w:r>
        <w:rPr>
          <w:sz w:val="21"/>
        </w:rPr>
        <w:t>采购包</w:t>
      </w:r>
      <w:r>
        <w:rPr>
          <w:sz w:val="21"/>
        </w:rPr>
        <w:t>2：</w:t>
      </w:r>
      <w:r>
        <w:rPr>
          <w:sz w:val="21"/>
        </w:rPr>
        <w:t>为</w:t>
      </w:r>
      <w:r>
        <w:rPr>
          <w:sz w:val="21"/>
        </w:rPr>
        <w:t>广州市增城区石滩镇人民政府</w:t>
      </w:r>
      <w:r>
        <w:rPr>
          <w:sz w:val="21"/>
        </w:rPr>
        <w:t>的</w:t>
      </w:r>
      <w:r>
        <w:rPr>
          <w:sz w:val="21"/>
        </w:rPr>
        <w:t>员工</w:t>
      </w:r>
      <w:r>
        <w:rPr>
          <w:sz w:val="21"/>
        </w:rPr>
        <w:t>上下班提供</w:t>
      </w:r>
      <w:r>
        <w:rPr>
          <w:sz w:val="21"/>
        </w:rPr>
        <w:t>用车</w:t>
      </w:r>
      <w:r>
        <w:rPr>
          <w:sz w:val="21"/>
        </w:rPr>
        <w:t>服务</w:t>
      </w:r>
      <w:r>
        <w:rPr>
          <w:sz w:val="21"/>
        </w:rPr>
        <w:t>及专项行动临时保障用车提供车辆租赁服务</w:t>
      </w:r>
      <w:r>
        <w:rPr>
          <w:sz w:val="21"/>
        </w:rPr>
        <w:t>。</w:t>
      </w:r>
    </w:p>
    <w:p>
      <w:pPr>
        <w:jc w:val="both"/>
      </w:pPr>
      <w:r>
        <w:rPr>
          <w:b/>
          <w:sz w:val="21"/>
        </w:rPr>
        <w:t>（七）</w:t>
      </w:r>
      <w:r>
        <w:rPr>
          <w:b/>
          <w:sz w:val="21"/>
        </w:rPr>
        <w:t>需执行国家相关标准、行业标准、地方标准或者其他标准、规范</w:t>
      </w:r>
    </w:p>
    <w:p/>
    <w:p>
      <w:pPr>
        <w:ind w:firstLine="480"/>
      </w:pPr>
    </w:p>
    <w:p/>
    <w:p>
      <w:r>
        <w:rPr/>
        <w:t>采购包1（公务保障用车）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2024年1月1日起至2024年12月31日年或累计租赁费用达到采购包采购预算，以二者先到者为准。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1期：支付比例100%,（一）结算方式：每个月结算一次。结算按月实际租用车辆结算，日租：实际租车费用=（租价×天数）×（1-中标优惠率）；月度结算汇总相加以上实际产生的全部费用。 （二）采购人根据中标供应商报价与每月实际用车情况进行结算（租车以实际产生费用结算）。 （三）中标供应商须在每月10号前向采购人提供上个月的以下材料以便采购人办理付款手续： 1.合同； 2.中标供应商开具的正式发票； 3.月实际租车费用明细； 4.中标通知书。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中标供应商的按时出车情况和车辆整备情况进行考核（详见附表1：考核表），出现车辆迟到、用车中途故障的，当月不超过2次中标供应商应提交整改方案并按方案进行整改；当月超过2次但未达5次的，中标供应商除整改外并扣除当月应结算费用的5%；当月超过5次的，采购人有权终止合同，由此造成的损失由中标供应商承担。造成违法的，中标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公务保障用车</w:t>
            </w:r>
          </w:p>
        </w:tc>
        <w:tc>
          <w:tcPr>
            <w:tcW w:type="dxa" w:w="831"/>
          </w:tcPr>
          <w:p>
            <w:pPr>
              <w:jc w:val="left"/>
            </w:pPr>
            <w:r>
              <w:rPr/>
              <w:t>项</w:t>
            </w:r>
          </w:p>
        </w:tc>
        <w:tc>
          <w:tcPr>
            <w:tcW w:type="dxa" w:w="831"/>
          </w:tcPr>
          <w:p>
            <w:pPr>
              <w:jc w:val="right"/>
            </w:pPr>
            <w:r>
              <w:rPr/>
              <w:t>1.00</w:t>
            </w:r>
          </w:p>
        </w:tc>
        <w:tc>
          <w:tcPr>
            <w:tcW w:type="dxa" w:w="831"/>
          </w:tcPr>
          <w:p>
            <w:pPr>
              <w:jc w:val="right"/>
            </w:pPr>
            <w:r>
              <w:rPr/>
              <w:t>2,400,000.00</w:t>
            </w:r>
          </w:p>
        </w:tc>
        <w:tc>
          <w:tcPr>
            <w:tcW w:type="dxa" w:w="831"/>
          </w:tcPr>
          <w:p>
            <w:pPr>
              <w:jc w:val="right"/>
            </w:pPr>
            <w:r>
              <w:rPr/>
              <w:t>2,400,000.00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公务保障用车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p>
          <w:p>
            <w:pPr>
              <w:ind w:firstLine="420"/>
              <w:jc w:val="both"/>
            </w:pPr>
          </w:p>
          <w:p>
            <w:pPr>
              <w:jc w:val="both"/>
            </w:pPr>
            <w:r>
              <w:rPr>
                <w:b/>
                <w:sz w:val="21"/>
              </w:rPr>
              <w:t>公务保障用车清单</w:t>
            </w:r>
          </w:p>
          <w:tbl>
            <w:tblPr>
              <w:tblBorders>
                <w:top w:val="none" w:color="000000" w:sz="4"/>
                <w:left w:val="none" w:color="000000" w:sz="4"/>
                <w:bottom w:val="none" w:color="000000" w:sz="4"/>
                <w:right w:val="none" w:color="000000" w:sz="4"/>
                <w:insideH w:val="none"/>
                <w:insideV w:val="none"/>
              </w:tblBorders>
            </w:tblPr>
            <w:tblGrid>
              <w:gridCol w:w="566"/>
              <w:gridCol w:w="1820"/>
              <w:gridCol w:w="580"/>
              <w:gridCol w:w="1493"/>
              <w:gridCol w:w="1140"/>
            </w:tblGrid>
            <w:tr>
              <w:tc>
                <w:tcPr>
                  <w:tcW w:type="dxa" w:w="566"/>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820"/>
                  <w:tcBorders>
                    <w:top w:val="single" w:color="000000" w:sz="4"/>
                    <w:left w:val="none" w:color="000000" w:sz="4"/>
                    <w:bottom w:val="single" w:color="000000" w:sz="4"/>
                    <w:right w:val="single" w:color="000000" w:sz="4"/>
                  </w:tcBorders>
                  <w:shd w:fill="FFFFFF"/>
                  <w:vAlign w:val="top"/>
                </w:tcPr>
                <w:p>
                  <w:pPr>
                    <w:jc w:val="center"/>
                  </w:pPr>
                  <w:r>
                    <w:rPr>
                      <w:b/>
                      <w:sz w:val="21"/>
                    </w:rPr>
                    <w:t>车型</w:t>
                  </w:r>
                </w:p>
              </w:tc>
              <w:tc>
                <w:tcPr>
                  <w:tcW w:type="dxa" w:w="580"/>
                  <w:tcBorders>
                    <w:top w:val="single" w:color="000000" w:sz="4"/>
                    <w:left w:val="none" w:color="000000" w:sz="4"/>
                    <w:bottom w:val="single" w:color="000000" w:sz="4"/>
                    <w:right w:val="single" w:color="000000" w:sz="4"/>
                  </w:tcBorders>
                  <w:shd w:fill="FFFFFF"/>
                  <w:vAlign w:val="top"/>
                </w:tcPr>
                <w:p>
                  <w:pPr>
                    <w:jc w:val="center"/>
                  </w:pPr>
                  <w:r>
                    <w:rPr>
                      <w:b/>
                      <w:color w:val="000000"/>
                      <w:sz w:val="21"/>
                    </w:rPr>
                    <w:t>参数</w:t>
                  </w:r>
                </w:p>
              </w:tc>
              <w:tc>
                <w:tcPr>
                  <w:tcW w:type="dxa" w:w="1493"/>
                  <w:tcBorders>
                    <w:top w:val="single" w:color="000000" w:sz="4"/>
                    <w:left w:val="none" w:color="000000" w:sz="4"/>
                    <w:bottom w:val="single" w:color="000000" w:sz="4"/>
                    <w:right w:val="single" w:color="000000" w:sz="4"/>
                  </w:tcBorders>
                  <w:shd w:fill="FFFFFF"/>
                  <w:vAlign w:val="top"/>
                </w:tcPr>
                <w:p>
                  <w:pPr>
                    <w:jc w:val="center"/>
                  </w:pPr>
                  <w:r>
                    <w:rPr>
                      <w:b/>
                      <w:sz w:val="21"/>
                    </w:rPr>
                    <w:t>区用车日租价单价基准价</w:t>
                  </w:r>
                </w:p>
                <w:p>
                  <w:pPr>
                    <w:jc w:val="center"/>
                  </w:pPr>
                  <w:r>
                    <w:rPr>
                      <w:b/>
                      <w:sz w:val="21"/>
                    </w:rPr>
                    <w:t>（元</w:t>
                  </w:r>
                  <w:r>
                    <w:rPr>
                      <w:b/>
                      <w:sz w:val="21"/>
                    </w:rPr>
                    <w:t>/辆/天</w:t>
                  </w:r>
                  <w:r>
                    <w:rPr>
                      <w:color w:val="676767"/>
                      <w:sz w:val="21"/>
                    </w:rPr>
                    <w:t>）</w:t>
                  </w:r>
                </w:p>
              </w:tc>
              <w:tc>
                <w:tcPr>
                  <w:tcW w:type="dxa" w:w="1140"/>
                  <w:tcBorders>
                    <w:top w:val="single" w:color="000000" w:sz="4"/>
                    <w:left w:val="none" w:color="000000" w:sz="4"/>
                    <w:bottom w:val="single" w:color="000000" w:sz="4"/>
                    <w:right w:val="single" w:color="000000" w:sz="4"/>
                  </w:tcBorders>
                  <w:shd w:fill="FFFFFF"/>
                  <w:vAlign w:val="top"/>
                </w:tcPr>
                <w:p>
                  <w:pPr>
                    <w:jc w:val="center"/>
                  </w:pPr>
                  <w:r>
                    <w:rPr>
                      <w:b/>
                      <w:sz w:val="21"/>
                    </w:rPr>
                    <w:t>备注</w:t>
                  </w:r>
                </w:p>
              </w:tc>
            </w:tr>
            <w:tr>
              <w:tc>
                <w:tcPr>
                  <w:tcW w:type="dxa" w:w="56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820"/>
                  <w:tcBorders>
                    <w:top w:val="none" w:color="000000" w:sz="4"/>
                    <w:left w:val="none" w:color="000000" w:sz="4"/>
                    <w:bottom w:val="single" w:color="000000" w:sz="4"/>
                    <w:right w:val="single" w:color="000000" w:sz="4"/>
                  </w:tcBorders>
                  <w:shd w:fill="FFFFFF"/>
                  <w:vAlign w:val="top"/>
                </w:tcPr>
                <w:p>
                  <w:pPr>
                    <w:jc w:val="center"/>
                  </w:pPr>
                  <w:r>
                    <w:rPr>
                      <w:color w:val="000000"/>
                      <w:sz w:val="21"/>
                    </w:rPr>
                    <w:t>新能源轿车（续航</w:t>
                  </w:r>
                  <w:r>
                    <w:rPr>
                      <w:color w:val="000000"/>
                      <w:sz w:val="21"/>
                    </w:rPr>
                    <w:t>3</w:t>
                  </w:r>
                  <w:r>
                    <w:rPr>
                      <w:color w:val="000000"/>
                      <w:sz w:val="21"/>
                    </w:rPr>
                    <w:t>00</w:t>
                  </w:r>
                  <w:r>
                    <w:rPr>
                      <w:color w:val="000000"/>
                      <w:sz w:val="21"/>
                    </w:rPr>
                    <w:t>公里）</w:t>
                  </w:r>
                </w:p>
              </w:tc>
              <w:tc>
                <w:tcPr>
                  <w:tcW w:type="dxa" w:w="580"/>
                  <w:tcBorders>
                    <w:top w:val="none" w:color="000000" w:sz="4"/>
                    <w:left w:val="none" w:color="000000" w:sz="4"/>
                    <w:bottom w:val="single" w:color="000000" w:sz="4"/>
                    <w:right w:val="single" w:color="000000" w:sz="4"/>
                  </w:tcBorders>
                  <w:shd w:fill="FFFFFF"/>
                  <w:vAlign w:val="top"/>
                </w:tcPr>
                <w:p>
                  <w:pPr>
                    <w:jc w:val="center"/>
                  </w:pPr>
                  <w:r>
                    <w:rPr>
                      <w:sz w:val="21"/>
                    </w:rPr>
                    <w:t>5</w:t>
                  </w:r>
                  <w:r>
                    <w:rPr>
                      <w:color w:val="000000"/>
                      <w:sz w:val="21"/>
                    </w:rPr>
                    <w:t>座</w:t>
                  </w:r>
                </w:p>
              </w:tc>
              <w:tc>
                <w:tcPr>
                  <w:tcW w:type="dxa" w:w="1493"/>
                  <w:tcBorders>
                    <w:top w:val="none" w:color="000000" w:sz="4"/>
                    <w:left w:val="none" w:color="000000" w:sz="4"/>
                    <w:bottom w:val="single" w:color="000000" w:sz="4"/>
                    <w:right w:val="single" w:color="000000" w:sz="4"/>
                  </w:tcBorders>
                  <w:shd w:fill="FFFFFF"/>
                  <w:vAlign w:val="top"/>
                </w:tcPr>
                <w:p>
                  <w:pPr>
                    <w:jc w:val="center"/>
                  </w:pPr>
                  <w:r>
                    <w:rPr>
                      <w:color w:val="000000"/>
                      <w:sz w:val="21"/>
                    </w:rPr>
                    <w:t>19</w:t>
                  </w:r>
                  <w:r>
                    <w:rPr>
                      <w:color w:val="000000"/>
                      <w:sz w:val="21"/>
                    </w:rPr>
                    <w:t>0</w:t>
                  </w:r>
                </w:p>
              </w:tc>
              <w:tc>
                <w:tcPr>
                  <w:tcW w:type="dxa" w:w="1140"/>
                  <w:vMerge w:val="restart"/>
                  <w:tcBorders>
                    <w:top w:val="none" w:color="000000" w:sz="4"/>
                    <w:left w:val="none" w:color="000000" w:sz="4"/>
                    <w:bottom w:val="none" w:color="000000" w:sz="4"/>
                    <w:right w:val="single" w:color="000000" w:sz="4"/>
                  </w:tcBorders>
                  <w:shd w:fill="FFFFFF"/>
                  <w:vAlign w:val="top"/>
                </w:tcPr>
                <w:p>
                  <w:pPr>
                    <w:jc w:val="center"/>
                  </w:pPr>
                  <w:r>
                    <w:rPr>
                      <w:color w:val="000000"/>
                      <w:sz w:val="21"/>
                    </w:rPr>
                    <w:t>不含司机</w:t>
                  </w:r>
                </w:p>
              </w:tc>
            </w:tr>
            <w:tr>
              <w:tc>
                <w:tcPr>
                  <w:tcW w:type="dxa" w:w="566"/>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820"/>
                  <w:tcBorders>
                    <w:top w:val="none" w:color="000000" w:sz="4"/>
                    <w:left w:val="none" w:color="000000" w:sz="4"/>
                    <w:bottom w:val="single" w:color="000000" w:sz="4"/>
                    <w:right w:val="single" w:color="000000" w:sz="4"/>
                  </w:tcBorders>
                  <w:shd w:fill="FFFFFF"/>
                  <w:vAlign w:val="top"/>
                </w:tcPr>
                <w:p>
                  <w:pPr>
                    <w:jc w:val="center"/>
                  </w:pPr>
                  <w:r>
                    <w:rPr>
                      <w:color w:val="000000"/>
                      <w:sz w:val="21"/>
                    </w:rPr>
                    <w:t>新能源</w:t>
                  </w:r>
                  <w:r>
                    <w:rPr>
                      <w:color w:val="000000"/>
                      <w:sz w:val="21"/>
                    </w:rPr>
                    <w:t>SUV</w:t>
                  </w:r>
                  <w:r>
                    <w:rPr>
                      <w:color w:val="000000"/>
                      <w:sz w:val="21"/>
                    </w:rPr>
                    <w:t>（续航</w:t>
                  </w:r>
                  <w:r>
                    <w:rPr>
                      <w:color w:val="000000"/>
                      <w:sz w:val="21"/>
                    </w:rPr>
                    <w:t>30</w:t>
                  </w:r>
                  <w:r>
                    <w:rPr>
                      <w:color w:val="000000"/>
                      <w:sz w:val="21"/>
                    </w:rPr>
                    <w:t>0</w:t>
                  </w:r>
                  <w:r>
                    <w:rPr>
                      <w:color w:val="000000"/>
                      <w:sz w:val="21"/>
                    </w:rPr>
                    <w:t>公里）</w:t>
                  </w:r>
                </w:p>
              </w:tc>
              <w:tc>
                <w:tcPr>
                  <w:tcW w:type="dxa" w:w="580"/>
                  <w:tcBorders>
                    <w:top w:val="none" w:color="000000" w:sz="4"/>
                    <w:left w:val="none" w:color="000000" w:sz="4"/>
                    <w:bottom w:val="single" w:color="000000" w:sz="4"/>
                    <w:right w:val="single" w:color="000000" w:sz="4"/>
                  </w:tcBorders>
                  <w:shd w:fill="FFFFFF"/>
                  <w:vAlign w:val="top"/>
                </w:tcPr>
                <w:p>
                  <w:pPr>
                    <w:jc w:val="center"/>
                  </w:pPr>
                  <w:r>
                    <w:rPr>
                      <w:sz w:val="21"/>
                    </w:rPr>
                    <w:t>5</w:t>
                  </w:r>
                  <w:r>
                    <w:rPr>
                      <w:color w:val="000000"/>
                      <w:sz w:val="21"/>
                    </w:rPr>
                    <w:t>座</w:t>
                  </w:r>
                </w:p>
              </w:tc>
              <w:tc>
                <w:tcPr>
                  <w:tcW w:type="dxa" w:w="1493"/>
                  <w:tcBorders>
                    <w:top w:val="none" w:color="000000" w:sz="4"/>
                    <w:left w:val="none" w:color="000000" w:sz="4"/>
                    <w:bottom w:val="single" w:color="000000" w:sz="4"/>
                    <w:right w:val="single" w:color="000000" w:sz="4"/>
                  </w:tcBorders>
                  <w:shd w:fill="FFFFFF"/>
                  <w:vAlign w:val="top"/>
                </w:tcPr>
                <w:p>
                  <w:pPr>
                    <w:jc w:val="center"/>
                  </w:pPr>
                  <w:r>
                    <w:rPr>
                      <w:color w:val="000000"/>
                      <w:sz w:val="21"/>
                    </w:rPr>
                    <w:t>200</w:t>
                  </w:r>
                </w:p>
              </w:tc>
            </w:tr>
            <w:tr>
              <w:tc>
                <w:tcPr>
                  <w:tcW w:type="dxa" w:w="566"/>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820"/>
                  <w:tcBorders>
                    <w:top w:val="none" w:color="000000" w:sz="4"/>
                    <w:left w:val="none" w:color="000000" w:sz="4"/>
                    <w:bottom w:val="single" w:color="000000" w:sz="4"/>
                    <w:right w:val="single" w:color="000000" w:sz="4"/>
                  </w:tcBorders>
                  <w:shd w:fill="FFFFFF"/>
                  <w:vAlign w:val="top"/>
                </w:tcPr>
                <w:p>
                  <w:pPr>
                    <w:jc w:val="center"/>
                  </w:pPr>
                  <w:r>
                    <w:rPr>
                      <w:color w:val="000000"/>
                      <w:sz w:val="21"/>
                    </w:rPr>
                    <w:t>新能源</w:t>
                  </w:r>
                  <w:r>
                    <w:rPr>
                      <w:color w:val="000000"/>
                      <w:sz w:val="21"/>
                    </w:rPr>
                    <w:t>SUV</w:t>
                  </w:r>
                  <w:r>
                    <w:rPr>
                      <w:color w:val="000000"/>
                      <w:sz w:val="21"/>
                    </w:rPr>
                    <w:t>（续航</w:t>
                  </w:r>
                  <w:r>
                    <w:rPr>
                      <w:color w:val="000000"/>
                      <w:sz w:val="21"/>
                    </w:rPr>
                    <w:t>3</w:t>
                  </w:r>
                  <w:r>
                    <w:rPr>
                      <w:color w:val="000000"/>
                      <w:sz w:val="21"/>
                    </w:rPr>
                    <w:t>10</w:t>
                  </w:r>
                  <w:r>
                    <w:rPr>
                      <w:color w:val="000000"/>
                      <w:sz w:val="21"/>
                    </w:rPr>
                    <w:t>公里）</w:t>
                  </w:r>
                </w:p>
              </w:tc>
              <w:tc>
                <w:tcPr>
                  <w:tcW w:type="dxa" w:w="580"/>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r>
                    <w:rPr>
                      <w:color w:val="000000"/>
                      <w:sz w:val="21"/>
                    </w:rPr>
                    <w:t>座</w:t>
                  </w:r>
                </w:p>
              </w:tc>
              <w:tc>
                <w:tcPr>
                  <w:tcW w:type="dxa" w:w="1493"/>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r>
                    <w:rPr>
                      <w:color w:val="000000"/>
                      <w:sz w:val="21"/>
                    </w:rPr>
                    <w:t>2</w:t>
                  </w:r>
                  <w:r>
                    <w:rPr>
                      <w:color w:val="000000"/>
                      <w:sz w:val="21"/>
                    </w:rPr>
                    <w:t>0</w:t>
                  </w:r>
                </w:p>
              </w:tc>
            </w:tr>
            <w:tr>
              <w:tc>
                <w:tcPr>
                  <w:tcW w:type="dxa" w:w="566"/>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820"/>
                  <w:tcBorders>
                    <w:top w:val="none" w:color="000000" w:sz="4"/>
                    <w:left w:val="none" w:color="000000" w:sz="4"/>
                    <w:bottom w:val="single" w:color="000000" w:sz="4"/>
                    <w:right w:val="single" w:color="000000" w:sz="4"/>
                  </w:tcBorders>
                  <w:shd w:fill="FFFFFF"/>
                  <w:vAlign w:val="top"/>
                </w:tcPr>
                <w:p>
                  <w:pPr>
                    <w:jc w:val="center"/>
                  </w:pPr>
                  <w:r>
                    <w:rPr>
                      <w:color w:val="000000"/>
                      <w:sz w:val="21"/>
                    </w:rPr>
                    <w:t>新能源</w:t>
                  </w:r>
                  <w:r>
                    <w:rPr>
                      <w:color w:val="000000"/>
                      <w:sz w:val="21"/>
                    </w:rPr>
                    <w:t>SUV</w:t>
                  </w:r>
                  <w:r>
                    <w:rPr>
                      <w:color w:val="000000"/>
                      <w:sz w:val="21"/>
                    </w:rPr>
                    <w:t>（续航</w:t>
                  </w:r>
                  <w:r>
                    <w:rPr>
                      <w:color w:val="000000"/>
                      <w:sz w:val="21"/>
                    </w:rPr>
                    <w:t>3</w:t>
                  </w:r>
                  <w:r>
                    <w:rPr>
                      <w:color w:val="000000"/>
                      <w:sz w:val="21"/>
                    </w:rPr>
                    <w:t>50</w:t>
                  </w:r>
                  <w:r>
                    <w:rPr>
                      <w:color w:val="000000"/>
                      <w:sz w:val="21"/>
                    </w:rPr>
                    <w:t>公里）</w:t>
                  </w:r>
                </w:p>
              </w:tc>
              <w:tc>
                <w:tcPr>
                  <w:tcW w:type="dxa" w:w="580"/>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r>
                    <w:rPr>
                      <w:color w:val="000000"/>
                      <w:sz w:val="21"/>
                    </w:rPr>
                    <w:t>座</w:t>
                  </w:r>
                </w:p>
              </w:tc>
              <w:tc>
                <w:tcPr>
                  <w:tcW w:type="dxa" w:w="1493"/>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r>
                    <w:rPr>
                      <w:color w:val="000000"/>
                      <w:sz w:val="21"/>
                    </w:rPr>
                    <w:t>6</w:t>
                  </w:r>
                  <w:r>
                    <w:rPr>
                      <w:color w:val="000000"/>
                      <w:sz w:val="21"/>
                    </w:rPr>
                    <w:t>0</w:t>
                  </w:r>
                </w:p>
              </w:tc>
            </w:tr>
            <w:tr>
              <w:tc>
                <w:tcPr>
                  <w:tcW w:type="dxa" w:w="566"/>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820"/>
                  <w:tcBorders>
                    <w:top w:val="none" w:color="000000" w:sz="4"/>
                    <w:left w:val="none" w:color="000000" w:sz="4"/>
                    <w:bottom w:val="single" w:color="000000" w:sz="4"/>
                    <w:right w:val="single" w:color="000000" w:sz="4"/>
                  </w:tcBorders>
                  <w:shd w:fill="FFFFFF"/>
                  <w:vAlign w:val="top"/>
                </w:tcPr>
                <w:p>
                  <w:pPr>
                    <w:jc w:val="center"/>
                  </w:pPr>
                  <w:r>
                    <w:rPr>
                      <w:color w:val="000000"/>
                      <w:sz w:val="21"/>
                    </w:rPr>
                    <w:t>新能源</w:t>
                  </w:r>
                  <w:r>
                    <w:rPr>
                      <w:color w:val="000000"/>
                      <w:sz w:val="21"/>
                    </w:rPr>
                    <w:t>SUV</w:t>
                  </w:r>
                  <w:r>
                    <w:rPr>
                      <w:color w:val="000000"/>
                      <w:sz w:val="21"/>
                    </w:rPr>
                    <w:t>（续航</w:t>
                  </w:r>
                  <w:r>
                    <w:rPr>
                      <w:color w:val="000000"/>
                      <w:sz w:val="21"/>
                    </w:rPr>
                    <w:t>410</w:t>
                  </w:r>
                  <w:r>
                    <w:rPr>
                      <w:color w:val="000000"/>
                      <w:sz w:val="21"/>
                    </w:rPr>
                    <w:t>公里）</w:t>
                  </w:r>
                </w:p>
              </w:tc>
              <w:tc>
                <w:tcPr>
                  <w:tcW w:type="dxa" w:w="580"/>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r>
                    <w:rPr>
                      <w:color w:val="000000"/>
                      <w:sz w:val="21"/>
                    </w:rPr>
                    <w:t>座</w:t>
                  </w:r>
                </w:p>
              </w:tc>
              <w:tc>
                <w:tcPr>
                  <w:tcW w:type="dxa" w:w="1493"/>
                  <w:tcBorders>
                    <w:top w:val="none" w:color="000000" w:sz="4"/>
                    <w:left w:val="none" w:color="000000" w:sz="4"/>
                    <w:bottom w:val="single" w:color="000000" w:sz="4"/>
                    <w:right w:val="single" w:color="000000" w:sz="4"/>
                  </w:tcBorders>
                  <w:shd w:fill="FFFFFF"/>
                  <w:vAlign w:val="top"/>
                </w:tcPr>
                <w:p>
                  <w:pPr>
                    <w:jc w:val="center"/>
                  </w:pPr>
                  <w:r>
                    <w:rPr>
                      <w:color w:val="000000"/>
                      <w:sz w:val="21"/>
                    </w:rPr>
                    <w:t>280</w:t>
                  </w:r>
                </w:p>
              </w:tc>
            </w:tr>
          </w:tbl>
          <w:p>
            <w:pPr>
              <w:jc w:val="both"/>
            </w:pPr>
            <w:r>
              <w:rPr>
                <w:b/>
                <w:sz w:val="21"/>
              </w:rPr>
              <w:t>一、基本要求：</w:t>
            </w:r>
          </w:p>
          <w:p>
            <w:pPr>
              <w:ind w:firstLine="420"/>
              <w:jc w:val="both"/>
            </w:pPr>
            <w:r>
              <w:rPr>
                <w:color w:val="000000"/>
                <w:sz w:val="21"/>
              </w:rPr>
              <w:t>（</w:t>
            </w:r>
            <w:r>
              <w:rPr>
                <w:color w:val="000000"/>
                <w:sz w:val="21"/>
              </w:rPr>
              <w:t>1</w:t>
            </w:r>
            <w:r>
              <w:rPr>
                <w:color w:val="000000"/>
                <w:sz w:val="21"/>
              </w:rPr>
              <w:t>）</w:t>
            </w:r>
            <w:r>
              <w:rPr>
                <w:color w:val="000000"/>
                <w:sz w:val="21"/>
              </w:rPr>
              <w:t>新能源型车辆（包括轿车和</w:t>
            </w:r>
            <w:r>
              <w:rPr>
                <w:color w:val="000000"/>
                <w:sz w:val="21"/>
              </w:rPr>
              <w:t>SUV）不低于50辆。</w:t>
            </w:r>
          </w:p>
          <w:p>
            <w:pPr>
              <w:ind w:firstLine="420"/>
              <w:jc w:val="both"/>
            </w:pPr>
            <w:r>
              <w:rPr>
                <w:color w:val="000000"/>
                <w:sz w:val="21"/>
              </w:rPr>
              <w:t>（</w:t>
            </w:r>
            <w:r>
              <w:rPr>
                <w:color w:val="000000"/>
                <w:sz w:val="21"/>
              </w:rPr>
              <w:t>2）</w:t>
            </w:r>
            <w:r>
              <w:rPr>
                <w:color w:val="000000"/>
                <w:sz w:val="21"/>
              </w:rPr>
              <w:t>中标供应商须在投标文件中附上拟提供服务车辆的最新照片（包括外型、车厢环境和车牌号码等），提供服务车辆必须车身整洁，并提供车辆的行驶证、机动车购买商业保险相关证件的扫描件。</w:t>
            </w:r>
          </w:p>
          <w:p>
            <w:pPr>
              <w:ind w:firstLine="420"/>
              <w:jc w:val="both"/>
            </w:pPr>
            <w:r>
              <w:rPr>
                <w:color w:val="000000"/>
                <w:sz w:val="21"/>
              </w:rPr>
              <w:t>（</w:t>
            </w:r>
            <w:r>
              <w:rPr>
                <w:color w:val="000000"/>
                <w:sz w:val="21"/>
              </w:rPr>
              <w:t>3</w:t>
            </w:r>
            <w:r>
              <w:rPr>
                <w:color w:val="000000"/>
                <w:sz w:val="21"/>
              </w:rPr>
              <w:t>）提供服务的车辆使用年限不得超过</w:t>
            </w:r>
            <w:r>
              <w:rPr>
                <w:color w:val="000000"/>
                <w:sz w:val="21"/>
              </w:rPr>
              <w:t>5</w:t>
            </w:r>
            <w:r>
              <w:rPr>
                <w:color w:val="000000"/>
                <w:sz w:val="21"/>
              </w:rPr>
              <w:t>年，行驶里程数不得超过</w:t>
            </w:r>
            <w:r>
              <w:rPr>
                <w:color w:val="000000"/>
                <w:sz w:val="21"/>
              </w:rPr>
              <w:t>20</w:t>
            </w:r>
            <w:r>
              <w:rPr>
                <w:color w:val="000000"/>
                <w:sz w:val="21"/>
              </w:rPr>
              <w:t>万公里，具有合法的营运资格，符合年审、环保要求，车辆性能状况良好。提供服务期间，严禁车辆带故障上车。</w:t>
            </w:r>
          </w:p>
          <w:p>
            <w:pPr>
              <w:ind w:firstLine="420"/>
              <w:jc w:val="both"/>
            </w:pPr>
            <w:r>
              <w:rPr>
                <w:color w:val="000000"/>
                <w:sz w:val="21"/>
              </w:rPr>
              <w:t>（</w:t>
            </w:r>
            <w:r>
              <w:rPr>
                <w:color w:val="000000"/>
                <w:sz w:val="21"/>
              </w:rPr>
              <w:t>4</w:t>
            </w:r>
            <w:r>
              <w:rPr>
                <w:color w:val="000000"/>
                <w:sz w:val="21"/>
              </w:rPr>
              <w:t>）合同执行期间，中标供应商应保证为提供服务的车辆进行正常保养、修理与磨损零配件的更换，车辆每行驶</w:t>
            </w:r>
            <w:r>
              <w:rPr>
                <w:color w:val="000000"/>
                <w:sz w:val="21"/>
              </w:rPr>
              <w:t>6000</w:t>
            </w:r>
            <w:r>
              <w:rPr>
                <w:color w:val="000000"/>
                <w:sz w:val="21"/>
              </w:rPr>
              <w:t>～</w:t>
            </w:r>
            <w:r>
              <w:rPr>
                <w:color w:val="000000"/>
                <w:sz w:val="21"/>
              </w:rPr>
              <w:t>10000</w:t>
            </w:r>
            <w:r>
              <w:rPr>
                <w:color w:val="000000"/>
                <w:sz w:val="21"/>
              </w:rPr>
              <w:t>公里需进行保养维修一次，轮胎每正常行驶</w:t>
            </w:r>
            <w:r>
              <w:rPr>
                <w:color w:val="000000"/>
                <w:sz w:val="21"/>
              </w:rPr>
              <w:t>50000</w:t>
            </w:r>
            <w:r>
              <w:rPr>
                <w:color w:val="000000"/>
                <w:sz w:val="21"/>
              </w:rPr>
              <w:t>公里更换一次，所发生的费用须包含在本次投标报价当中，采购人不再另行支付。</w:t>
            </w:r>
          </w:p>
          <w:p>
            <w:pPr>
              <w:ind w:firstLine="420"/>
              <w:jc w:val="both"/>
            </w:pPr>
            <w:r>
              <w:rPr>
                <w:color w:val="000000"/>
                <w:sz w:val="21"/>
              </w:rPr>
              <w:t>（</w:t>
            </w:r>
            <w:r>
              <w:rPr>
                <w:color w:val="000000"/>
                <w:sz w:val="21"/>
              </w:rPr>
              <w:t>5</w:t>
            </w:r>
            <w:r>
              <w:rPr>
                <w:color w:val="000000"/>
                <w:sz w:val="21"/>
              </w:rPr>
              <w:t>）提供服务的车辆在使用期间如因保养、故障维修、接受定期检审或其他经采购人认可的合理因素而造成需要调整车辆的，中标供应商应调派使用年限</w:t>
            </w:r>
            <w:r>
              <w:rPr>
                <w:color w:val="000000"/>
                <w:sz w:val="21"/>
              </w:rPr>
              <w:t>5年以内的备用车辆，经采购人认可后提供服务。在服务过程中，如采购人发现提供服务的车辆不是投标时承诺的车辆，采购人有权终止合同，并上报财政监管部门及追究中标供应商违约责任。</w:t>
            </w:r>
          </w:p>
          <w:p>
            <w:pPr>
              <w:ind w:firstLine="420"/>
              <w:jc w:val="both"/>
            </w:pPr>
            <w:r>
              <w:rPr>
                <w:color w:val="000000"/>
                <w:sz w:val="21"/>
              </w:rPr>
              <w:t>（</w:t>
            </w:r>
            <w:r>
              <w:rPr>
                <w:color w:val="000000"/>
                <w:sz w:val="21"/>
              </w:rPr>
              <w:t>6</w:t>
            </w:r>
            <w:r>
              <w:rPr>
                <w:color w:val="000000"/>
                <w:sz w:val="21"/>
              </w:rPr>
              <w:t>）采购人可以在服务每满一个季度以后对中标供应商的服务进行一次满意度调查，连续两次总体评价为负面情况的，视为中标供应商严重违约，采购人可以提前终止合同。</w:t>
            </w:r>
          </w:p>
          <w:p>
            <w:pPr>
              <w:jc w:val="left"/>
            </w:pPr>
            <w:r>
              <w:rPr>
                <w:b/>
                <w:sz w:val="21"/>
              </w:rPr>
              <w:t>二、服务要求：</w:t>
            </w:r>
          </w:p>
          <w:p>
            <w:pPr>
              <w:ind w:firstLine="420"/>
              <w:jc w:val="both"/>
            </w:pPr>
            <w:r>
              <w:rPr>
                <w:color w:val="000000"/>
                <w:sz w:val="21"/>
              </w:rPr>
              <w:t>（</w:t>
            </w:r>
            <w:r>
              <w:rPr>
                <w:color w:val="000000"/>
                <w:sz w:val="21"/>
              </w:rPr>
              <w:t>1）中标供应商</w:t>
            </w:r>
            <w:r>
              <w:rPr>
                <w:color w:val="000000"/>
                <w:sz w:val="21"/>
              </w:rPr>
              <w:t>负责向保险公司购买交强险、车辆损失险、第三者责任险、司机责任险</w:t>
            </w:r>
            <w:r>
              <w:rPr>
                <w:color w:val="000000"/>
                <w:sz w:val="21"/>
              </w:rPr>
              <w:t>/车上责任险等。</w:t>
            </w:r>
          </w:p>
          <w:p>
            <w:pPr>
              <w:ind w:firstLine="420"/>
              <w:jc w:val="both"/>
            </w:pPr>
            <w:r>
              <w:rPr>
                <w:color w:val="000000"/>
                <w:sz w:val="21"/>
              </w:rPr>
              <w:t>（</w:t>
            </w:r>
            <w:r>
              <w:rPr>
                <w:color w:val="000000"/>
                <w:sz w:val="21"/>
              </w:rPr>
              <w:t>2）</w:t>
            </w:r>
            <w:r>
              <w:rPr>
                <w:color w:val="000000"/>
                <w:sz w:val="21"/>
              </w:rPr>
              <w:t>上述保险、不计免赔服务仅免除保险范围内的有关损失，但不免除如因采购人违法违规、事故等导致车辆被扣而产生的停运损失。</w:t>
            </w:r>
          </w:p>
          <w:p>
            <w:pPr>
              <w:ind w:firstLine="420"/>
              <w:jc w:val="both"/>
            </w:pPr>
            <w:r>
              <w:rPr>
                <w:color w:val="000000"/>
                <w:sz w:val="21"/>
              </w:rPr>
              <w:t>（</w:t>
            </w:r>
            <w:r>
              <w:rPr>
                <w:color w:val="000000"/>
                <w:sz w:val="21"/>
              </w:rPr>
              <w:t>3）</w:t>
            </w:r>
            <w:r>
              <w:rPr>
                <w:color w:val="000000"/>
                <w:sz w:val="21"/>
              </w:rPr>
              <w:t>如发生车损或其它保险事故，</w:t>
            </w:r>
            <w:r>
              <w:rPr>
                <w:color w:val="000000"/>
                <w:sz w:val="21"/>
              </w:rPr>
              <w:t>中标供应商</w:t>
            </w:r>
            <w:r>
              <w:rPr>
                <w:color w:val="000000"/>
                <w:sz w:val="21"/>
              </w:rPr>
              <w:t>负责承担保险公司免赔额及保险责任内的全部损失，采购人负责保险公司免赔额及保险责任外的损失，</w:t>
            </w:r>
            <w:r>
              <w:rPr>
                <w:color w:val="000000"/>
                <w:sz w:val="21"/>
              </w:rPr>
              <w:t>中标供应商</w:t>
            </w:r>
            <w:r>
              <w:rPr>
                <w:color w:val="000000"/>
                <w:sz w:val="21"/>
              </w:rPr>
              <w:t>有负责处理事故和办理保险索赔的义务</w:t>
            </w:r>
            <w:r>
              <w:rPr>
                <w:color w:val="000000"/>
                <w:sz w:val="21"/>
              </w:rPr>
              <w:t>，中标供应商需为车辆司乘人员购买保额</w:t>
            </w:r>
            <w:r>
              <w:rPr>
                <w:color w:val="000000"/>
                <w:sz w:val="21"/>
              </w:rPr>
              <w:t>≥10万元/人，第三者责任险保额≥200万元的保险。</w:t>
            </w:r>
          </w:p>
          <w:p>
            <w:pPr>
              <w:ind w:firstLine="420"/>
              <w:jc w:val="both"/>
            </w:pPr>
            <w:r>
              <w:rPr>
                <w:color w:val="000000"/>
                <w:sz w:val="21"/>
              </w:rPr>
              <w:t>（</w:t>
            </w:r>
            <w:r>
              <w:rPr>
                <w:color w:val="000000"/>
                <w:sz w:val="21"/>
              </w:rPr>
              <w:t>4）</w:t>
            </w:r>
            <w:r>
              <w:rPr>
                <w:color w:val="000000"/>
                <w:sz w:val="21"/>
              </w:rPr>
              <w:t>如发生交通事故或其它保险事故，采购人应通知</w:t>
            </w:r>
            <w:r>
              <w:rPr>
                <w:color w:val="000000"/>
                <w:sz w:val="21"/>
              </w:rPr>
              <w:t>中标供应商</w:t>
            </w:r>
            <w:r>
              <w:rPr>
                <w:color w:val="000000"/>
                <w:sz w:val="21"/>
              </w:rPr>
              <w:t>处理。</w:t>
            </w:r>
          </w:p>
          <w:p>
            <w:pPr>
              <w:ind w:firstLine="420"/>
              <w:jc w:val="both"/>
            </w:pPr>
            <w:r>
              <w:rPr>
                <w:color w:val="000000"/>
                <w:sz w:val="21"/>
              </w:rPr>
              <w:t>（</w:t>
            </w:r>
            <w:r>
              <w:rPr>
                <w:color w:val="000000"/>
                <w:sz w:val="21"/>
              </w:rPr>
              <w:t>5）</w:t>
            </w:r>
            <w:r>
              <w:rPr>
                <w:color w:val="000000"/>
                <w:sz w:val="21"/>
              </w:rPr>
              <w:t>如发生车损需维修，由</w:t>
            </w:r>
            <w:r>
              <w:rPr>
                <w:color w:val="000000"/>
                <w:sz w:val="21"/>
              </w:rPr>
              <w:t>中标供应商</w:t>
            </w:r>
            <w:r>
              <w:rPr>
                <w:color w:val="000000"/>
                <w:sz w:val="21"/>
              </w:rPr>
              <w:t>负责对受损的车辆进行维修，采购人不能自行维修或自行选择维修厂维修。</w:t>
            </w:r>
          </w:p>
          <w:p>
            <w:pPr>
              <w:ind w:firstLine="420"/>
              <w:jc w:val="both"/>
            </w:pPr>
            <w:r>
              <w:rPr>
                <w:color w:val="000000"/>
                <w:sz w:val="21"/>
              </w:rPr>
              <w:t>（</w:t>
            </w:r>
            <w:r>
              <w:rPr>
                <w:color w:val="000000"/>
                <w:sz w:val="21"/>
              </w:rPr>
              <w:t>6）中标供应商如没有依时完成合同规定任务或服务质量达不到要求，经采购人三次提出书面批评意见后，仍无改进，视为中标供应商严重违约，采购人有权终止合同并上报财政监管部门，且采购人不承担违约责任。</w:t>
            </w:r>
          </w:p>
          <w:p>
            <w:pPr>
              <w:ind w:firstLine="420"/>
              <w:jc w:val="both"/>
            </w:pPr>
            <w:r>
              <w:rPr>
                <w:color w:val="000000"/>
                <w:sz w:val="21"/>
              </w:rPr>
              <w:t>（</w:t>
            </w:r>
            <w:r>
              <w:rPr>
                <w:color w:val="000000"/>
                <w:sz w:val="21"/>
              </w:rPr>
              <w:t>7）签订服务合同前或采购人使用车辆前，中标供应商提供的服务车辆须经采购人检验合格，中标供应商可酌情邀请采购人人员到中标供应商单位核实查验车辆品牌型号、车辆质量、使用年限等内容，中标供应商应为采购人进行上述检查提供便利的条件，其费用应包含在本次投标报价当中。</w:t>
            </w:r>
          </w:p>
          <w:p>
            <w:pPr>
              <w:ind w:firstLine="420"/>
              <w:jc w:val="both"/>
            </w:pPr>
            <w:r>
              <w:rPr>
                <w:color w:val="000000"/>
                <w:sz w:val="21"/>
              </w:rPr>
              <w:t>（</w:t>
            </w:r>
            <w:r>
              <w:rPr>
                <w:color w:val="000000"/>
                <w:sz w:val="21"/>
              </w:rPr>
              <w:t>8）本采购包中标供应商只负责提供车辆，不需要提供驾驶人员。交通违章产生的费用由驾驶车辆违章人员负责支付。中标供应商应每15天及时提供租赁车辆的交通违法情况表，超过30天未及时提供交通违法情况表，如导致采购人无法确定租赁车辆的交通违法责任人，采购人将不承担未及时通报的交通违法责任。</w:t>
            </w:r>
          </w:p>
          <w:p>
            <w:pPr>
              <w:jc w:val="left"/>
            </w:pPr>
            <w:r>
              <w:rPr>
                <w:b/>
                <w:sz w:val="21"/>
              </w:rPr>
              <w:t>三</w:t>
            </w:r>
            <w:r>
              <w:rPr>
                <w:b/>
                <w:sz w:val="21"/>
              </w:rPr>
              <w:t>、日常工作管理</w:t>
            </w:r>
          </w:p>
          <w:p>
            <w:pPr>
              <w:ind w:firstLine="420"/>
              <w:jc w:val="both"/>
            </w:pPr>
            <w:r>
              <w:rPr>
                <w:color w:val="000000"/>
                <w:sz w:val="21"/>
              </w:rPr>
              <w:t>（</w:t>
            </w:r>
            <w:r>
              <w:rPr>
                <w:color w:val="000000"/>
                <w:sz w:val="21"/>
              </w:rPr>
              <w:t>1）日常工作由中标供应商负责，安排专人24小时监控车辆动态值班，电话24小时开通。</w:t>
            </w:r>
          </w:p>
          <w:p>
            <w:pPr>
              <w:ind w:firstLine="420"/>
              <w:jc w:val="both"/>
            </w:pPr>
            <w:r>
              <w:rPr>
                <w:color w:val="000000"/>
                <w:sz w:val="21"/>
              </w:rPr>
              <w:t>（</w:t>
            </w:r>
            <w:r>
              <w:rPr>
                <w:color w:val="000000"/>
                <w:sz w:val="21"/>
              </w:rPr>
              <w:t>2）中标供应商值班人员第一时间安排人员抢修，如维修时间超过2小时的，应及时派出预备车辆后落实修理人员。</w:t>
            </w:r>
          </w:p>
          <w:p>
            <w:pPr>
              <w:ind w:firstLine="420"/>
              <w:jc w:val="both"/>
            </w:pPr>
            <w:r>
              <w:rPr>
                <w:color w:val="000000"/>
                <w:sz w:val="21"/>
              </w:rPr>
              <w:t>（</w:t>
            </w:r>
            <w:r>
              <w:rPr>
                <w:color w:val="000000"/>
                <w:sz w:val="21"/>
              </w:rPr>
              <w:t>3）精心组织、合理调度安排。</w:t>
            </w:r>
          </w:p>
          <w:p>
            <w:pPr>
              <w:ind w:firstLine="420"/>
              <w:jc w:val="both"/>
            </w:pPr>
            <w:r>
              <w:rPr>
                <w:color w:val="000000"/>
                <w:sz w:val="21"/>
              </w:rPr>
              <w:t>（</w:t>
            </w:r>
            <w:r>
              <w:rPr>
                <w:color w:val="000000"/>
                <w:sz w:val="21"/>
              </w:rPr>
              <w:t>4）督促及培训服务人员认真做好定期维修保养工作，确保车辆技术状况完好。</w:t>
            </w:r>
          </w:p>
          <w:p>
            <w:pPr>
              <w:jc w:val="left"/>
            </w:pPr>
            <w:r>
              <w:rPr>
                <w:b/>
                <w:sz w:val="21"/>
              </w:rPr>
              <w:t>四、车辆维护</w:t>
            </w:r>
          </w:p>
          <w:p>
            <w:pPr>
              <w:ind w:firstLine="420"/>
              <w:jc w:val="both"/>
            </w:pPr>
            <w:r>
              <w:rPr>
                <w:color w:val="000000"/>
                <w:sz w:val="21"/>
              </w:rPr>
              <w:t>（</w:t>
            </w:r>
            <w:r>
              <w:rPr>
                <w:color w:val="000000"/>
                <w:sz w:val="21"/>
              </w:rPr>
              <w:t>1）车辆维护包括整备维护和定程维护定期每两个星期派遣两名车辆专管员负责。整备维护，是指对车辆进行安全技术检查，并根据检查状况进行必要的调试、紧固、润滑、清洁、补给，使车辆恢复完好的状态。定程维护，是指按租赁汽车使用说明书规定的间隔里程（间隔时间）及相应的维护项目、标准，对车辆进行周期性的技术维护，以恢复和保持其完好的安全技术状态。</w:t>
            </w:r>
          </w:p>
          <w:p>
            <w:pPr>
              <w:ind w:firstLine="420"/>
              <w:jc w:val="both"/>
            </w:pPr>
            <w:r>
              <w:rPr>
                <w:color w:val="000000"/>
                <w:sz w:val="21"/>
              </w:rPr>
              <w:t>（</w:t>
            </w:r>
            <w:r>
              <w:rPr>
                <w:color w:val="000000"/>
                <w:sz w:val="21"/>
              </w:rPr>
              <w:t>2）严格按规定的周期组织车辆定程维护，车辆使用环境恶劣或使用强度较大的，应当相应缩短维护间隔里程或时间。定程维护已包含在本次投标报价当中，由中标供应商承担。</w:t>
            </w:r>
          </w:p>
          <w:p>
            <w:pPr>
              <w:ind w:firstLine="420"/>
              <w:jc w:val="both"/>
            </w:pPr>
            <w:r>
              <w:rPr>
                <w:color w:val="000000"/>
                <w:sz w:val="21"/>
              </w:rPr>
              <w:t>2.车辆修理与检验</w:t>
            </w:r>
          </w:p>
          <w:p>
            <w:pPr>
              <w:ind w:firstLine="420"/>
              <w:jc w:val="both"/>
            </w:pPr>
            <w:r>
              <w:rPr>
                <w:color w:val="000000"/>
                <w:sz w:val="21"/>
              </w:rPr>
              <w:t>（</w:t>
            </w:r>
            <w:r>
              <w:rPr>
                <w:color w:val="000000"/>
                <w:sz w:val="21"/>
              </w:rPr>
              <w:t>1）根据租赁车辆运行故障、事故损伤、机件磨损致功能失效等状况，分别进行整车、总成修理和小修、专项修理，及时恢复车辆的完好技术状况。</w:t>
            </w:r>
          </w:p>
          <w:p>
            <w:pPr>
              <w:ind w:firstLine="420"/>
              <w:jc w:val="both"/>
            </w:pPr>
            <w:r>
              <w:rPr>
                <w:color w:val="000000"/>
                <w:sz w:val="21"/>
              </w:rPr>
              <w:t>（</w:t>
            </w:r>
            <w:r>
              <w:rPr>
                <w:color w:val="000000"/>
                <w:sz w:val="21"/>
              </w:rPr>
              <w:t>2）汽车修理已包含在本次投标报价当中，由中标供应商承担。</w:t>
            </w:r>
          </w:p>
          <w:p>
            <w:pPr>
              <w:jc w:val="left"/>
            </w:pPr>
            <w:r>
              <w:rPr>
                <w:b/>
                <w:sz w:val="21"/>
              </w:rPr>
              <w:t>五、应急响应</w:t>
            </w:r>
          </w:p>
          <w:p>
            <w:pPr>
              <w:ind w:firstLine="420"/>
              <w:jc w:val="both"/>
            </w:pPr>
            <w:r>
              <w:rPr>
                <w:color w:val="000000"/>
                <w:sz w:val="21"/>
              </w:rPr>
              <w:t>如发生意外事故（交通事故、机件故障等），中标供应商收到报告后应立即采取应急措施（报警、报险或叫救护车等）并在</w:t>
            </w:r>
            <w:r>
              <w:rPr>
                <w:color w:val="000000"/>
                <w:sz w:val="21"/>
              </w:rPr>
              <w:t>30分钟内通报采购人，接报后市内1小时、省内4小时派人员赴现场负责处理事故相关事宜及安排车辆接送随车人员。中标供应商能满足采购人用车需求，提供（维修、抛锚、盗抢应急等）替代用车服务。</w:t>
            </w:r>
          </w:p>
          <w:p>
            <w:pPr>
              <w:jc w:val="left"/>
            </w:pPr>
            <w:r>
              <w:rPr>
                <w:b/>
                <w:sz w:val="21"/>
              </w:rPr>
              <w:t>六、公司管理规章制度</w:t>
            </w:r>
          </w:p>
          <w:p>
            <w:pPr>
              <w:ind w:firstLine="420"/>
              <w:jc w:val="both"/>
            </w:pPr>
            <w:r>
              <w:rPr>
                <w:color w:val="000000"/>
                <w:sz w:val="21"/>
              </w:rPr>
              <w:t>中标供应商应建立明确、详细、完善的公司管理规章制度，包括但不限于以下内容：人员管理、安全经营、车辆安全、人员培训等，可以达到安全经营的管理需求。中标供应商应针对本项目实际情况，描述公司管理规章制度与本项目需求的针对性。</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采购包2（干部职工上下班接送用车及专项行动临时保障用车）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2024年1月1日起至2024年12月31日年或累计租赁费用达到采购包采购预算，以二者先到者为准。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1期：支付比例100%,（一）结算方式：每个月结算一次。结算按月实际租用车辆结算，日租：实际租车费用=（租价×天数）×（1-中标优惠率）；月度结算汇总相加以上实际产生的全部费用。 （二）采购人根据中标供应商报价与每月实际用车情况进行结算（租车以实际产生费用结算）。 （三）中标供应商须在每月10号前向采购人提供上个月的以下材料以便采购人办理付款手续： 1.合同； 2.中标供应商开具的正式发票； 3.月实际租车费用明细； 4.中标通知书。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中标供应商的按时出车情况和车辆整备情况进行考核（详见附表1：考核表），出现车辆迟到、用车中途故障的，当月不超过2次中标供应商应提交整改方案并按方案进行整改；当月超过2次但未达5次的，中标供应商除整改外并扣除当月应结算费用的5%；当月超过5次的，采购人有权终止合同，由此造成的损失由中标供应商承担。造成违法的，中标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道路客运服务</w:t>
            </w:r>
          </w:p>
        </w:tc>
        <w:tc>
          <w:tcPr>
            <w:tcW w:type="dxa" w:w="831"/>
          </w:tcPr>
          <w:p>
            <w:pPr>
              <w:jc w:val="left"/>
            </w:pPr>
            <w:r>
              <w:rPr/>
              <w:t>干部职工上下班接送用车及专项行动临时保障用车</w:t>
            </w:r>
          </w:p>
        </w:tc>
        <w:tc>
          <w:tcPr>
            <w:tcW w:type="dxa" w:w="831"/>
          </w:tcPr>
          <w:p>
            <w:pPr>
              <w:jc w:val="left"/>
            </w:pPr>
            <w:r>
              <w:rPr/>
              <w:t>项</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干部职工上下班接送用车及专项行动临时保障用车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干部职工上下班接送用车清单：</w:t>
            </w:r>
          </w:p>
          <w:tbl>
            <w:tblPr>
              <w:tblBorders>
                <w:top w:val="none" w:color="000000" w:sz="4"/>
                <w:left w:val="none" w:color="000000" w:sz="4"/>
                <w:bottom w:val="none" w:color="000000" w:sz="4"/>
                <w:right w:val="none" w:color="000000" w:sz="4"/>
                <w:insideH w:val="none"/>
                <w:insideV w:val="none"/>
              </w:tblBorders>
            </w:tblPr>
            <w:tblGrid>
              <w:gridCol w:w="474"/>
              <w:gridCol w:w="1068"/>
              <w:gridCol w:w="2889"/>
              <w:gridCol w:w="1166"/>
            </w:tblGrid>
            <w:tr>
              <w:tc>
                <w:tcPr>
                  <w:tcW w:type="dxa" w:w="474"/>
                  <w:tcBorders>
                    <w:top w:val="single" w:color="000000" w:sz="4"/>
                    <w:left w:val="single" w:color="000000" w:sz="4"/>
                    <w:bottom w:val="single" w:color="000000" w:sz="4"/>
                    <w:right w:val="single" w:color="000000" w:sz="4"/>
                  </w:tcBorders>
                  <w:vAlign w:val="top"/>
                </w:tcPr>
                <w:p>
                  <w:pPr>
                    <w:ind w:firstLine="63"/>
                    <w:jc w:val="both"/>
                  </w:pPr>
                  <w:r>
                    <w:rPr>
                      <w:b/>
                      <w:sz w:val="21"/>
                    </w:rPr>
                    <w:t>序号</w:t>
                  </w:r>
                </w:p>
              </w:tc>
              <w:tc>
                <w:tcPr>
                  <w:tcW w:type="dxa" w:w="1068"/>
                  <w:tcBorders>
                    <w:top w:val="single" w:color="000000" w:sz="4"/>
                    <w:left w:val="none" w:color="000000" w:sz="4"/>
                    <w:bottom w:val="single" w:color="000000" w:sz="4"/>
                    <w:right w:val="single" w:color="000000" w:sz="4"/>
                  </w:tcBorders>
                  <w:vAlign w:val="top"/>
                </w:tcPr>
                <w:p>
                  <w:pPr>
                    <w:jc w:val="center"/>
                  </w:pPr>
                  <w:r>
                    <w:rPr>
                      <w:b/>
                      <w:sz w:val="21"/>
                    </w:rPr>
                    <w:t>车型</w:t>
                  </w:r>
                </w:p>
              </w:tc>
              <w:tc>
                <w:tcPr>
                  <w:tcW w:type="dxa" w:w="2889"/>
                  <w:tcBorders>
                    <w:top w:val="single" w:color="000000" w:sz="4"/>
                    <w:left w:val="none" w:color="000000" w:sz="4"/>
                    <w:bottom w:val="single" w:color="000000" w:sz="4"/>
                    <w:right w:val="single" w:color="000000" w:sz="4"/>
                  </w:tcBorders>
                  <w:vAlign w:val="top"/>
                </w:tcPr>
                <w:p>
                  <w:pPr>
                    <w:ind w:firstLine="78"/>
                    <w:jc w:val="center"/>
                  </w:pPr>
                  <w:r>
                    <w:rPr>
                      <w:b/>
                      <w:sz w:val="21"/>
                    </w:rPr>
                    <w:t>区内用车日租价单价基准价</w:t>
                  </w:r>
                  <w:r>
                    <w:rPr>
                      <w:b/>
                      <w:sz w:val="21"/>
                    </w:rPr>
                    <w:t>（元</w:t>
                  </w:r>
                  <w:r>
                    <w:rPr>
                      <w:b/>
                      <w:sz w:val="21"/>
                    </w:rPr>
                    <w:t>/辆/天）</w:t>
                  </w:r>
                </w:p>
              </w:tc>
              <w:tc>
                <w:tcPr>
                  <w:tcW w:type="dxa" w:w="1166"/>
                  <w:tcBorders>
                    <w:top w:val="single" w:color="000000" w:sz="4"/>
                    <w:left w:val="none" w:color="000000" w:sz="4"/>
                    <w:bottom w:val="single" w:color="000000" w:sz="4"/>
                    <w:right w:val="single" w:color="000000" w:sz="4"/>
                  </w:tcBorders>
                  <w:vAlign w:val="top"/>
                </w:tcPr>
                <w:p>
                  <w:pPr>
                    <w:ind w:firstLine="506"/>
                    <w:jc w:val="both"/>
                  </w:pPr>
                  <w:r>
                    <w:rPr>
                      <w:b/>
                      <w:sz w:val="21"/>
                    </w:rPr>
                    <w:t>备注</w:t>
                  </w:r>
                </w:p>
              </w:tc>
            </w:tr>
            <w:tr>
              <w:tc>
                <w:tcPr>
                  <w:tcW w:type="dxa" w:w="4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8"/>
                  <w:tcBorders>
                    <w:top w:val="none" w:color="000000" w:sz="4"/>
                    <w:left w:val="none" w:color="000000" w:sz="4"/>
                    <w:bottom w:val="single" w:color="000000" w:sz="4"/>
                    <w:right w:val="single" w:color="000000" w:sz="4"/>
                  </w:tcBorders>
                  <w:vAlign w:val="top"/>
                </w:tcPr>
                <w:p>
                  <w:pPr>
                    <w:jc w:val="center"/>
                  </w:pPr>
                  <w:r>
                    <w:rPr>
                      <w:sz w:val="21"/>
                    </w:rPr>
                    <w:t>9座面包车</w:t>
                  </w:r>
                </w:p>
              </w:tc>
              <w:tc>
                <w:tcPr>
                  <w:tcW w:type="dxa" w:w="288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1166"/>
                  <w:vMerge w:val="restart"/>
                  <w:tcBorders>
                    <w:top w:val="none" w:color="000000" w:sz="4"/>
                    <w:left w:val="none" w:color="000000" w:sz="4"/>
                    <w:bottom w:val="single" w:color="000000" w:sz="4"/>
                    <w:right w:val="single" w:color="000000" w:sz="4"/>
                  </w:tcBorders>
                  <w:vAlign w:val="top"/>
                </w:tcPr>
                <w:p>
                  <w:pPr>
                    <w:jc w:val="center"/>
                  </w:pPr>
                  <w:r>
                    <w:rPr>
                      <w:sz w:val="21"/>
                    </w:rPr>
                    <w:t>含司机</w:t>
                  </w:r>
                </w:p>
              </w:tc>
            </w:tr>
            <w:tr>
              <w:tc>
                <w:tcPr>
                  <w:tcW w:type="dxa" w:w="4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8"/>
                  <w:tcBorders>
                    <w:top w:val="none" w:color="000000" w:sz="4"/>
                    <w:left w:val="none" w:color="000000" w:sz="4"/>
                    <w:bottom w:val="single" w:color="000000" w:sz="4"/>
                    <w:right w:val="single" w:color="000000" w:sz="4"/>
                  </w:tcBorders>
                  <w:vAlign w:val="top"/>
                </w:tcPr>
                <w:p>
                  <w:pPr>
                    <w:jc w:val="center"/>
                  </w:pPr>
                  <w:r>
                    <w:rPr>
                      <w:sz w:val="21"/>
                    </w:rPr>
                    <w:t>20座以上中巴</w:t>
                  </w:r>
                </w:p>
              </w:tc>
              <w:tc>
                <w:tcPr>
                  <w:tcW w:type="dxa" w:w="2889"/>
                  <w:tcBorders>
                    <w:top w:val="none" w:color="000000" w:sz="4"/>
                    <w:left w:val="none" w:color="000000" w:sz="4"/>
                    <w:bottom w:val="single" w:color="000000" w:sz="4"/>
                    <w:right w:val="single" w:color="000000" w:sz="4"/>
                  </w:tcBorders>
                  <w:vAlign w:val="top"/>
                </w:tcPr>
                <w:p>
                  <w:pPr>
                    <w:jc w:val="center"/>
                  </w:pPr>
                  <w:r>
                    <w:rPr>
                      <w:sz w:val="21"/>
                    </w:rPr>
                    <w:t>750</w:t>
                  </w:r>
                </w:p>
              </w:tc>
            </w:tr>
            <w:tr>
              <w:tc>
                <w:tcPr>
                  <w:tcW w:type="dxa" w:w="4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8"/>
                  <w:tcBorders>
                    <w:top w:val="none" w:color="000000" w:sz="4"/>
                    <w:left w:val="none" w:color="000000" w:sz="4"/>
                    <w:bottom w:val="single" w:color="000000" w:sz="4"/>
                    <w:right w:val="single" w:color="000000" w:sz="4"/>
                  </w:tcBorders>
                  <w:vAlign w:val="top"/>
                </w:tcPr>
                <w:p>
                  <w:pPr>
                    <w:jc w:val="center"/>
                  </w:pPr>
                  <w:r>
                    <w:rPr>
                      <w:sz w:val="21"/>
                    </w:rPr>
                    <w:t>30</w:t>
                  </w:r>
                  <w:r>
                    <w:rPr>
                      <w:sz w:val="21"/>
                    </w:rPr>
                    <w:t xml:space="preserve"> </w:t>
                  </w:r>
                  <w:r>
                    <w:rPr>
                      <w:sz w:val="21"/>
                    </w:rPr>
                    <w:t>座以上大巴</w:t>
                  </w:r>
                </w:p>
              </w:tc>
              <w:tc>
                <w:tcPr>
                  <w:tcW w:type="dxa" w:w="2889"/>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4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8"/>
                  <w:tcBorders>
                    <w:top w:val="none" w:color="000000" w:sz="4"/>
                    <w:left w:val="none" w:color="000000" w:sz="4"/>
                    <w:bottom w:val="single" w:color="000000" w:sz="4"/>
                    <w:right w:val="single" w:color="000000" w:sz="4"/>
                  </w:tcBorders>
                  <w:vAlign w:val="top"/>
                </w:tcPr>
                <w:p>
                  <w:pPr>
                    <w:jc w:val="center"/>
                  </w:pPr>
                  <w:r>
                    <w:rPr>
                      <w:sz w:val="21"/>
                    </w:rPr>
                    <w:t>45</w:t>
                  </w:r>
                  <w:r>
                    <w:rPr>
                      <w:sz w:val="21"/>
                    </w:rPr>
                    <w:t xml:space="preserve"> </w:t>
                  </w:r>
                  <w:r>
                    <w:rPr>
                      <w:sz w:val="21"/>
                    </w:rPr>
                    <w:t>座大巴</w:t>
                  </w:r>
                </w:p>
              </w:tc>
              <w:tc>
                <w:tcPr>
                  <w:tcW w:type="dxa" w:w="2889"/>
                  <w:tcBorders>
                    <w:top w:val="none" w:color="000000" w:sz="4"/>
                    <w:left w:val="none" w:color="000000" w:sz="4"/>
                    <w:bottom w:val="single" w:color="000000" w:sz="4"/>
                    <w:right w:val="single" w:color="000000" w:sz="4"/>
                  </w:tcBorders>
                  <w:vAlign w:val="top"/>
                </w:tcPr>
                <w:p>
                  <w:pPr>
                    <w:jc w:val="center"/>
                  </w:pPr>
                  <w:r>
                    <w:rPr>
                      <w:sz w:val="21"/>
                    </w:rPr>
                    <w:t>1200</w:t>
                  </w:r>
                </w:p>
              </w:tc>
            </w:tr>
            <w:tr>
              <w:tc>
                <w:tcPr>
                  <w:tcW w:type="dxa" w:w="47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68"/>
                  <w:tcBorders>
                    <w:top w:val="none" w:color="000000" w:sz="4"/>
                    <w:left w:val="none" w:color="000000" w:sz="4"/>
                    <w:bottom w:val="single" w:color="000000" w:sz="4"/>
                    <w:right w:val="single" w:color="000000" w:sz="4"/>
                  </w:tcBorders>
                  <w:vAlign w:val="top"/>
                </w:tcPr>
                <w:p>
                  <w:pPr>
                    <w:jc w:val="center"/>
                  </w:pPr>
                  <w:r>
                    <w:rPr>
                      <w:sz w:val="21"/>
                    </w:rPr>
                    <w:t>50</w:t>
                  </w:r>
                  <w:r>
                    <w:rPr>
                      <w:sz w:val="21"/>
                    </w:rPr>
                    <w:t xml:space="preserve"> </w:t>
                  </w:r>
                  <w:r>
                    <w:rPr>
                      <w:sz w:val="21"/>
                    </w:rPr>
                    <w:t>座以上大巴</w:t>
                  </w:r>
                </w:p>
              </w:tc>
              <w:tc>
                <w:tcPr>
                  <w:tcW w:type="dxa" w:w="2889"/>
                  <w:tcBorders>
                    <w:top w:val="none" w:color="000000" w:sz="4"/>
                    <w:left w:val="none" w:color="000000" w:sz="4"/>
                    <w:bottom w:val="single" w:color="000000" w:sz="4"/>
                    <w:right w:val="single" w:color="000000" w:sz="4"/>
                  </w:tcBorders>
                  <w:vAlign w:val="top"/>
                </w:tcPr>
                <w:p>
                  <w:pPr>
                    <w:jc w:val="center"/>
                  </w:pPr>
                  <w:r>
                    <w:rPr>
                      <w:sz w:val="21"/>
                    </w:rPr>
                    <w:t>1300</w:t>
                  </w:r>
                </w:p>
              </w:tc>
            </w:tr>
            <w:tr>
              <w:tc>
                <w:tcPr>
                  <w:tcW w:type="dxa" w:w="5597"/>
                  <w:gridSpan w:val="4"/>
                  <w:tcBorders>
                    <w:top w:val="none" w:color="000000" w:sz="4"/>
                    <w:left w:val="single" w:color="000000" w:sz="4"/>
                    <w:bottom w:val="single" w:color="000000" w:sz="4"/>
                    <w:right w:val="single" w:color="000000" w:sz="4"/>
                  </w:tcBorders>
                  <w:vAlign w:val="top"/>
                </w:tcPr>
                <w:p>
                  <w:pPr>
                    <w:jc w:val="left"/>
                  </w:pPr>
                  <w:r>
                    <w:rPr>
                      <w:sz w:val="21"/>
                    </w:rPr>
                    <w:t>备注：按实际租赁天数结算。</w:t>
                  </w:r>
                </w:p>
              </w:tc>
            </w:tr>
          </w:tbl>
          <w:p>
            <w:pPr>
              <w:jc w:val="left"/>
            </w:pPr>
            <w:r>
              <w:rPr>
                <w:b/>
                <w:sz w:val="21"/>
              </w:rPr>
              <w:t>专项行动临时保障用车清单：</w:t>
            </w:r>
            <w:r>
              <w:rPr>
                <w:b/>
                <w:sz w:val="21"/>
              </w:rPr>
              <w:t xml:space="preserve"> </w:t>
            </w:r>
          </w:p>
          <w:tbl>
            <w:tblPr>
              <w:tblBorders>
                <w:top w:val="none" w:color="000000" w:sz="4"/>
                <w:left w:val="none" w:color="000000" w:sz="4"/>
                <w:bottom w:val="none" w:color="000000" w:sz="4"/>
                <w:right w:val="none" w:color="000000" w:sz="4"/>
                <w:insideH w:val="none"/>
                <w:insideV w:val="none"/>
              </w:tblBorders>
            </w:tblPr>
            <w:tblGrid>
              <w:gridCol w:w="356"/>
              <w:gridCol w:w="667"/>
              <w:gridCol w:w="918"/>
              <w:gridCol w:w="928"/>
              <w:gridCol w:w="918"/>
              <w:gridCol w:w="915"/>
              <w:gridCol w:w="892"/>
            </w:tblGrid>
            <w:tr>
              <w:tc>
                <w:tcPr>
                  <w:tcW w:type="dxa" w:w="356"/>
                  <w:tcBorders>
                    <w:top w:val="single" w:color="000000" w:sz="4"/>
                    <w:left w:val="single" w:color="000000" w:sz="4"/>
                    <w:bottom w:val="single" w:color="000000" w:sz="4"/>
                    <w:right w:val="single" w:color="000000" w:sz="4"/>
                  </w:tcBorders>
                  <w:vAlign w:val="top"/>
                </w:tcPr>
                <w:p>
                  <w:pPr>
                    <w:ind w:firstLine="63"/>
                    <w:jc w:val="both"/>
                  </w:pPr>
                  <w:r>
                    <w:rPr>
                      <w:b/>
                      <w:sz w:val="21"/>
                    </w:rPr>
                    <w:t>序号</w:t>
                  </w:r>
                </w:p>
              </w:tc>
              <w:tc>
                <w:tcPr>
                  <w:tcW w:type="dxa" w:w="667"/>
                  <w:tcBorders>
                    <w:top w:val="single" w:color="000000" w:sz="4"/>
                    <w:left w:val="none" w:color="000000" w:sz="4"/>
                    <w:bottom w:val="single" w:color="000000" w:sz="4"/>
                    <w:right w:val="single" w:color="000000" w:sz="4"/>
                  </w:tcBorders>
                  <w:vAlign w:val="top"/>
                </w:tcPr>
                <w:p>
                  <w:pPr>
                    <w:jc w:val="center"/>
                  </w:pPr>
                  <w:r>
                    <w:rPr>
                      <w:b/>
                      <w:sz w:val="21"/>
                    </w:rPr>
                    <w:t>车型</w:t>
                  </w:r>
                </w:p>
              </w:tc>
              <w:tc>
                <w:tcPr>
                  <w:tcW w:type="dxa" w:w="918"/>
                  <w:tcBorders>
                    <w:top w:val="single" w:color="000000" w:sz="4"/>
                    <w:left w:val="none" w:color="000000" w:sz="4"/>
                    <w:bottom w:val="single" w:color="000000" w:sz="4"/>
                    <w:right w:val="single" w:color="000000" w:sz="4"/>
                  </w:tcBorders>
                  <w:vAlign w:val="top"/>
                </w:tcPr>
                <w:p>
                  <w:pPr>
                    <w:ind w:firstLine="78"/>
                    <w:jc w:val="center"/>
                  </w:pPr>
                  <w:r>
                    <w:rPr>
                      <w:b/>
                      <w:sz w:val="21"/>
                    </w:rPr>
                    <w:t>区内用车日租价单价基准价</w:t>
                  </w:r>
                  <w:r>
                    <w:rPr>
                      <w:b/>
                      <w:sz w:val="21"/>
                    </w:rPr>
                    <w:t>（元</w:t>
                  </w:r>
                  <w:r>
                    <w:rPr>
                      <w:b/>
                      <w:sz w:val="21"/>
                    </w:rPr>
                    <w:t>/辆/天）</w:t>
                  </w:r>
                </w:p>
              </w:tc>
              <w:tc>
                <w:tcPr>
                  <w:tcW w:type="dxa" w:w="928"/>
                  <w:tcBorders>
                    <w:top w:val="single" w:color="000000" w:sz="4"/>
                    <w:left w:val="none" w:color="000000" w:sz="4"/>
                    <w:bottom w:val="single" w:color="000000" w:sz="4"/>
                    <w:right w:val="single" w:color="000000" w:sz="4"/>
                  </w:tcBorders>
                  <w:vAlign w:val="top"/>
                </w:tcPr>
                <w:p>
                  <w:pPr>
                    <w:ind w:firstLine="78"/>
                    <w:jc w:val="center"/>
                  </w:pPr>
                  <w:r>
                    <w:rPr>
                      <w:b/>
                      <w:sz w:val="21"/>
                    </w:rPr>
                    <w:t>广州市内用车日租价单价基准价</w:t>
                  </w:r>
                  <w:r>
                    <w:rPr>
                      <w:b/>
                      <w:sz w:val="21"/>
                    </w:rPr>
                    <w:t>（元</w:t>
                  </w:r>
                  <w:r>
                    <w:rPr>
                      <w:b/>
                      <w:sz w:val="21"/>
                    </w:rPr>
                    <w:t>/辆/天）</w:t>
                  </w:r>
                </w:p>
              </w:tc>
              <w:tc>
                <w:tcPr>
                  <w:tcW w:type="dxa" w:w="918"/>
                  <w:tcBorders>
                    <w:top w:val="single" w:color="000000" w:sz="4"/>
                    <w:left w:val="none" w:color="000000" w:sz="4"/>
                    <w:bottom w:val="single" w:color="000000" w:sz="4"/>
                    <w:right w:val="single" w:color="000000" w:sz="4"/>
                  </w:tcBorders>
                  <w:vAlign w:val="top"/>
                </w:tcPr>
                <w:p>
                  <w:pPr>
                    <w:ind w:firstLine="78"/>
                    <w:jc w:val="center"/>
                  </w:pPr>
                  <w:r>
                    <w:rPr>
                      <w:b/>
                      <w:sz w:val="21"/>
                    </w:rPr>
                    <w:t>广东省内用车日租价单价基准价</w:t>
                  </w:r>
                  <w:r>
                    <w:rPr>
                      <w:b/>
                      <w:sz w:val="21"/>
                    </w:rPr>
                    <w:t>（元</w:t>
                  </w:r>
                  <w:r>
                    <w:rPr>
                      <w:b/>
                      <w:sz w:val="21"/>
                    </w:rPr>
                    <w:t>/辆/天）</w:t>
                  </w:r>
                </w:p>
              </w:tc>
              <w:tc>
                <w:tcPr>
                  <w:tcW w:type="dxa" w:w="915"/>
                  <w:tcBorders>
                    <w:top w:val="single" w:color="000000" w:sz="4"/>
                    <w:left w:val="none" w:color="000000" w:sz="4"/>
                    <w:bottom w:val="single" w:color="000000" w:sz="4"/>
                    <w:right w:val="single" w:color="000000" w:sz="4"/>
                  </w:tcBorders>
                  <w:vAlign w:val="top"/>
                </w:tcPr>
                <w:p>
                  <w:pPr>
                    <w:ind w:firstLine="78"/>
                    <w:jc w:val="center"/>
                  </w:pPr>
                  <w:r>
                    <w:rPr>
                      <w:b/>
                      <w:sz w:val="21"/>
                    </w:rPr>
                    <w:t>广东省外用车日租价单价基准价</w:t>
                  </w:r>
                  <w:r>
                    <w:rPr>
                      <w:b/>
                      <w:sz w:val="21"/>
                    </w:rPr>
                    <w:t>（元</w:t>
                  </w:r>
                  <w:r>
                    <w:rPr>
                      <w:b/>
                      <w:sz w:val="21"/>
                    </w:rPr>
                    <w:t>/辆/天）</w:t>
                  </w:r>
                </w:p>
              </w:tc>
              <w:tc>
                <w:tcPr>
                  <w:tcW w:type="dxa" w:w="892"/>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67"/>
                  <w:tcBorders>
                    <w:top w:val="none" w:color="000000" w:sz="4"/>
                    <w:left w:val="none" w:color="000000" w:sz="4"/>
                    <w:bottom w:val="single" w:color="000000" w:sz="4"/>
                    <w:right w:val="single" w:color="000000" w:sz="4"/>
                  </w:tcBorders>
                  <w:vAlign w:val="top"/>
                </w:tcPr>
                <w:p>
                  <w:pPr>
                    <w:jc w:val="center"/>
                  </w:pPr>
                  <w:r>
                    <w:rPr>
                      <w:color w:val="000000"/>
                      <w:sz w:val="21"/>
                    </w:rPr>
                    <w:t>5座新能源</w:t>
                  </w:r>
                  <w:r>
                    <w:rPr>
                      <w:color w:val="000000"/>
                      <w:sz w:val="21"/>
                    </w:rPr>
                    <w:t>SUV</w:t>
                  </w:r>
                  <w:r>
                    <w:rPr>
                      <w:color w:val="000000"/>
                      <w:sz w:val="21"/>
                    </w:rPr>
                    <w:t>（续航</w:t>
                  </w:r>
                  <w:r>
                    <w:rPr>
                      <w:color w:val="000000"/>
                      <w:sz w:val="21"/>
                    </w:rPr>
                    <w:t>3</w:t>
                  </w:r>
                  <w:r>
                    <w:rPr>
                      <w:color w:val="000000"/>
                      <w:sz w:val="21"/>
                    </w:rPr>
                    <w:t>50</w:t>
                  </w:r>
                  <w:r>
                    <w:rPr>
                      <w:color w:val="000000"/>
                      <w:sz w:val="21"/>
                    </w:rPr>
                    <w:t>公里）</w:t>
                  </w:r>
                </w:p>
              </w:tc>
              <w:tc>
                <w:tcPr>
                  <w:tcW w:type="dxa" w:w="918"/>
                  <w:tcBorders>
                    <w:top w:val="none" w:color="000000" w:sz="4"/>
                    <w:left w:val="none" w:color="000000" w:sz="4"/>
                    <w:bottom w:val="single" w:color="000000" w:sz="4"/>
                    <w:right w:val="single" w:color="000000" w:sz="4"/>
                  </w:tcBorders>
                  <w:vAlign w:val="top"/>
                </w:tcPr>
                <w:p>
                  <w:pPr>
                    <w:jc w:val="center"/>
                  </w:pPr>
                  <w:r>
                    <w:rPr>
                      <w:sz w:val="21"/>
                    </w:rPr>
                    <w:t>260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310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360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460</w:t>
                  </w:r>
                </w:p>
              </w:tc>
              <w:tc>
                <w:tcPr>
                  <w:tcW w:type="dxa" w:w="892"/>
                  <w:vMerge w:val="restart"/>
                  <w:tcBorders>
                    <w:top w:val="none" w:color="000000" w:sz="4"/>
                    <w:left w:val="none" w:color="000000" w:sz="4"/>
                    <w:bottom w:val="single" w:color="000000" w:sz="4"/>
                    <w:right w:val="single" w:color="000000" w:sz="4"/>
                  </w:tcBorders>
                  <w:vAlign w:val="top"/>
                </w:tcPr>
                <w:p>
                  <w:pPr>
                    <w:jc w:val="center"/>
                  </w:pPr>
                  <w:r>
                    <w:rPr>
                      <w:sz w:val="21"/>
                    </w:rPr>
                    <w:t>不含司机</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67"/>
                  <w:tcBorders>
                    <w:top w:val="none" w:color="000000" w:sz="4"/>
                    <w:left w:val="none" w:color="000000" w:sz="4"/>
                    <w:bottom w:val="single" w:color="000000" w:sz="4"/>
                    <w:right w:val="single" w:color="000000" w:sz="4"/>
                  </w:tcBorders>
                  <w:vAlign w:val="top"/>
                </w:tcPr>
                <w:p>
                  <w:pPr>
                    <w:jc w:val="center"/>
                  </w:pPr>
                  <w:r>
                    <w:rPr>
                      <w:color w:val="000000"/>
                      <w:sz w:val="21"/>
                    </w:rPr>
                    <w:t>5座普通汽车（燃油）</w:t>
                  </w:r>
                </w:p>
              </w:tc>
              <w:tc>
                <w:tcPr>
                  <w:tcW w:type="dxa" w:w="918"/>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928"/>
                  <w:tcBorders>
                    <w:top w:val="none" w:color="000000" w:sz="4"/>
                    <w:left w:val="none" w:color="000000" w:sz="4"/>
                    <w:bottom w:val="single" w:color="000000" w:sz="4"/>
                    <w:right w:val="single" w:color="000000" w:sz="4"/>
                  </w:tcBorders>
                  <w:vAlign w:val="top"/>
                </w:tcPr>
                <w:p>
                  <w:pPr>
                    <w:jc w:val="center"/>
                  </w:pPr>
                  <w:r>
                    <w:rPr>
                      <w:color w:val="000000"/>
                      <w:sz w:val="21"/>
                    </w:rPr>
                    <w:t>350</w:t>
                  </w:r>
                </w:p>
              </w:tc>
              <w:tc>
                <w:tcPr>
                  <w:tcW w:type="dxa" w:w="918"/>
                  <w:tcBorders>
                    <w:top w:val="single" w:color="000000" w:sz="4"/>
                    <w:left w:val="none" w:color="000000" w:sz="4"/>
                    <w:bottom w:val="single" w:color="000000" w:sz="4"/>
                    <w:right w:val="single" w:color="000000" w:sz="4"/>
                  </w:tcBorders>
                  <w:vAlign w:val="top"/>
                </w:tcPr>
                <w:p>
                  <w:pPr>
                    <w:jc w:val="center"/>
                  </w:pPr>
                  <w:r>
                    <w:rPr>
                      <w:sz w:val="21"/>
                    </w:rPr>
                    <w:t>400</w:t>
                  </w:r>
                </w:p>
              </w:tc>
              <w:tc>
                <w:tcPr>
                  <w:tcW w:type="dxa" w:w="915"/>
                  <w:tcBorders>
                    <w:top w:val="single" w:color="000000" w:sz="4"/>
                    <w:left w:val="none" w:color="000000" w:sz="4"/>
                    <w:bottom w:val="single" w:color="000000" w:sz="4"/>
                    <w:right w:val="single" w:color="000000" w:sz="4"/>
                  </w:tcBorders>
                  <w:vAlign w:val="top"/>
                </w:tcPr>
                <w:p>
                  <w:pPr>
                    <w:jc w:val="center"/>
                  </w:pPr>
                  <w:r>
                    <w:rPr>
                      <w:sz w:val="21"/>
                    </w:rPr>
                    <w:t>500</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67"/>
                  <w:tcBorders>
                    <w:top w:val="none" w:color="000000" w:sz="4"/>
                    <w:left w:val="none" w:color="000000" w:sz="4"/>
                    <w:bottom w:val="single" w:color="000000" w:sz="4"/>
                    <w:right w:val="single" w:color="000000" w:sz="4"/>
                  </w:tcBorders>
                  <w:vAlign w:val="top"/>
                </w:tcPr>
                <w:p>
                  <w:pPr>
                    <w:jc w:val="center"/>
                  </w:pPr>
                  <w:r>
                    <w:rPr>
                      <w:color w:val="000000"/>
                      <w:sz w:val="21"/>
                    </w:rPr>
                    <w:t>7座商务车</w:t>
                  </w:r>
                </w:p>
              </w:tc>
              <w:tc>
                <w:tcPr>
                  <w:tcW w:type="dxa" w:w="918"/>
                  <w:tcBorders>
                    <w:top w:val="none" w:color="000000" w:sz="4"/>
                    <w:left w:val="none" w:color="000000" w:sz="4"/>
                    <w:bottom w:val="single" w:color="000000" w:sz="4"/>
                    <w:right w:val="single" w:color="000000" w:sz="4"/>
                  </w:tcBorders>
                  <w:vAlign w:val="top"/>
                </w:tcPr>
                <w:p>
                  <w:pPr>
                    <w:jc w:val="center"/>
                  </w:pPr>
                  <w:r>
                    <w:rPr>
                      <w:sz w:val="21"/>
                    </w:rPr>
                    <w:t>320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370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420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520</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67"/>
                  <w:tcBorders>
                    <w:top w:val="none" w:color="000000" w:sz="4"/>
                    <w:left w:val="none" w:color="000000" w:sz="4"/>
                    <w:bottom w:val="single" w:color="000000" w:sz="4"/>
                    <w:right w:val="single" w:color="000000" w:sz="4"/>
                  </w:tcBorders>
                  <w:vAlign w:val="top"/>
                </w:tcPr>
                <w:p>
                  <w:pPr>
                    <w:jc w:val="center"/>
                  </w:pPr>
                  <w:r>
                    <w:rPr>
                      <w:sz w:val="21"/>
                    </w:rPr>
                    <w:t>9座面包车</w:t>
                  </w:r>
                </w:p>
              </w:tc>
              <w:tc>
                <w:tcPr>
                  <w:tcW w:type="dxa" w:w="918"/>
                  <w:tcBorders>
                    <w:top w:val="none" w:color="000000" w:sz="4"/>
                    <w:left w:val="none" w:color="000000" w:sz="4"/>
                    <w:bottom w:val="single" w:color="000000" w:sz="4"/>
                    <w:right w:val="single" w:color="000000" w:sz="4"/>
                  </w:tcBorders>
                  <w:vAlign w:val="top"/>
                </w:tcPr>
                <w:p>
                  <w:pPr>
                    <w:jc w:val="center"/>
                  </w:pPr>
                  <w:r>
                    <w:rPr>
                      <w:sz w:val="21"/>
                    </w:rPr>
                    <w:t>650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850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950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1050</w:t>
                  </w:r>
                </w:p>
              </w:tc>
              <w:tc>
                <w:tcPr>
                  <w:tcW w:type="dxa" w:w="892"/>
                  <w:vMerge w:val="restart"/>
                  <w:tcBorders>
                    <w:top w:val="none" w:color="000000" w:sz="4"/>
                    <w:left w:val="none" w:color="000000" w:sz="4"/>
                    <w:bottom w:val="single" w:color="000000" w:sz="4"/>
                    <w:right w:val="single" w:color="000000" w:sz="4"/>
                  </w:tcBorders>
                  <w:vAlign w:val="top"/>
                </w:tcPr>
                <w:p>
                  <w:pPr>
                    <w:jc w:val="center"/>
                  </w:pPr>
                  <w:r>
                    <w:rPr>
                      <w:sz w:val="21"/>
                    </w:rPr>
                    <w:t>含司机</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67"/>
                  <w:tcBorders>
                    <w:top w:val="none" w:color="000000" w:sz="4"/>
                    <w:left w:val="none" w:color="000000" w:sz="4"/>
                    <w:bottom w:val="single" w:color="000000" w:sz="4"/>
                    <w:right w:val="single" w:color="000000" w:sz="4"/>
                  </w:tcBorders>
                  <w:vAlign w:val="top"/>
                </w:tcPr>
                <w:p>
                  <w:pPr>
                    <w:jc w:val="center"/>
                  </w:pPr>
                  <w:r>
                    <w:rPr>
                      <w:sz w:val="21"/>
                    </w:rPr>
                    <w:t>20座以上中巴</w:t>
                  </w:r>
                </w:p>
              </w:tc>
              <w:tc>
                <w:tcPr>
                  <w:tcW w:type="dxa" w:w="918"/>
                  <w:tcBorders>
                    <w:top w:val="none" w:color="000000" w:sz="4"/>
                    <w:left w:val="none" w:color="000000" w:sz="4"/>
                    <w:bottom w:val="single" w:color="000000" w:sz="4"/>
                    <w:right w:val="single" w:color="000000" w:sz="4"/>
                  </w:tcBorders>
                  <w:vAlign w:val="top"/>
                </w:tcPr>
                <w:p>
                  <w:pPr>
                    <w:jc w:val="center"/>
                  </w:pPr>
                  <w:r>
                    <w:rPr>
                      <w:sz w:val="21"/>
                    </w:rPr>
                    <w:t>9</w:t>
                  </w:r>
                  <w:r>
                    <w:rPr>
                      <w:sz w:val="21"/>
                    </w:rPr>
                    <w:t>00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1100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1200</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67"/>
                  <w:tcBorders>
                    <w:top w:val="none" w:color="000000" w:sz="4"/>
                    <w:left w:val="none" w:color="000000" w:sz="4"/>
                    <w:bottom w:val="single" w:color="000000" w:sz="4"/>
                    <w:right w:val="single" w:color="000000" w:sz="4"/>
                  </w:tcBorders>
                  <w:vAlign w:val="top"/>
                </w:tcPr>
                <w:p>
                  <w:pPr>
                    <w:jc w:val="center"/>
                  </w:pPr>
                  <w:r>
                    <w:rPr>
                      <w:sz w:val="21"/>
                    </w:rPr>
                    <w:t>30</w:t>
                  </w:r>
                  <w:r>
                    <w:rPr>
                      <w:sz w:val="21"/>
                    </w:rPr>
                    <w:t xml:space="preserve"> </w:t>
                  </w:r>
                  <w:r>
                    <w:rPr>
                      <w:sz w:val="21"/>
                    </w:rPr>
                    <w:t>座以上大巴</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1400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1500</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67"/>
                  <w:tcBorders>
                    <w:top w:val="none" w:color="000000" w:sz="4"/>
                    <w:left w:val="none" w:color="000000" w:sz="4"/>
                    <w:bottom w:val="single" w:color="000000" w:sz="4"/>
                    <w:right w:val="single" w:color="000000" w:sz="4"/>
                  </w:tcBorders>
                  <w:vAlign w:val="top"/>
                </w:tcPr>
                <w:p>
                  <w:pPr>
                    <w:jc w:val="center"/>
                  </w:pPr>
                  <w:r>
                    <w:rPr>
                      <w:sz w:val="21"/>
                    </w:rPr>
                    <w:t>45</w:t>
                  </w:r>
                  <w:r>
                    <w:rPr>
                      <w:sz w:val="21"/>
                    </w:rPr>
                    <w:t xml:space="preserve"> </w:t>
                  </w:r>
                  <w:r>
                    <w:rPr>
                      <w:sz w:val="21"/>
                    </w:rPr>
                    <w:t>座大巴</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1400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1500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1600</w:t>
                  </w:r>
                </w:p>
              </w:tc>
            </w:tr>
            <w:tr>
              <w:tc>
                <w:tcPr>
                  <w:tcW w:type="dxa" w:w="3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67"/>
                  <w:tcBorders>
                    <w:top w:val="none" w:color="000000" w:sz="4"/>
                    <w:left w:val="none" w:color="000000" w:sz="4"/>
                    <w:bottom w:val="single" w:color="000000" w:sz="4"/>
                    <w:right w:val="single" w:color="000000" w:sz="4"/>
                  </w:tcBorders>
                  <w:vAlign w:val="top"/>
                </w:tcPr>
                <w:p>
                  <w:pPr>
                    <w:jc w:val="center"/>
                  </w:pPr>
                  <w:r>
                    <w:rPr>
                      <w:sz w:val="21"/>
                    </w:rPr>
                    <w:t>50</w:t>
                  </w:r>
                  <w:r>
                    <w:rPr>
                      <w:sz w:val="21"/>
                    </w:rPr>
                    <w:t xml:space="preserve"> </w:t>
                  </w:r>
                  <w:r>
                    <w:rPr>
                      <w:sz w:val="21"/>
                    </w:rPr>
                    <w:t>座以上大巴</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w:t>
                  </w:r>
                  <w:r>
                    <w:rPr>
                      <w:sz w:val="21"/>
                    </w:rPr>
                    <w:t>4</w:t>
                  </w:r>
                  <w:r>
                    <w:rPr>
                      <w:sz w:val="21"/>
                    </w:rPr>
                    <w:t>00</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1500</w:t>
                  </w:r>
                </w:p>
              </w:tc>
              <w:tc>
                <w:tcPr>
                  <w:tcW w:type="dxa" w:w="918"/>
                  <w:tcBorders>
                    <w:top w:val="none" w:color="000000" w:sz="4"/>
                    <w:left w:val="none" w:color="000000" w:sz="4"/>
                    <w:bottom w:val="single" w:color="000000" w:sz="4"/>
                    <w:right w:val="single" w:color="000000" w:sz="4"/>
                  </w:tcBorders>
                  <w:vAlign w:val="top"/>
                </w:tcPr>
                <w:p>
                  <w:pPr>
                    <w:jc w:val="center"/>
                  </w:pPr>
                  <w:r>
                    <w:rPr>
                      <w:sz w:val="21"/>
                    </w:rPr>
                    <w:t>1600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1700</w:t>
                  </w:r>
                </w:p>
              </w:tc>
            </w:tr>
            <w:tr>
              <w:tc>
                <w:tcPr>
                  <w:tcW w:type="dxa" w:w="5594"/>
                  <w:gridSpan w:val="7"/>
                  <w:tcBorders>
                    <w:top w:val="none" w:color="000000" w:sz="4"/>
                    <w:left w:val="single" w:color="000000" w:sz="4"/>
                    <w:bottom w:val="single" w:color="000000" w:sz="4"/>
                    <w:right w:val="single" w:color="000000" w:sz="4"/>
                  </w:tcBorders>
                  <w:vAlign w:val="top"/>
                </w:tcPr>
                <w:p>
                  <w:pPr>
                    <w:jc w:val="left"/>
                  </w:pPr>
                  <w:r>
                    <w:rPr>
                      <w:sz w:val="21"/>
                    </w:rPr>
                    <w:t>备注：以实际租赁天数结算。</w:t>
                  </w:r>
                </w:p>
              </w:tc>
            </w:tr>
          </w:tbl>
          <w:p>
            <w:pPr>
              <w:jc w:val="both"/>
            </w:pPr>
            <w:r>
              <w:rPr>
                <w:b/>
                <w:sz w:val="21"/>
              </w:rPr>
              <w:t>一、租赁要求</w:t>
            </w:r>
          </w:p>
          <w:p>
            <w:pPr>
              <w:ind w:firstLine="420"/>
              <w:jc w:val="both"/>
            </w:pPr>
            <w:r>
              <w:rPr>
                <w:color w:val="000000"/>
                <w:sz w:val="21"/>
              </w:rPr>
              <w:t>1.采购包</w:t>
            </w:r>
            <w:r>
              <w:rPr>
                <w:color w:val="000000"/>
                <w:sz w:val="21"/>
              </w:rPr>
              <w:t>2</w:t>
            </w:r>
            <w:r>
              <w:rPr>
                <w:color w:val="000000"/>
                <w:sz w:val="21"/>
              </w:rPr>
              <w:t>中标供应商负责提供车辆与指派司机驾驶车辆，中标供应商须承担司机劳动报酬。</w:t>
            </w:r>
          </w:p>
          <w:p>
            <w:pPr>
              <w:jc w:val="both"/>
            </w:pPr>
            <w:r>
              <w:rPr>
                <w:b/>
                <w:sz w:val="21"/>
              </w:rPr>
              <w:t>二、服务要求</w:t>
            </w:r>
          </w:p>
          <w:p>
            <w:pPr>
              <w:ind w:firstLine="420"/>
              <w:jc w:val="both"/>
            </w:pPr>
            <w:r>
              <w:rPr>
                <w:color w:val="000000"/>
                <w:sz w:val="21"/>
              </w:rPr>
              <w:t>（一）基本要求</w:t>
            </w:r>
          </w:p>
          <w:p>
            <w:pPr>
              <w:ind w:firstLine="420"/>
              <w:jc w:val="both"/>
            </w:pPr>
            <w:r>
              <w:rPr>
                <w:color w:val="000000"/>
                <w:sz w:val="21"/>
              </w:rPr>
              <w:t>（</w:t>
            </w:r>
            <w:r>
              <w:rPr>
                <w:color w:val="000000"/>
                <w:sz w:val="21"/>
              </w:rPr>
              <w:t>1）中标供应商须有一套完善的管理体制、有优质服务精神、有较高的安全意识、有丰富的运营及应对路面突发事件的经验。</w:t>
            </w:r>
          </w:p>
          <w:p>
            <w:pPr>
              <w:ind w:firstLine="420"/>
              <w:jc w:val="both"/>
            </w:pPr>
            <w:r>
              <w:rPr>
                <w:color w:val="000000"/>
                <w:sz w:val="21"/>
              </w:rPr>
              <w:t>（</w:t>
            </w:r>
            <w:r>
              <w:rPr>
                <w:color w:val="000000"/>
                <w:sz w:val="21"/>
              </w:rPr>
              <w:t>2）中标供应商所提供租赁的车辆需为中标供应商自有或合法租赁的车辆，并且具备在广州市任何区域合法行驶的资格。</w:t>
            </w:r>
          </w:p>
          <w:p>
            <w:pPr>
              <w:ind w:firstLine="420"/>
              <w:jc w:val="both"/>
            </w:pPr>
            <w:r>
              <w:rPr>
                <w:color w:val="000000"/>
                <w:sz w:val="21"/>
              </w:rPr>
              <w:t>（</w:t>
            </w:r>
            <w:r>
              <w:rPr>
                <w:color w:val="000000"/>
                <w:sz w:val="21"/>
              </w:rPr>
              <w:t>3）中标供应商须有完善的车辆管理及安全管理制度，有一支较高职业质素和驾驶技能的驾驶员队伍，能做到遵章守法，执行管理制度，自觉对车辆进行日常检查和保养工作。</w:t>
            </w:r>
          </w:p>
          <w:p>
            <w:pPr>
              <w:ind w:firstLine="420"/>
              <w:jc w:val="both"/>
            </w:pPr>
            <w:r>
              <w:rPr>
                <w:color w:val="000000"/>
                <w:sz w:val="21"/>
              </w:rPr>
              <w:t>（</w:t>
            </w:r>
            <w:r>
              <w:rPr>
                <w:color w:val="000000"/>
                <w:sz w:val="21"/>
              </w:rPr>
              <w:t>4）中标供应商需按照国家有关规定，支付驾驶员的工资、社会保险等福利待遇。中标供应商如因此发生劳资纠纷，造成的责任和损失由中标供应商负责，一切与采购人无关，如导致采购人损失的，应当予以赔偿。</w:t>
            </w:r>
          </w:p>
          <w:p>
            <w:pPr>
              <w:ind w:firstLine="420"/>
              <w:jc w:val="both"/>
            </w:pPr>
            <w:r>
              <w:rPr>
                <w:color w:val="000000"/>
                <w:sz w:val="21"/>
              </w:rPr>
              <w:t>（二）安全方面要求</w:t>
            </w:r>
          </w:p>
          <w:p>
            <w:pPr>
              <w:ind w:firstLine="420"/>
              <w:jc w:val="both"/>
            </w:pPr>
            <w:r>
              <w:rPr>
                <w:color w:val="000000"/>
                <w:sz w:val="21"/>
              </w:rPr>
              <w:t>（</w:t>
            </w:r>
            <w:r>
              <w:rPr>
                <w:color w:val="000000"/>
                <w:sz w:val="21"/>
              </w:rPr>
              <w:t>1）驾驶员须为中标供应商的签约员工，具备丰富的驾驶经验，5年以内无重大交通事故记录、5年以上驾龄、年龄为25～55周岁、熟悉珠江三角洲交通道路（需提供驾驶员的驾驶证、签约合同等佐证文件）。</w:t>
            </w:r>
          </w:p>
          <w:p>
            <w:pPr>
              <w:ind w:firstLine="420"/>
              <w:jc w:val="both"/>
            </w:pPr>
            <w:r>
              <w:rPr>
                <w:color w:val="000000"/>
                <w:sz w:val="21"/>
              </w:rPr>
              <w:t>（</w:t>
            </w:r>
            <w:r>
              <w:rPr>
                <w:color w:val="000000"/>
                <w:sz w:val="21"/>
              </w:rPr>
              <w:t>2）驾驶员必须服从采购人的管理，安全、文明驾驶。若采购人对驾驶员服务质量不满意，中标供应商须按照采购人的要求更换合格的驾驶员。</w:t>
            </w:r>
          </w:p>
          <w:p>
            <w:pPr>
              <w:ind w:firstLine="420"/>
              <w:jc w:val="both"/>
            </w:pPr>
            <w:r>
              <w:rPr>
                <w:color w:val="000000"/>
                <w:sz w:val="21"/>
              </w:rPr>
              <w:t>★（</w:t>
            </w:r>
            <w:r>
              <w:rPr>
                <w:color w:val="000000"/>
                <w:sz w:val="21"/>
              </w:rPr>
              <w:t>3</w:t>
            </w:r>
            <w:r>
              <w:rPr>
                <w:color w:val="000000"/>
                <w:sz w:val="21"/>
              </w:rPr>
              <w:t>）驾驶员在服务过程中应携带驾驶执照，并保持通讯畅通，服从采购人调遣，按要求时间提前到达指定地点等候。驾驶员应做好车辆的日常检查、卫生保洁工作，遵守交通规则，不随意停车、停靠、接听电话，不吸烟，使用礼貌用语。（须在投标文件中提供承诺函）</w:t>
            </w:r>
          </w:p>
          <w:p>
            <w:pPr>
              <w:ind w:firstLine="420"/>
              <w:jc w:val="both"/>
            </w:pPr>
            <w:r>
              <w:rPr>
                <w:color w:val="000000"/>
                <w:sz w:val="21"/>
              </w:rPr>
              <w:t>（三）车况方面要求</w:t>
            </w:r>
          </w:p>
          <w:p>
            <w:pPr>
              <w:ind w:firstLine="420"/>
              <w:jc w:val="both"/>
            </w:pPr>
            <w:r>
              <w:rPr>
                <w:color w:val="000000"/>
                <w:sz w:val="21"/>
              </w:rPr>
              <w:t>（</w:t>
            </w:r>
            <w:r>
              <w:rPr>
                <w:color w:val="000000"/>
                <w:sz w:val="21"/>
              </w:rPr>
              <w:t>1）中标供应商提供的租赁车辆每辆车总行驶里程15万公里以下,提供保险、行驶证及机动车登记证书复印件。所提供租赁车辆需经采购人检查认可，本项目服务期内不得无故更换，确因特殊情况需要更换的，需提前5个工作日向采购人递交申请，并征得采购人同意。</w:t>
            </w:r>
          </w:p>
          <w:p>
            <w:pPr>
              <w:ind w:firstLine="420"/>
              <w:jc w:val="both"/>
            </w:pPr>
            <w:r>
              <w:rPr>
                <w:color w:val="000000"/>
                <w:sz w:val="21"/>
              </w:rPr>
              <w:t>（</w:t>
            </w:r>
            <w:r>
              <w:rPr>
                <w:color w:val="000000"/>
                <w:sz w:val="21"/>
              </w:rPr>
              <w:t>2）中标供应商提供的车辆必须符合国家规定的安全、环保等要求，必须配置合格的安全带、安全锤等安全装置。</w:t>
            </w:r>
          </w:p>
          <w:p>
            <w:pPr>
              <w:ind w:firstLine="420"/>
              <w:jc w:val="both"/>
            </w:pPr>
            <w:r>
              <w:rPr>
                <w:color w:val="000000"/>
                <w:sz w:val="21"/>
              </w:rPr>
              <w:t>（</w:t>
            </w:r>
            <w:r>
              <w:rPr>
                <w:color w:val="000000"/>
                <w:sz w:val="21"/>
              </w:rPr>
              <w:t>3）中标供应商的车辆车容要求“三洁”--车头清洁、车身光洁、车厢和座位干净整洁，车内无异味（含“新车味”）、无垃圾、无蟑螂昆虫。</w:t>
            </w:r>
          </w:p>
          <w:p>
            <w:pPr>
              <w:ind w:firstLine="420"/>
              <w:jc w:val="both"/>
            </w:pPr>
            <w:r>
              <w:rPr>
                <w:color w:val="000000"/>
                <w:sz w:val="21"/>
              </w:rPr>
              <w:t>（四）保险方面</w:t>
            </w:r>
          </w:p>
          <w:p>
            <w:pPr>
              <w:ind w:firstLine="420"/>
              <w:jc w:val="both"/>
            </w:pPr>
            <w:r>
              <w:rPr>
                <w:color w:val="000000"/>
                <w:sz w:val="21"/>
              </w:rPr>
              <w:t>（</w:t>
            </w:r>
            <w:r>
              <w:rPr>
                <w:color w:val="000000"/>
                <w:sz w:val="21"/>
              </w:rPr>
              <w:t>1）中标供应商负责向保险公司购买交强险、车辆损失险、第三者责任险、司机责任险/车上责任险等。</w:t>
            </w:r>
          </w:p>
          <w:p>
            <w:pPr>
              <w:ind w:firstLine="420"/>
              <w:jc w:val="both"/>
            </w:pPr>
            <w:r>
              <w:rPr>
                <w:color w:val="000000"/>
                <w:sz w:val="21"/>
              </w:rPr>
              <w:t>（</w:t>
            </w:r>
            <w:r>
              <w:rPr>
                <w:color w:val="000000"/>
                <w:sz w:val="21"/>
              </w:rPr>
              <w:t>2）上述保险、不计免赔服务仅免除保险范围内的有关损失，但不免除如因采购人违法违规、事故等导致车辆被扣而产生的停运损失。</w:t>
            </w:r>
          </w:p>
          <w:p>
            <w:pPr>
              <w:ind w:firstLine="420"/>
              <w:jc w:val="both"/>
            </w:pPr>
            <w:r>
              <w:rPr>
                <w:color w:val="000000"/>
                <w:sz w:val="21"/>
              </w:rPr>
              <w:t>（</w:t>
            </w:r>
            <w:r>
              <w:rPr>
                <w:color w:val="000000"/>
                <w:sz w:val="21"/>
              </w:rPr>
              <w:t>3）如发生车损或其它保险事故，中标供应商负责承担保险公司免赔额及保险责任内的全部损失，采购人负责保险公司免赔额及保险责任外的损失，中标供应商有负责处理事故和办理保险索赔的义务。</w:t>
            </w:r>
          </w:p>
          <w:p>
            <w:pPr>
              <w:ind w:firstLine="420"/>
              <w:jc w:val="both"/>
            </w:pPr>
            <w:r>
              <w:rPr>
                <w:color w:val="000000"/>
                <w:sz w:val="21"/>
              </w:rPr>
              <w:t>（</w:t>
            </w:r>
            <w:r>
              <w:rPr>
                <w:color w:val="000000"/>
                <w:sz w:val="21"/>
              </w:rPr>
              <w:t>4）如发生交通事故或其它保险事故，采购人应通知中标供应商处理。</w:t>
            </w:r>
          </w:p>
          <w:p>
            <w:pPr>
              <w:ind w:firstLine="420"/>
              <w:jc w:val="both"/>
            </w:pPr>
            <w:r>
              <w:rPr>
                <w:color w:val="000000"/>
                <w:sz w:val="21"/>
              </w:rPr>
              <w:t>（</w:t>
            </w:r>
            <w:r>
              <w:rPr>
                <w:color w:val="000000"/>
                <w:sz w:val="21"/>
              </w:rPr>
              <w:t>5）如发生车损需维修，由中标供应商负责对受损的车辆进行维修，采购人不能自行维修或自行选择维修厂维修。</w:t>
            </w:r>
          </w:p>
          <w:p>
            <w:pPr>
              <w:ind w:firstLine="420"/>
              <w:jc w:val="both"/>
            </w:pPr>
            <w:r>
              <w:rPr>
                <w:color w:val="000000"/>
                <w:sz w:val="21"/>
              </w:rPr>
              <w:t>（五）保养维修</w:t>
            </w:r>
          </w:p>
          <w:p>
            <w:pPr>
              <w:ind w:firstLine="420"/>
              <w:jc w:val="both"/>
            </w:pPr>
            <w:r>
              <w:rPr>
                <w:color w:val="000000"/>
                <w:sz w:val="21"/>
              </w:rPr>
              <w:t>（</w:t>
            </w:r>
            <w:r>
              <w:rPr>
                <w:color w:val="000000"/>
                <w:sz w:val="21"/>
              </w:rPr>
              <w:t>1）定期保养：在本采购包服务期内，车辆需在有资质的修理厂定期保养、正常损耗件维修及更换（包括雨刮片、启动电池、制动片等），费用由中标供应商负责（已包含在本次投标报价当中，采购人不再另行支付）；</w:t>
            </w:r>
            <w:r>
              <w:rPr>
                <w:sz w:val="21"/>
              </w:rPr>
              <w:t>如因采购人原因导致</w:t>
            </w:r>
            <w:r>
              <w:rPr>
                <w:color w:val="000000"/>
                <w:sz w:val="21"/>
              </w:rPr>
              <w:t>轮胎损耗（除正常行驶磨平外）的，三次（含）以内由中标供应商负责维修（维修费用应包含在本次投标报价当众，），三次（不含）以上由采购人自行负责维修，并承担相关费用，如因采购人操作不当或违规驾驶导致车辆损坏且不在保险理赔范围的需由采购人自行负责维修。</w:t>
            </w:r>
          </w:p>
          <w:p>
            <w:pPr>
              <w:ind w:firstLine="420"/>
              <w:jc w:val="both"/>
            </w:pPr>
            <w:r>
              <w:rPr>
                <w:color w:val="000000"/>
                <w:sz w:val="21"/>
              </w:rPr>
              <w:t>（</w:t>
            </w:r>
            <w:r>
              <w:rPr>
                <w:color w:val="000000"/>
                <w:sz w:val="21"/>
              </w:rPr>
              <w:t>2）如车辆发生故障或异常，采购人应通知中标供应商，由中标供应商负责处理。故障车辆须到中标供应商指定或认可的维修厂维修，采购人不能自行维修或自行选择维修厂维修。</w:t>
            </w:r>
          </w:p>
          <w:p>
            <w:pPr>
              <w:ind w:firstLine="420"/>
              <w:jc w:val="both"/>
            </w:pPr>
            <w:r>
              <w:rPr>
                <w:color w:val="000000"/>
                <w:sz w:val="21"/>
              </w:rPr>
              <w:t>（</w:t>
            </w:r>
            <w:r>
              <w:rPr>
                <w:color w:val="000000"/>
                <w:sz w:val="21"/>
              </w:rPr>
              <w:t>3）中标供应商对每一租赁车辆只提供一套钥匙给采购人，如钥匙遗失，采购人应承担整个车锁系统（包括车门锁、点火开关、旅行箱盖锁）的更换费用。</w:t>
            </w:r>
          </w:p>
          <w:p>
            <w:pPr>
              <w:jc w:val="both"/>
            </w:pPr>
            <w:r>
              <w:rPr>
                <w:b/>
                <w:sz w:val="21"/>
              </w:rPr>
              <w:t>三、其他要求</w:t>
            </w:r>
          </w:p>
          <w:p>
            <w:pPr>
              <w:ind w:firstLine="420"/>
              <w:jc w:val="both"/>
            </w:pPr>
            <w:r>
              <w:rPr>
                <w:color w:val="000000"/>
                <w:sz w:val="21"/>
              </w:rPr>
              <w:t>中标供应商与采购人签订合同后，应与采购人配合做好检查验证工作，确保车辆符合运营条件和采购人的要求。</w:t>
            </w:r>
          </w:p>
          <w:p>
            <w:pPr>
              <w:jc w:val="left"/>
            </w:pPr>
            <w:r>
              <w:rPr>
                <w:b/>
                <w:sz w:val="21"/>
              </w:rPr>
              <w:t>四、应急响应</w:t>
            </w:r>
          </w:p>
          <w:p>
            <w:pPr>
              <w:ind w:firstLine="420"/>
              <w:jc w:val="both"/>
            </w:pPr>
            <w:r>
              <w:rPr>
                <w:color w:val="000000"/>
                <w:sz w:val="21"/>
              </w:rPr>
              <w:t>如发生意外事故（交通事故、机件故障等），中标供应商收到报告后应立即采取应急措施（报警、报险或叫救护车等）并在</w:t>
            </w:r>
            <w:r>
              <w:rPr>
                <w:color w:val="000000"/>
                <w:sz w:val="21"/>
              </w:rPr>
              <w:t>30分钟内通报采购人，接报后市内1小时、省内4小时派人员赴现场负责处理事故相关事宜及安排车辆接送随车人员。中标供应商能满足采购人用车需求，提供（维修、抛锚、盗抢应急等）替代用车服务。</w:t>
            </w:r>
          </w:p>
          <w:p>
            <w:pPr>
              <w:jc w:val="left"/>
            </w:pPr>
            <w:r>
              <w:rPr>
                <w:b/>
                <w:sz w:val="21"/>
              </w:rPr>
              <w:t>五、公司管理规章制度</w:t>
            </w:r>
          </w:p>
          <w:p>
            <w:pPr>
              <w:ind w:firstLine="420"/>
              <w:jc w:val="both"/>
            </w:pPr>
            <w:r>
              <w:rPr>
                <w:color w:val="000000"/>
                <w:sz w:val="21"/>
              </w:rPr>
              <w:t>中标供应商应建立明确、详细、完善的公司管理规章制度，包括但不限于以下内容：人员管理、安全经营、车辆安全、人员培训等，可以达到安全经营的管理需求。中标供应商应针对本项目实际情况，描述公司管理规章制度与本项目需求的针对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广州市增城区石滩镇人民政府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采购包1：优惠率</w:t>
            </w:r>
          </w:p>
          <w:p/>
          <w:p>
            <w:r>
              <w:rPr/>
              <w:t>采购包2：优惠率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兼投不兼中：本项目可兼投但不可兼中。本项目评审按照采购包顺序（采购包1 →采购包2）依次进行评审。投标人可兼投多个采购包但只能成为一个采购包的中标供应商。如投标人已经成为前面采购包的第一中标候选人，其投标文件不参与后续采购包的详细评审。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采购包1的招标代理服务费收费标准以采购预算金额为计算基数参照国家计委颁布的（计价格【2002】1980号）及国家发改委颁布的（发改办价格【2003】857号）收费标准的80%（即下浮20%）进行计算收取；采购包2的招标代理服务费收费标准以采购预算金额为计算基数参照国家计委颁布的（计价格【2002】1980号）及国家发改委颁布的（发改办价格【2003】857号）收取。 招标代理服务费由各采购包中标供应商在领取《中标通知书》前一次性向采购代理机构交纳以下金额：采购包1：￥20,960.00元（大写：人民币贰万零玖佰陆拾元整）；采购包2：￥9,000.00元（大写：人民币玖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张智钊、李亚娟</w:t>
      </w:r>
    </w:p>
    <w:p>
      <w:pPr>
        <w:ind w:firstLine="480"/>
      </w:pPr>
      <w:r>
        <w:rPr/>
        <w:t>电话：</w:t>
      </w:r>
      <w:r>
        <w:rPr/>
        <w:t>020-37656571、020-32162326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采购包1(公务保障用车)：综合评分法,是指投标文件满足招标文件全部实质性要求，且按照评审因素的量化指标评审得分最高的投标人为中标候选人的评标方法。（最低报价不是中标的唯一依据。）</w:t>
      </w:r>
    </w:p>
    <w:p/>
    <w:p>
      <w:r>
        <w:rPr/>
        <w:t>采购包2(干部职工上下班接送用车及专项行动临时保障用车)：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采购包2（干部职工上下班接送用车及专项行动临时保障用车）：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特定资格要求（已获取本项目采购文件）</w:t>
            </w:r>
          </w:p>
        </w:tc>
      </w:tr>
      <w:tr>
        <w:tc>
          <w:tcPr>
            <w:tcW w:type="dxa" w:w="890"/>
          </w:tcPr>
          <w:p>
            <w:r>
              <w:rPr/>
              <w:t>9</w:t>
            </w:r>
          </w:p>
        </w:tc>
        <w:tc>
          <w:tcPr>
            <w:tcW w:type="dxa" w:w="3178"/>
          </w:tcPr>
          <w:p>
            <w:r>
              <w:rPr/>
              <w:t>小微型客车租赁企业备案</w:t>
            </w:r>
          </w:p>
        </w:tc>
        <w:tc>
          <w:tcPr>
            <w:tcW w:type="dxa" w:w="4238"/>
          </w:tcPr>
          <w:p>
            <w:r>
              <w:rPr/>
              <w:t>投标人应当已在交通运输部门完成小微型客车租赁企业备案的单位。（提供由交通运输部门出具有效的小微型客车租赁企业备案证明复印件）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r>
        <w:rPr/>
        <w:t>采购包2（干部职工上下班接送用车及专项行动临时保障用车）：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具有交通行政主管部门核发有效的《道路运输经营许可证》。</w:t>
            </w:r>
          </w:p>
        </w:tc>
      </w:tr>
      <w:tr>
        <w:tc>
          <w:tcPr>
            <w:tcW w:type="dxa" w:w="890"/>
          </w:tcPr>
          <w:p>
            <w:r>
              <w:rPr/>
              <w:t>9</w:t>
            </w:r>
          </w:p>
        </w:tc>
        <w:tc>
          <w:tcPr>
            <w:tcW w:type="dxa" w:w="3178"/>
          </w:tcPr>
          <w:p>
            <w:r>
              <w:rPr/>
              <w:t>特定资格要求（已获取本项目采购文件）</w:t>
            </w:r>
          </w:p>
        </w:tc>
        <w:tc>
          <w:tcPr>
            <w:tcW w:type="dxa" w:w="4238"/>
          </w:tcPr>
          <w:p>
            <w:r>
              <w:rPr/>
              <w:t>特定资格要求（已获取本项目采购文件）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采购包2（干部职工上下班接送用车及专项行动临时保障用车）：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采购包1(公务保障用车):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(6.0分)</w:t>
            </w:r>
          </w:p>
        </w:tc>
        <w:tc>
          <w:tcPr>
            <w:tcW w:type="dxa" w:w="5076"/>
          </w:tcPr>
          <w:p>
            <w:pPr>
              <w:jc w:val="left"/>
            </w:pPr>
            <w:r>
              <w:rPr/>
              <w:t>一般技术参数条款（“技术标准与要求”中除“★”及“▲”之外的条款） 每有一项（共6项）满足要求得1分，最高6分。 注：采购包一共六项，如“一、基本要求”为一项，“二、服务要求”为一项，以此类推。</w:t>
            </w:r>
          </w:p>
        </w:tc>
      </w:tr>
      <w:tr>
        <w:tc>
          <w:tcPr>
            <w:tcW w:type="dxa" w:w="922"/>
            <w:gridSpan w:val="2"/>
            <w:vMerge/>
          </w:tcPr>
          <w:p/>
        </w:tc>
        <w:tc>
          <w:tcPr>
            <w:tcW w:type="dxa" w:w="2307"/>
          </w:tcPr>
          <w:p>
            <w:pPr>
              <w:jc w:val="left"/>
            </w:pPr>
            <w:r>
              <w:rPr/>
              <w:t>总体服务方案（一） (2.0分)</w:t>
            </w:r>
          </w:p>
        </w:tc>
        <w:tc>
          <w:tcPr>
            <w:tcW w:type="dxa" w:w="5076"/>
          </w:tcPr>
          <w:p>
            <w:pPr>
              <w:jc w:val="left"/>
            </w:pPr>
            <w:r>
              <w:rPr/>
              <w:t>评标委员会根据投标人提供的总体服务方案（一）进行综合评审，方案应包括（投标文件中方案标题应以下列方案名称命名）： （1）车辆维修； （2）服务质量； （3）日常工作管理； （4）车辆维护； 提供全部内容得2分，每缺1项扣0.5分。</w:t>
            </w:r>
          </w:p>
        </w:tc>
      </w:tr>
      <w:tr>
        <w:tc>
          <w:tcPr>
            <w:tcW w:type="dxa" w:w="922"/>
            <w:gridSpan w:val="2"/>
            <w:vMerge/>
          </w:tcPr>
          <w:p/>
        </w:tc>
        <w:tc>
          <w:tcPr>
            <w:tcW w:type="dxa" w:w="2307"/>
          </w:tcPr>
          <w:p>
            <w:pPr>
              <w:jc w:val="left"/>
            </w:pPr>
            <w:r>
              <w:rPr/>
              <w:t>总体服务方案（二） (15.0分)</w:t>
            </w:r>
          </w:p>
        </w:tc>
        <w:tc>
          <w:tcPr>
            <w:tcW w:type="dxa" w:w="5076"/>
          </w:tcPr>
          <w:p>
            <w:pPr>
              <w:jc w:val="left"/>
            </w:pPr>
            <w:r>
              <w:rPr/>
              <w:t>评标委员会根据投标人提供总体服务方案（一）的详细内容进行综合评审： （1）总体服务方案对需求充分响应，对需求全面剖析，针对重点、难点、要点需求全面理解，分别提出具备专业性、实用性的实施方案并有合理可行保障措施，有效保障本项目实施，有利于实现服务效果，得15分； （2）总体服务方案对需求充分响应，对需求全面剖析，针对全部重点、难点、要点需求进行理解，提出部分具备专业性、实用性的实施方案或者部分合理可行保障措施，基本保障本项目服务实施，基本满足服务效果，得10分； （3）总体服务方案对需求充分响应，对部分需求进行剖析，针对部分重点、难点、要点需求进行理解，提出部分具备专业性、实用性的实施方案或者部分合理可行保障措施，部分保障本项目服务实施，部分满足服务效果，得5分； （4）总体服务方案对需求响应不充分，没有对需求进行理解进行剖析，没有提出体现专业性或针对性的措施，或者措施方案不合理不可行的，无法保障本项目服务实施，达不到服务效果，得1分；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tcPr>
          <w:p/>
        </w:tc>
        <w:tc>
          <w:tcPr>
            <w:tcW w:type="dxa" w:w="2307"/>
          </w:tcPr>
          <w:p>
            <w:pPr>
              <w:jc w:val="left"/>
            </w:pPr>
            <w:r>
              <w:rPr/>
              <w:t>应急响应方案（一） (1.0分)</w:t>
            </w:r>
          </w:p>
        </w:tc>
        <w:tc>
          <w:tcPr>
            <w:tcW w:type="dxa" w:w="5076"/>
          </w:tcPr>
          <w:p>
            <w:pPr>
              <w:jc w:val="left"/>
            </w:pPr>
            <w:r>
              <w:rPr/>
              <w:t>评标委员会根据投标人提供的应急响应方案（一）进行综合评审，方案应包括（投标文件中方案标题应以下列方案名称命名）： （1）应急响应。 提供全部内容得1分，每缺1项扣1分。</w:t>
            </w:r>
          </w:p>
        </w:tc>
      </w:tr>
      <w:tr>
        <w:tc>
          <w:tcPr>
            <w:tcW w:type="dxa" w:w="922"/>
            <w:gridSpan w:val="2"/>
            <w:vMerge/>
          </w:tcPr>
          <w:p/>
        </w:tc>
        <w:tc>
          <w:tcPr>
            <w:tcW w:type="dxa" w:w="2307"/>
          </w:tcPr>
          <w:p>
            <w:pPr>
              <w:jc w:val="left"/>
            </w:pPr>
            <w:r>
              <w:rPr/>
              <w:t>应急响应方案（二） (15.0分)</w:t>
            </w:r>
          </w:p>
        </w:tc>
        <w:tc>
          <w:tcPr>
            <w:tcW w:type="dxa" w:w="5076"/>
          </w:tcPr>
          <w:p>
            <w:pPr>
              <w:jc w:val="left"/>
            </w:pPr>
            <w:r>
              <w:rPr/>
              <w:t>评标委员会根据投标人提供应急响应方案（一）的详细内容进行综合评审： （1）应急响应方案对需求充分响应，对需求全面剖析，针对重点、难点、要点需求全面理解，分别提出具备专业性、实用性的实施方案并有合理可行保障措施，有效保障本项目实施，有利于实现服务效果，得15分； （2）应急响应方案对需求充分响应，对需求全面剖析，针对全部重点、难点、要点需求进行理解，提出部分具备专业性、实用性的实施方案或者部分合理可行保障措施，基本保障本项目服务实施，基本满足服务效果，得10分； （3）应急响应方案对需求充分响应，对部分需求进行剖析，针对部分重点、难点、要点需求进行理解，提出部分具备专业性、实用性的实施方案或者部分合理可行保障措施，部分保障本项目服务实施，部分满足服务效果，得5分； （4）应急响应方案对需求响应不充分，没有对需求进行理解进行剖析，没有提出体现专业性或针对性的措施，或者措施方案不合理不可行的，无法保障本项目服务实施，达不到服务效果，得1分；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tcPr>
          <w:p/>
        </w:tc>
        <w:tc>
          <w:tcPr>
            <w:tcW w:type="dxa" w:w="2307"/>
          </w:tcPr>
          <w:p>
            <w:pPr>
              <w:jc w:val="left"/>
            </w:pPr>
            <w:r>
              <w:rPr/>
              <w:t>公司管理规章制度（一） (1.0分)</w:t>
            </w:r>
          </w:p>
        </w:tc>
        <w:tc>
          <w:tcPr>
            <w:tcW w:type="dxa" w:w="5076"/>
          </w:tcPr>
          <w:p>
            <w:pPr>
              <w:jc w:val="left"/>
            </w:pPr>
            <w:r>
              <w:rPr/>
              <w:t>评标委员会根据投标人提供的公司管理规章制度（一）进行综合评审，方案应包括（投标文件中方案标题应以下列方案名称命名）： （1）公司管理规章制度。 提供全部内容得1分，每缺1项扣1分。</w:t>
            </w:r>
          </w:p>
        </w:tc>
      </w:tr>
      <w:tr>
        <w:tc>
          <w:tcPr>
            <w:tcW w:type="dxa" w:w="922"/>
            <w:gridSpan w:val="2"/>
            <w:vMerge/>
          </w:tcPr>
          <w:p/>
        </w:tc>
        <w:tc>
          <w:tcPr>
            <w:tcW w:type="dxa" w:w="2307"/>
          </w:tcPr>
          <w:p>
            <w:pPr>
              <w:jc w:val="left"/>
            </w:pPr>
            <w:r>
              <w:rPr/>
              <w:t>公司管理规章制度（二） (15.0分)</w:t>
            </w:r>
          </w:p>
        </w:tc>
        <w:tc>
          <w:tcPr>
            <w:tcW w:type="dxa" w:w="5076"/>
          </w:tcPr>
          <w:p>
            <w:pPr>
              <w:jc w:val="left"/>
            </w:pPr>
            <w:r>
              <w:rPr/>
              <w:t>评标委员会根据投标人提供公司管理规章制度（一）的详细内容进行综合评审： （1）公司管理规章制度对需求充分响应，对需求全面剖析，针对重点、难点、要点需求全面理解，分别提出具备专业性、实用性的实施方案并有合理可行保障措施，有效保障本项目实施，有利于实现服务效果，得15分； （2）公司管理规章制度对需求充分响应，对需求全面剖析，针对全部重点、难点、要点需求进行理解，提出部分具备专业性、实用性的实施方案或者部分合理可行保障措施，基本保障本项目服务实施，基本满足服务效果，得10分； （3）公司管理规章制度对需求充分响应，对部分需求进行剖析，针对部分重点、难点、要点需求进行理解，提出部分具备专业性、实用性的实施方案或者部分合理可行保障措施，部分保障本项目服务实施，部分满足服务效果，得5分； （4）公司管理规章制度对需求响应不充分，没有对需求进行理解进行剖析，没有提出体现专业性或针对性的措施，或者措施方案不合理不可行的，无法保障本项目服务实施，达不到服务效果，得1分；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val="restart"/>
          </w:tcPr>
          <w:p>
            <w:pPr>
              <w:jc w:val="center"/>
            </w:pPr>
            <w:r>
              <w:rPr/>
              <w:t>商务部分</w:t>
            </w:r>
          </w:p>
        </w:tc>
        <w:tc>
          <w:tcPr>
            <w:tcW w:type="dxa" w:w="2307"/>
          </w:tcPr>
          <w:p>
            <w:pPr>
              <w:jc w:val="left"/>
            </w:pPr>
            <w:r>
              <w:rPr/>
              <w:t>同类项目业绩 (7.0分)</w:t>
            </w:r>
          </w:p>
        </w:tc>
        <w:tc>
          <w:tcPr>
            <w:tcW w:type="dxa" w:w="5076"/>
          </w:tcPr>
          <w:p>
            <w:pPr>
              <w:jc w:val="left"/>
            </w:pPr>
            <w:r>
              <w:rPr/>
              <w:t>投标人每提供一份2020年1月1月（以合同签订日期为准）以来完成的或在服务期内的同类项目业绩得1分，满分7分。 注：同类业绩指车辆租赁项目，需要提供合同关键页（合同关键页必须有用户单位名称、合同项目名称、合同标的主要采购内容、签订合同双方的落款盖章、合同签订日期）复印件，以合同的签订日期为准，不提供或评标委员会无法认定的不得分。</w:t>
            </w:r>
          </w:p>
        </w:tc>
      </w:tr>
      <w:tr>
        <w:tc>
          <w:tcPr>
            <w:tcW w:type="dxa" w:w="922"/>
            <w:gridSpan w:val="2"/>
            <w:vMerge/>
          </w:tcPr>
          <w:p/>
        </w:tc>
        <w:tc>
          <w:tcPr>
            <w:tcW w:type="dxa" w:w="2307"/>
          </w:tcPr>
          <w:p>
            <w:pPr>
              <w:jc w:val="left"/>
            </w:pPr>
            <w:r>
              <w:rPr/>
              <w:t>客户评价 (7.0分)</w:t>
            </w:r>
          </w:p>
        </w:tc>
        <w:tc>
          <w:tcPr>
            <w:tcW w:type="dxa" w:w="5076"/>
          </w:tcPr>
          <w:p>
            <w:pPr>
              <w:jc w:val="left"/>
            </w:pPr>
            <w:r>
              <w:rPr/>
              <w:t>投标人提供“同类项目业绩”对应的客户评价，客户评价须为良好或以上（含同等意义的评价，如85分或以上、满意或以上等），每提供1个得1分，最高得7分。 注：须提供证明材料复印件，一客户多份评价不重复计分，未提交证明材料或者评标委员会无法认定的不得分。</w:t>
            </w:r>
          </w:p>
        </w:tc>
      </w:tr>
      <w:tr>
        <w:tc>
          <w:tcPr>
            <w:tcW w:type="dxa" w:w="922"/>
            <w:gridSpan w:val="2"/>
            <w:vMerge/>
          </w:tcPr>
          <w:p/>
        </w:tc>
        <w:tc>
          <w:tcPr>
            <w:tcW w:type="dxa" w:w="2307"/>
          </w:tcPr>
          <w:p>
            <w:pPr>
              <w:jc w:val="left"/>
            </w:pPr>
            <w:r>
              <w:rPr/>
              <w:t>维修点情况 (6.0分)</w:t>
            </w:r>
          </w:p>
        </w:tc>
        <w:tc>
          <w:tcPr>
            <w:tcW w:type="dxa" w:w="5076"/>
          </w:tcPr>
          <w:p>
            <w:pPr>
              <w:jc w:val="left"/>
            </w:pPr>
            <w:r>
              <w:rPr/>
              <w:t>投标人有固定的维修地点，并且能提供维修点图片和营业执照（或合作协议、产权证明、租赁协议）复印件的或承诺中标后（30天内提供）固定的维修地点，得6分；无或其他不得分。 注：如承诺的需提供承诺函，否则不得分。</w:t>
            </w:r>
          </w:p>
        </w:tc>
      </w:tr>
      <w:tr>
        <w:tc>
          <w:tcPr>
            <w:tcW w:type="dxa" w:w="922"/>
            <w:gridSpan w:val="2"/>
            <w:vMerge/>
          </w:tcPr>
          <w:p/>
        </w:tc>
        <w:tc>
          <w:tcPr>
            <w:tcW w:type="dxa" w:w="2307"/>
          </w:tcPr>
          <w:p>
            <w:pPr>
              <w:jc w:val="left"/>
            </w:pPr>
            <w:r>
              <w:rPr/>
              <w:t>紧急用车响应时间 (10.0分)</w:t>
            </w:r>
          </w:p>
        </w:tc>
        <w:tc>
          <w:tcPr>
            <w:tcW w:type="dxa" w:w="5076"/>
          </w:tcPr>
          <w:p>
            <w:pPr>
              <w:jc w:val="left"/>
            </w:pPr>
            <w:r>
              <w:rPr/>
              <w:t>根据投标人针对本项目的紧急用车响应时间进行评分： 1.当采购人出现紧急的用车需求时，投标人响应时间≤40分钟，得10分； 2.当采购人出现紧急的用车需求时，40分钟＜投标人响应时间≤50分钟，得7分； 3.当采购人出现紧急的用车需求时，50分钟＜投标人响应时间≤60分钟，得4分； 4.其他情况或不提供不得分。 注：须提供承诺函，不提供或评标委员会无法认定的不得分。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各投标人的评标价=1-投标优惠率，满足招标文件要求且评标价最低的为评标基准价。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t>采购包2(干部职工上下班接送用车及专项行动临时保障用车):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一般技术参数条款（“技术标准与要求”中除“★”及“▲”之外的条款） 每有一项（共5项）满足要求得1分，最高5分。 注：采购包二共五项，如“一、租赁要求”为一项，“二、服务要求”为一项，以此类推。</w:t>
            </w:r>
          </w:p>
        </w:tc>
      </w:tr>
      <w:tr>
        <w:tc>
          <w:tcPr>
            <w:tcW w:type="dxa" w:w="922"/>
            <w:gridSpan w:val="2"/>
            <w:vMerge/>
          </w:tcPr>
          <w:p/>
        </w:tc>
        <w:tc>
          <w:tcPr>
            <w:tcW w:type="dxa" w:w="2307"/>
          </w:tcPr>
          <w:p>
            <w:pPr>
              <w:jc w:val="left"/>
            </w:pPr>
            <w:r>
              <w:rPr/>
              <w:t>总体服务方案（一） (2.0分)</w:t>
            </w:r>
          </w:p>
        </w:tc>
        <w:tc>
          <w:tcPr>
            <w:tcW w:type="dxa" w:w="5076"/>
          </w:tcPr>
          <w:p>
            <w:pPr>
              <w:jc w:val="left"/>
            </w:pPr>
            <w:r>
              <w:rPr/>
              <w:t>评标委员会根据投标人提供的总体服务方案（一）进行综合评审，方案应包括（投标文件中方案标题应以下列方案名称命名）： （1）车辆维修； （2）服务质量； （3）日常工作管理； （4）车辆维护； 提供全部内容得2分，每缺1项扣0.5分。</w:t>
            </w:r>
          </w:p>
        </w:tc>
      </w:tr>
      <w:tr>
        <w:tc>
          <w:tcPr>
            <w:tcW w:type="dxa" w:w="922"/>
            <w:gridSpan w:val="2"/>
            <w:vMerge/>
          </w:tcPr>
          <w:p/>
        </w:tc>
        <w:tc>
          <w:tcPr>
            <w:tcW w:type="dxa" w:w="2307"/>
          </w:tcPr>
          <w:p>
            <w:pPr>
              <w:jc w:val="left"/>
            </w:pPr>
            <w:r>
              <w:rPr/>
              <w:t>总体服务方案（二） (15.0分)</w:t>
            </w:r>
          </w:p>
        </w:tc>
        <w:tc>
          <w:tcPr>
            <w:tcW w:type="dxa" w:w="5076"/>
          </w:tcPr>
          <w:p>
            <w:pPr>
              <w:jc w:val="left"/>
            </w:pPr>
            <w:r>
              <w:rPr/>
              <w:t>评标委员会根据投标人提供总体服务方案（一）的详细内容进行综合评审： （1）总体服务方案对需求充分响应，对需求全面剖析，针对重点、难点、要点需求全面理解，分别提出具备专业性、实用性的实施方案并有合理可行保障措施，有效保障本项目实施，有利于实现服务效果，得15分； （2）总体服务方案对需求充分响应，对需求全面剖析，针对全部重点、难点、要点需求进行理解，提出部分具备专业性、实用性的实施方案或者部分合理可行保障措施，基本保障本项目服务实施，基本满足服务效果，得10分； （3）总体服务方案对需求充分响应，对部分需求进行剖析，针对部分重点、难点、要点需求进行理解，提出部分具备专业性、实用性的实施方案或者部分合理可行保障措施，部分保障本项目服务实施，部分满足服务效果，得5分； （4）总体服务方案对需求响应不充分，没有对需求进行理解进行剖析，没有提出体现专业性或针对性的措施，或者措施方案不合理不可行的，无法保障本项目服务实施，达不到服务效果，得1分；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tcPr>
          <w:p/>
        </w:tc>
        <w:tc>
          <w:tcPr>
            <w:tcW w:type="dxa" w:w="2307"/>
          </w:tcPr>
          <w:p>
            <w:pPr>
              <w:jc w:val="left"/>
            </w:pPr>
            <w:r>
              <w:rPr/>
              <w:t>应急响应方案（一） (2.0分)</w:t>
            </w:r>
          </w:p>
        </w:tc>
        <w:tc>
          <w:tcPr>
            <w:tcW w:type="dxa" w:w="5076"/>
          </w:tcPr>
          <w:p>
            <w:pPr>
              <w:jc w:val="left"/>
            </w:pPr>
            <w:r>
              <w:rPr/>
              <w:t>评标委员会根据投标人提供的应急响应方案（一）进行综合评审，方案应包括（投标文件中方案标题应以下列方案名称命名）： （1）应急响应。 提供全部内容得2分，每缺1项扣2分。</w:t>
            </w:r>
          </w:p>
        </w:tc>
      </w:tr>
      <w:tr>
        <w:tc>
          <w:tcPr>
            <w:tcW w:type="dxa" w:w="922"/>
            <w:gridSpan w:val="2"/>
            <w:vMerge/>
          </w:tcPr>
          <w:p/>
        </w:tc>
        <w:tc>
          <w:tcPr>
            <w:tcW w:type="dxa" w:w="2307"/>
          </w:tcPr>
          <w:p>
            <w:pPr>
              <w:jc w:val="left"/>
            </w:pPr>
            <w:r>
              <w:rPr/>
              <w:t>应急响应方案（二） (15.0分)</w:t>
            </w:r>
          </w:p>
        </w:tc>
        <w:tc>
          <w:tcPr>
            <w:tcW w:type="dxa" w:w="5076"/>
          </w:tcPr>
          <w:p>
            <w:pPr>
              <w:jc w:val="left"/>
            </w:pPr>
            <w:r>
              <w:rPr/>
              <w:t>评标委员会根据投标人提供应急响应方案（一）的详细内容进行综合评审： （1）应急响应方案对需求充分响应，对需求全面剖析，针对重点、难点、要点需求全面理解，分别提出具备专业性、实用性的实施方案并有合理可行保障措施，有效保障本项目实施，有利于实现服务效果，得15分； （2）应急响应方案对需求充分响应，对需求全面剖析，针对全部重点、难点、要点需求进行理解，提出部分具备专业性、实用性的实施方案或者部分合理可行保障措施，基本保障本项目服务实施，基本满足服务效果，得10分； （3）应急响应方案对需求充分响应，对部分需求进行剖析，针对部分重点、难点、要点需求进行理解，提出部分具备专业性、实用性的实施方案或者部分合理可行保障措施，部分保障本项目服务实施，部分满足服务效果，得5分； （4）应急响应方案对需求响应不充分，没有对需求进行理解进行剖析，没有提出体现专业性或针对性的措施，或者措施方案不合理不可行的，无法保障本项目服务实施，达不到服务效果，得1分；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tcPr>
          <w:p/>
        </w:tc>
        <w:tc>
          <w:tcPr>
            <w:tcW w:type="dxa" w:w="2307"/>
          </w:tcPr>
          <w:p>
            <w:pPr>
              <w:jc w:val="left"/>
            </w:pPr>
            <w:r>
              <w:rPr/>
              <w:t>公司管理规章制度（一） (1.0分)</w:t>
            </w:r>
          </w:p>
        </w:tc>
        <w:tc>
          <w:tcPr>
            <w:tcW w:type="dxa" w:w="5076"/>
          </w:tcPr>
          <w:p>
            <w:pPr>
              <w:jc w:val="left"/>
            </w:pPr>
            <w:r>
              <w:rPr/>
              <w:t>评标委员会根据投标人提供的公司管理规章制度（一）进行综合评审，方案应包括（投标文件中方案标题应以下列方案名称命名）： （1）公司管理规章制度。 提供全部内容得1分，每缺1项扣1分。</w:t>
            </w:r>
          </w:p>
        </w:tc>
      </w:tr>
      <w:tr>
        <w:tc>
          <w:tcPr>
            <w:tcW w:type="dxa" w:w="922"/>
            <w:gridSpan w:val="2"/>
            <w:vMerge/>
          </w:tcPr>
          <w:p/>
        </w:tc>
        <w:tc>
          <w:tcPr>
            <w:tcW w:type="dxa" w:w="2307"/>
          </w:tcPr>
          <w:p>
            <w:pPr>
              <w:jc w:val="left"/>
            </w:pPr>
            <w:r>
              <w:rPr/>
              <w:t>公司管理规章制度（二） (15.0分)</w:t>
            </w:r>
          </w:p>
        </w:tc>
        <w:tc>
          <w:tcPr>
            <w:tcW w:type="dxa" w:w="5076"/>
          </w:tcPr>
          <w:p>
            <w:pPr>
              <w:jc w:val="left"/>
            </w:pPr>
            <w:r>
              <w:rPr/>
              <w:t>评标委员会根据投标人提供公司管理规章制度（一）的详细内容进行综合评审： （1）公司管理规章制度对需求充分响应，对需求全面剖析，针对重点、难点、要点需求全面理解，分别提出具备专业性、实用性的实施方案并有合理可行保障措施，有效保障本项目实施，有利于实现服务效果，得15分； （2）公司管理规章制度对需求充分响应，对需求全面剖析，针对全部重点、难点、要点需求进行理解，提出部分具备专业性、实用性的实施方案或者部分合理可行保障措施，基本保障本项目服务实施，基本满足服务效果，得10分； （3）公司管理规章制度对需求充分响应，对部分需求进行剖析，针对部分重点、难点、要点需求进行理解，提出部分具备专业性、实用性的实施方案或者部分合理可行保障措施，部分保障本项目服务实施，部分满足服务效果，得5分； （4）公司管理规章制度对需求响应不充分，没有对需求进行理解进行剖析，没有提出体现专业性或针对性的措施，或者措施方案不合理不可行的，无法保障本项目服务实施，达不到服务效果，得1分；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投标人2020年1月1日至今的同类项目业绩（同类项目指：车辆租赁项目），每提供1个得1.5分，最高得6分。 注：需要提供合同关键页（合同关键页必须有用户单位名称、合同项目名称、合同标的主要采购内容、签订合同双方的落款盖章、合同签订日期）复印件，以合同的签订日期为准，不提供或评标委员会无法认定的不得分。</w:t>
            </w:r>
          </w:p>
        </w:tc>
      </w:tr>
      <w:tr>
        <w:tc>
          <w:tcPr>
            <w:tcW w:type="dxa" w:w="922"/>
            <w:gridSpan w:val="2"/>
            <w:vMerge/>
          </w:tcPr>
          <w:p/>
        </w:tc>
        <w:tc>
          <w:tcPr>
            <w:tcW w:type="dxa" w:w="2307"/>
          </w:tcPr>
          <w:p>
            <w:pPr>
              <w:jc w:val="left"/>
            </w:pPr>
            <w:r>
              <w:rPr/>
              <w:t>驾驶员配备情况 (10.0分)</w:t>
            </w:r>
          </w:p>
        </w:tc>
        <w:tc>
          <w:tcPr>
            <w:tcW w:type="dxa" w:w="5076"/>
          </w:tcPr>
          <w:p>
            <w:pPr>
              <w:jc w:val="left"/>
            </w:pPr>
            <w:r>
              <w:rPr/>
              <w:t>根据投标人拟投入本项目的驾驶员情况进行评审：驾驶员年龄在55周岁以下且具有5年以上驾驶经验（以取得驾驶证时间开始计算）的，每提供一名得1分，满分10分。 注：须提供上述人员机动车驾驶证复印件、从业人员资格证复印件（客运）、从事驾驶车辆工作经验的相关证明材料及投标人与其驾驶员签订的劳动合同复印件并加盖投标人公章。</w:t>
            </w:r>
          </w:p>
        </w:tc>
      </w:tr>
      <w:tr>
        <w:tc>
          <w:tcPr>
            <w:tcW w:type="dxa" w:w="922"/>
            <w:gridSpan w:val="2"/>
            <w:vMerge/>
          </w:tcPr>
          <w:p/>
        </w:tc>
        <w:tc>
          <w:tcPr>
            <w:tcW w:type="dxa" w:w="2307"/>
          </w:tcPr>
          <w:p>
            <w:pPr>
              <w:jc w:val="left"/>
            </w:pPr>
            <w:r>
              <w:rPr/>
              <w:t>紧急用车情况 (10.0分)</w:t>
            </w:r>
          </w:p>
        </w:tc>
        <w:tc>
          <w:tcPr>
            <w:tcW w:type="dxa" w:w="5076"/>
          </w:tcPr>
          <w:p>
            <w:pPr>
              <w:jc w:val="left"/>
            </w:pPr>
            <w:r>
              <w:rPr/>
              <w:t>根据投标人针对本项目的紧急用车响应时间进行评分： 1.当采购人出现紧急的用车需求时，投标人响应时间≤40分钟，得10分； 2.当采购人出现紧急的用车需求时，40分钟＜投标人响应时间≤50分钟，得7分； 3.当采购人出现紧急的用车需求时，50分钟＜投标人响应时间≤60分钟，得4分； 4.其他情况或不提供不得分。 注：须提供承诺函，不提供或评标委员会无法认定的不得分。</w:t>
            </w:r>
          </w:p>
        </w:tc>
      </w:tr>
      <w:tr>
        <w:tc>
          <w:tcPr>
            <w:tcW w:type="dxa" w:w="922"/>
            <w:gridSpan w:val="2"/>
            <w:vMerge/>
          </w:tcPr>
          <w:p/>
        </w:tc>
        <w:tc>
          <w:tcPr>
            <w:tcW w:type="dxa" w:w="2307"/>
          </w:tcPr>
          <w:p>
            <w:pPr>
              <w:jc w:val="left"/>
            </w:pPr>
            <w:r>
              <w:rPr/>
              <w:t>保险保障情况 (4.0分)</w:t>
            </w:r>
          </w:p>
        </w:tc>
        <w:tc>
          <w:tcPr>
            <w:tcW w:type="dxa" w:w="5076"/>
          </w:tcPr>
          <w:p>
            <w:pPr>
              <w:jc w:val="left"/>
            </w:pPr>
            <w:r>
              <w:rPr/>
              <w:t>对投标人购买机动车第三者责任保险的最高赔付额进行评审： （1）机动车第三者责任保险≥200万/辆，得4分； （2）150万/辆≤机动车第三者责任保险＜200万/辆，得2分。 （3）机动车第三者责任保险＜100万/辆，不得分。 注：须提供保险投保单复印件、发票复印件并加盖从投标人公章，保险有效期应覆盖本采购包合同履约期限，如不能覆盖的，投标人还应提交承诺函(格式自拟)，承诺保险到期后将继续购买机动车第三者责任保险，可有效覆盖合同期且保额不低于投标时保险保额。</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各投标人的评标价=1-投标优惠率，满足招标文件要求且评标价最低的为评标基准价。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211"/>
        <w:jc w:val="left"/>
      </w:pPr>
      <w:r>
        <w:rPr>
          <w:b/>
          <w:sz w:val="21"/>
        </w:rPr>
        <w:t>1、合同具体事项须根据采购文件的约定及乙方投标文件的承诺执行；</w:t>
      </w:r>
    </w:p>
    <w:p>
      <w:pPr>
        <w:jc w:val="left"/>
      </w:pPr>
    </w:p>
    <w:p/>
    <w:p/>
    <w:p>
      <w:r>
        <w:rPr/>
        <w:t xml:space="preserve"> </w:t>
      </w:r>
    </w:p>
    <w:p>
      <w:pPr>
        <w:jc w:val="both"/>
      </w:pPr>
      <w:r>
        <w:rPr>
          <w:sz w:val="32"/>
        </w:rPr>
        <w:t>合同编号：</w:t>
      </w:r>
    </w:p>
    <w:p>
      <w:pPr>
        <w:jc w:val="both"/>
      </w:pPr>
      <w:r>
        <w:rPr>
          <w:sz w:val="32"/>
        </w:rPr>
        <w:t xml:space="preserve"> </w:t>
      </w:r>
      <w:r>
        <w:rPr>
          <w:sz w:val="32"/>
        </w:rPr>
        <w:t>合同序号：</w:t>
      </w:r>
    </w:p>
    <w:p>
      <w:pPr>
        <w:jc w:val="left"/>
      </w:pPr>
    </w:p>
    <w:p>
      <w:pPr>
        <w:jc w:val="both"/>
      </w:pPr>
    </w:p>
    <w:p>
      <w:pPr>
        <w:jc w:val="both"/>
      </w:pPr>
    </w:p>
    <w:p>
      <w:pPr>
        <w:jc w:val="center"/>
      </w:pPr>
      <w:r>
        <w:rPr>
          <w:b/>
          <w:sz w:val="52"/>
        </w:rPr>
        <w:t>汽车租赁合同</w:t>
      </w:r>
    </w:p>
    <w:p>
      <w:pPr>
        <w:jc w:val="both"/>
      </w:pPr>
    </w:p>
    <w:p>
      <w:pPr>
        <w:jc w:val="center"/>
      </w:pPr>
    </w:p>
    <w:p>
      <w:pPr>
        <w:jc w:val="center"/>
      </w:pPr>
    </w:p>
    <w:p>
      <w:pPr>
        <w:ind w:firstLine="640"/>
        <w:jc w:val="both"/>
      </w:pPr>
      <w:r>
        <w:rPr>
          <w:sz w:val="32"/>
        </w:rPr>
        <w:t>项</w:t>
      </w:r>
      <w:r>
        <w:rPr>
          <w:sz w:val="21"/>
        </w:rPr>
        <w:t xml:space="preserve"> </w:t>
      </w:r>
      <w:r>
        <w:rPr>
          <w:sz w:val="32"/>
        </w:rPr>
        <w:t>目</w:t>
      </w:r>
      <w:r>
        <w:rPr>
          <w:sz w:val="21"/>
        </w:rPr>
        <w:t xml:space="preserve"> </w:t>
      </w:r>
      <w:r>
        <w:rPr>
          <w:sz w:val="32"/>
        </w:rPr>
        <w:t>名</w:t>
      </w:r>
      <w:r>
        <w:rPr>
          <w:sz w:val="21"/>
        </w:rPr>
        <w:t xml:space="preserve"> </w:t>
      </w:r>
      <w:r>
        <w:rPr>
          <w:sz w:val="32"/>
        </w:rPr>
        <w:t>称：</w:t>
      </w:r>
      <w:r>
        <w:rPr>
          <w:sz w:val="21"/>
          <w:u w:val="single"/>
        </w:rPr>
        <w:t xml:space="preserve">                         </w:t>
      </w:r>
    </w:p>
    <w:p>
      <w:pPr>
        <w:ind w:firstLine="640"/>
        <w:jc w:val="both"/>
      </w:pPr>
      <w:r>
        <w:rPr>
          <w:sz w:val="32"/>
        </w:rPr>
        <w:t>甲方（承租人）：</w:t>
      </w:r>
      <w:r>
        <w:rPr>
          <w:sz w:val="32"/>
          <w:u w:val="single"/>
        </w:rPr>
        <w:t>广州市增城区石滩镇人民政府</w:t>
      </w:r>
    </w:p>
    <w:p>
      <w:pPr>
        <w:ind w:firstLine="640"/>
        <w:jc w:val="both"/>
      </w:pPr>
      <w:r>
        <w:rPr>
          <w:sz w:val="32"/>
        </w:rPr>
        <w:t>乙方（出租人）：</w:t>
      </w:r>
      <w:r>
        <w:rPr>
          <w:sz w:val="21"/>
          <w:u w:val="single"/>
        </w:rPr>
        <w:t xml:space="preserve">                      </w:t>
      </w:r>
    </w:p>
    <w:p>
      <w:pPr>
        <w:ind w:firstLine="640"/>
        <w:jc w:val="both"/>
      </w:pPr>
      <w:r>
        <w:rPr>
          <w:sz w:val="32"/>
        </w:rPr>
        <w:t>签</w:t>
      </w:r>
      <w:r>
        <w:rPr>
          <w:sz w:val="32"/>
        </w:rPr>
        <w:t>订</w:t>
      </w:r>
      <w:r>
        <w:rPr>
          <w:sz w:val="32"/>
        </w:rPr>
        <w:t>日</w:t>
      </w:r>
      <w:r>
        <w:rPr>
          <w:sz w:val="32"/>
        </w:rPr>
        <w:t>期</w:t>
      </w:r>
      <w:r>
        <w:rPr>
          <w:sz w:val="32"/>
        </w:rPr>
        <w:t>：</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w:t>
      </w:r>
    </w:p>
    <w:p>
      <w:pPr>
        <w:jc w:val="both"/>
      </w:pPr>
      <w:r>
        <w:rPr>
          <w:sz w:val="21"/>
        </w:rPr>
        <w:t>（注意：需确认乙方是否具备相应资质。标黄色字体于正式合同时</w:t>
      </w:r>
      <w:r>
        <w:rPr>
          <w:b/>
          <w:sz w:val="21"/>
        </w:rPr>
        <w:t>应删除</w:t>
      </w:r>
      <w:r>
        <w:rPr>
          <w:sz w:val="21"/>
        </w:rPr>
        <w:t>。另，建议在磋商合同的时候，不宜直接将带有黄色字体的版本提供给对方。带下划线的内容由业务科室根据合同具体内容作调整修改。</w:t>
      </w:r>
      <w:r>
        <w:rPr>
          <w:b/>
          <w:sz w:val="21"/>
        </w:rPr>
        <w:t>下同</w:t>
      </w:r>
      <w:r>
        <w:rPr>
          <w:sz w:val="21"/>
        </w:rPr>
        <w:t>。）</w:t>
      </w:r>
    </w:p>
    <w:p>
      <w:pPr>
        <w:jc w:val="center"/>
      </w:pPr>
    </w:p>
    <w:p>
      <w:pPr>
        <w:jc w:val="both"/>
      </w:pPr>
    </w:p>
    <w:p>
      <w:pPr>
        <w:jc w:val="both"/>
      </w:pPr>
    </w:p>
    <w:p>
      <w:pPr>
        <w:jc w:val="both"/>
      </w:pPr>
    </w:p>
    <w:p>
      <w:pPr>
        <w:jc w:val="both"/>
      </w:pPr>
    </w:p>
    <w:p>
      <w:pPr>
        <w:ind w:firstLine="600"/>
        <w:jc w:val="left"/>
      </w:pPr>
      <w:r>
        <w:rPr>
          <w:sz w:val="21"/>
        </w:rPr>
        <w:t xml:space="preserve">   </w:t>
      </w:r>
    </w:p>
    <w:p>
      <w:pPr>
        <w:jc w:val="both"/>
      </w:pPr>
    </w:p>
    <w:p>
      <w:pPr>
        <w:jc w:val="both"/>
      </w:pPr>
    </w:p>
    <w:p>
      <w:pPr>
        <w:ind w:firstLine="480"/>
        <w:jc w:val="both"/>
      </w:pPr>
      <w:r>
        <w:rPr>
          <w:sz w:val="21"/>
        </w:rPr>
        <w:t xml:space="preserve">  </w:t>
      </w:r>
      <w:r>
        <w:rPr>
          <w:sz w:val="32"/>
        </w:rPr>
        <w:t xml:space="preserve"> </w:t>
      </w:r>
      <w:r>
        <w:rPr>
          <w:sz w:val="32"/>
        </w:rPr>
        <w:t>本合同根据《中华人民共和国民法典》等有关法律、法规制订，并经双方协商一致，双方在自愿平等基础上，就乙方向甲方出租车辆之事宜签订本合同，双方应共同遵守。合同条款如下：</w:t>
      </w:r>
    </w:p>
    <w:p>
      <w:pPr>
        <w:ind w:firstLine="640"/>
        <w:jc w:val="both"/>
      </w:pPr>
      <w:r>
        <w:rPr>
          <w:sz w:val="32"/>
        </w:rPr>
        <w:t>一、租赁车辆</w:t>
      </w:r>
    </w:p>
    <w:p>
      <w:pPr>
        <w:ind w:firstLine="640"/>
        <w:jc w:val="both"/>
      </w:pPr>
      <w:r>
        <w:rPr>
          <w:sz w:val="32"/>
        </w:rPr>
        <w:t>1. 乙方按甲方需求提供租赁车辆，具体车况、出租形式详见《车辆租赁合同登记表》。</w:t>
      </w:r>
    </w:p>
    <w:p>
      <w:pPr>
        <w:ind w:firstLine="640"/>
        <w:jc w:val="both"/>
      </w:pPr>
      <w:r>
        <w:rPr>
          <w:sz w:val="32"/>
        </w:rPr>
        <w:t>2. 本合同所指租赁车辆包括乙方因车辆故障、维修保养而提供给甲方使用的替代车，本合同对替代车具有同等法律效力。</w:t>
      </w:r>
    </w:p>
    <w:p>
      <w:pPr>
        <w:ind w:firstLine="640"/>
        <w:jc w:val="both"/>
      </w:pPr>
      <w:r>
        <w:rPr>
          <w:sz w:val="32"/>
        </w:rPr>
        <w:t>3. 在同等条件下甲方对车辆有优先续租权，但甲方须在租赁期满之前与乙方重新签订合同并结算先前租赁车辆的租金。</w:t>
      </w:r>
    </w:p>
    <w:p>
      <w:pPr>
        <w:ind w:firstLine="640"/>
        <w:jc w:val="both"/>
      </w:pPr>
      <w:r>
        <w:rPr>
          <w:sz w:val="32"/>
        </w:rPr>
        <w:t>二、租赁期限及租金标准</w:t>
      </w:r>
    </w:p>
    <w:p>
      <w:pPr>
        <w:ind w:firstLine="640"/>
        <w:jc w:val="both"/>
      </w:pPr>
      <w:r>
        <w:rPr>
          <w:sz w:val="32"/>
        </w:rPr>
        <w:t>1.本合同有效期详见《车辆租赁合同登记表》。</w:t>
      </w:r>
    </w:p>
    <w:p>
      <w:pPr>
        <w:ind w:firstLine="640"/>
        <w:jc w:val="both"/>
      </w:pPr>
      <w:r>
        <w:rPr>
          <w:sz w:val="32"/>
        </w:rPr>
        <w:t>2.租赁车辆、数量、及每辆车的租金单价及收费标准详见《车辆租赁合同登记表》。</w:t>
      </w:r>
    </w:p>
    <w:p>
      <w:pPr>
        <w:ind w:firstLine="640"/>
        <w:jc w:val="both"/>
      </w:pPr>
      <w:r>
        <w:rPr>
          <w:sz w:val="32"/>
        </w:rPr>
        <w:t>三、付款方式</w:t>
      </w:r>
    </w:p>
    <w:p>
      <w:pPr>
        <w:ind w:firstLine="640"/>
        <w:jc w:val="both"/>
      </w:pPr>
      <w:r>
        <w:rPr>
          <w:sz w:val="32"/>
        </w:rPr>
        <w:t>1.公务车租赁服务实施先租赁后结算方式，依据甲方出具的有效函件或签订的合同、协议实施租赁。</w:t>
      </w:r>
    </w:p>
    <w:p>
      <w:pPr>
        <w:ind w:firstLine="640"/>
        <w:jc w:val="both"/>
      </w:pPr>
      <w:r>
        <w:rPr>
          <w:sz w:val="32"/>
        </w:rPr>
        <w:t>2.乙方应具备对公账户或支票结算的能力，乙方应依据经甲方审核的汽车租赁对账单向甲方提供等额的正式发票。</w:t>
      </w:r>
    </w:p>
    <w:p>
      <w:pPr>
        <w:ind w:firstLine="640"/>
        <w:jc w:val="both"/>
      </w:pPr>
      <w:r>
        <w:rPr>
          <w:sz w:val="32"/>
        </w:rPr>
        <w:t>四、交通违法行为处理</w:t>
      </w:r>
    </w:p>
    <w:p>
      <w:pPr>
        <w:ind w:firstLine="640"/>
        <w:jc w:val="both"/>
      </w:pPr>
      <w:r>
        <w:rPr>
          <w:sz w:val="32"/>
        </w:rPr>
        <w:t>1.承租人应当对租赁期限内发生的交通违法行为承担全部责任，及时、主动处理交通违法记分，缴纳交通违法罚款，并在处理完毕后及时通知出租人。</w:t>
      </w:r>
    </w:p>
    <w:p>
      <w:pPr>
        <w:ind w:firstLine="640"/>
        <w:jc w:val="both"/>
      </w:pPr>
      <w:r>
        <w:rPr>
          <w:sz w:val="32"/>
        </w:rPr>
        <w:t>2.出租人发现租赁车辆在租赁期限内实属甲方且未处理完毕的交通违法行为的，承租人应当在接到出租人通知后15日内处理完毕。</w:t>
      </w:r>
    </w:p>
    <w:p>
      <w:pPr>
        <w:ind w:firstLine="640"/>
        <w:jc w:val="both"/>
      </w:pPr>
      <w:r>
        <w:rPr>
          <w:sz w:val="32"/>
        </w:rPr>
        <w:t>3、承租人未在上述期限内处理完毕的，出租人有权将承租人或合同登记的驾驶员或者甲方确定的驾驶员作为责任人提交公安机关处理，并将该等信息列入汽车租赁行业承租人失信记录。</w:t>
      </w:r>
    </w:p>
    <w:p>
      <w:pPr>
        <w:ind w:firstLine="640"/>
        <w:jc w:val="both"/>
      </w:pPr>
      <w:r>
        <w:rPr>
          <w:sz w:val="32"/>
        </w:rPr>
        <w:t>五、交车事宜</w:t>
      </w:r>
    </w:p>
    <w:p>
      <w:pPr>
        <w:ind w:firstLine="640"/>
        <w:jc w:val="both"/>
      </w:pPr>
      <w:r>
        <w:rPr>
          <w:sz w:val="32"/>
        </w:rPr>
        <w:t>乙方须在与甲方签订合同后及时办好相关手续，为甲方提供车辆租赁服务，双方仅以正式的车辆交接单为交接车凭据。</w:t>
      </w:r>
    </w:p>
    <w:p>
      <w:pPr>
        <w:ind w:firstLine="640"/>
        <w:jc w:val="both"/>
      </w:pPr>
      <w:r>
        <w:rPr>
          <w:sz w:val="32"/>
        </w:rPr>
        <w:t>六、保险条款</w:t>
      </w:r>
    </w:p>
    <w:p>
      <w:pPr>
        <w:ind w:firstLine="640"/>
        <w:jc w:val="both"/>
      </w:pPr>
      <w:r>
        <w:rPr>
          <w:sz w:val="32"/>
        </w:rPr>
        <w:t>1.乙方负责向保险公司购买以乙方为受益人的交强险、车辆损失险、第三者责任险（赔偿限额不少于100万元）、不计免赔特约险。</w:t>
      </w:r>
    </w:p>
    <w:p>
      <w:pPr>
        <w:ind w:firstLine="640"/>
        <w:jc w:val="both"/>
      </w:pPr>
      <w:r>
        <w:rPr>
          <w:sz w:val="32"/>
        </w:rPr>
        <w:t>2.上述保险、不计免赔服务仅免除保险范围内的有关损失，但不免除保险赔偿范围外的如因甲方违法违规、事故等导致车辆被扣而产生的停运损失。</w:t>
      </w:r>
    </w:p>
    <w:p>
      <w:pPr>
        <w:ind w:firstLine="640"/>
        <w:jc w:val="both"/>
      </w:pPr>
      <w:r>
        <w:rPr>
          <w:sz w:val="32"/>
        </w:rPr>
        <w:t>3.如发生车损或其它保险事故，乙方负责承担保险公司免赔额及保险责任内的全部损失，甲方负责保险公司免赔额及保险责任外的损失，乙方有负责处理事故和办理保险索赔的义务。</w:t>
      </w:r>
    </w:p>
    <w:p>
      <w:pPr>
        <w:ind w:firstLine="640"/>
        <w:jc w:val="both"/>
      </w:pPr>
      <w:r>
        <w:rPr>
          <w:sz w:val="32"/>
        </w:rPr>
        <w:t>4.如发生交通事故或其它保险事故，甲方应通知乙方处理。</w:t>
      </w:r>
    </w:p>
    <w:p>
      <w:pPr>
        <w:ind w:firstLine="640"/>
        <w:jc w:val="both"/>
      </w:pPr>
      <w:r>
        <w:rPr>
          <w:sz w:val="32"/>
        </w:rPr>
        <w:t>5.如发生车损需维修，由乙方负责对受损的车辆进行维修，甲方不能自行维修或自行选择维修厂维修。</w:t>
      </w:r>
    </w:p>
    <w:p>
      <w:pPr>
        <w:ind w:firstLine="640"/>
        <w:jc w:val="both"/>
      </w:pPr>
      <w:r>
        <w:rPr>
          <w:sz w:val="32"/>
        </w:rPr>
        <w:t>七、保养维修</w:t>
      </w:r>
    </w:p>
    <w:p>
      <w:pPr>
        <w:ind w:firstLine="640"/>
        <w:jc w:val="both"/>
      </w:pPr>
      <w:r>
        <w:rPr>
          <w:sz w:val="32"/>
        </w:rPr>
        <w:t>1.定期保养：车辆每次保养后行驶5000公里，由乙方负责处理，到乙方指定的维修厂进行例行保养。</w:t>
      </w:r>
    </w:p>
    <w:p>
      <w:pPr>
        <w:ind w:firstLine="640"/>
        <w:jc w:val="both"/>
      </w:pPr>
      <w:r>
        <w:rPr>
          <w:sz w:val="32"/>
        </w:rPr>
        <w:t>2.如车辆发生故障或异常，甲方应通知乙方，由乙方负责处理。故障车辆须到乙方指定或认可的维修厂维修，甲方不能自行维修或自行选择维修厂维修。乙方应及时提供替代车辆给甲方使用，或承担甲方在紧急情况下自行转其它交通工具的费用。如因不能及时提供造成甲方的损失，乙方应承担赔偿责任。</w:t>
      </w:r>
    </w:p>
    <w:p>
      <w:pPr>
        <w:ind w:firstLine="640"/>
        <w:jc w:val="both"/>
      </w:pPr>
      <w:r>
        <w:rPr>
          <w:sz w:val="32"/>
        </w:rPr>
        <w:t>3.乙方对每一租赁车辆只提供一套钥匙给甲方，乙方备份一套，如钥匙遗失，甲方应承担新配置一套新钥匙的费用。</w:t>
      </w:r>
    </w:p>
    <w:p>
      <w:pPr>
        <w:ind w:firstLine="640"/>
        <w:jc w:val="both"/>
      </w:pPr>
      <w:r>
        <w:rPr>
          <w:sz w:val="32"/>
        </w:rPr>
        <w:t>八、甲方的权利和义务</w:t>
      </w:r>
    </w:p>
    <w:p>
      <w:pPr>
        <w:ind w:firstLine="640"/>
        <w:jc w:val="both"/>
      </w:pPr>
      <w:r>
        <w:rPr>
          <w:sz w:val="32"/>
        </w:rPr>
        <w:t>1.甲方同意在本合同范围内，甲乙双方可再签订短期或单次汽车租赁服务协议，并约定服务时间、服务方式、服务质量、收费标准、付款方式、生活保障、事故处理、违约责任等具体事项。</w:t>
      </w:r>
    </w:p>
    <w:p>
      <w:pPr>
        <w:ind w:firstLine="640"/>
        <w:jc w:val="both"/>
      </w:pPr>
      <w:r>
        <w:rPr>
          <w:sz w:val="32"/>
        </w:rPr>
        <w:t>2.甲方在协议期间享受无需担保、无需押金等优质服务，有权享受乙方在合同有效期内的特定时间内对社会举办的优惠活动政策和优惠价格。</w:t>
      </w:r>
    </w:p>
    <w:p>
      <w:pPr>
        <w:ind w:firstLine="640"/>
        <w:jc w:val="both"/>
      </w:pPr>
      <w:r>
        <w:rPr>
          <w:sz w:val="32"/>
        </w:rPr>
        <w:t>3.甲方有权对乙方承诺的协议价格、服务承诺等履约情况进行监督。</w:t>
      </w:r>
    </w:p>
    <w:p>
      <w:pPr>
        <w:ind w:firstLine="640"/>
        <w:jc w:val="both"/>
      </w:pPr>
      <w:r>
        <w:rPr>
          <w:sz w:val="32"/>
        </w:rPr>
        <w:t>4.甲方自行驾驶发生事故，应根据交通管理部门出具的事故认定书确定责任，按责任比例承担相应的责任。</w:t>
      </w:r>
    </w:p>
    <w:p>
      <w:pPr>
        <w:ind w:firstLine="640"/>
        <w:jc w:val="both"/>
      </w:pPr>
      <w:r>
        <w:rPr>
          <w:sz w:val="32"/>
        </w:rPr>
        <w:t>5.甲方应按本合同约定的范围内合法使用车辆，甲方不得私自调改车辆里程表，应保证所承租车辆的原态，不得自行改动、安装、替换或拆除租赁车辆上的零件、仪表或其它设备。</w:t>
      </w:r>
    </w:p>
    <w:p>
      <w:pPr>
        <w:ind w:firstLine="640"/>
        <w:jc w:val="both"/>
      </w:pPr>
      <w:r>
        <w:rPr>
          <w:sz w:val="32"/>
        </w:rPr>
        <w:t>6.甲方驾驶人须持中华人民共和国认可的有效驾驶证，须合法驾驶和使用租赁车辆，如因违法、违章而负民事或刑事法律责任，或导致被执法部门扣车及罚没的，甲方需自行承担相应的法律责任。</w:t>
      </w:r>
    </w:p>
    <w:p>
      <w:pPr>
        <w:ind w:firstLine="640"/>
        <w:jc w:val="both"/>
      </w:pPr>
      <w:r>
        <w:rPr>
          <w:sz w:val="32"/>
        </w:rPr>
        <w:t>九、乙方的权利和义务</w:t>
      </w:r>
    </w:p>
    <w:p>
      <w:pPr>
        <w:ind w:firstLine="640"/>
        <w:jc w:val="both"/>
      </w:pPr>
      <w:r>
        <w:rPr>
          <w:sz w:val="32"/>
        </w:rPr>
        <w:t>1.乙方应严格遵守国家法律、法规和相关规定，诚实、守信，合法经营，自觉维护用户的利益，全面履行报价承诺，自觉接受甲方考核评定、监督和管理，优先为甲方提供符合党政机关公务用车使用标准的汽车租车服务，确保高标准服务质量，以维护双方的信誉和利益。</w:t>
      </w:r>
    </w:p>
    <w:p>
      <w:pPr>
        <w:ind w:firstLine="640"/>
        <w:jc w:val="both"/>
      </w:pPr>
      <w:r>
        <w:rPr>
          <w:sz w:val="32"/>
        </w:rPr>
        <w:t>2.乙方有权拒绝甲方提出的汽车租赁服务业务范围和乙方承诺以外的其它要求，确因工作需要，乙方有权收取甲方要求协议以外服务的合理费用。</w:t>
      </w:r>
    </w:p>
    <w:p>
      <w:pPr>
        <w:ind w:firstLine="640"/>
        <w:jc w:val="both"/>
      </w:pPr>
      <w:r>
        <w:rPr>
          <w:sz w:val="32"/>
        </w:rPr>
        <w:t>3.乙方有权对甲方在租赁汽车过程中的不正当要求和违规行为进行投诉，并要求有关部门做出处理。</w:t>
      </w:r>
    </w:p>
    <w:p>
      <w:pPr>
        <w:ind w:firstLine="640"/>
        <w:jc w:val="both"/>
      </w:pPr>
      <w:r>
        <w:rPr>
          <w:sz w:val="32"/>
        </w:rPr>
        <w:t>4.在协议有效期内,</w:t>
      </w:r>
      <w:r>
        <w:rPr>
          <w:sz w:val="32"/>
        </w:rPr>
        <w:t>如乙方下调市场价格，则乙方应按照报价承诺及时下调租赁价格，否则视为超过合同规定违规收费。乙方在协议有效期内的特定时间内举办优惠活动时，不得因价格优惠而减少服务内容、降低服务质量。</w:t>
      </w:r>
    </w:p>
    <w:p>
      <w:pPr>
        <w:ind w:firstLine="640"/>
        <w:jc w:val="both"/>
      </w:pPr>
      <w:r>
        <w:rPr>
          <w:sz w:val="32"/>
        </w:rPr>
        <w:t>5.在协议有效期内，乙方应按报价文件承诺向保险公司投保的险种及保额为用户承租的车辆投保，并承担全部保险费用；承租的车辆发生保险事故时，由乙方负责索赔事宜。</w:t>
      </w:r>
    </w:p>
    <w:p>
      <w:pPr>
        <w:ind w:firstLine="640"/>
        <w:jc w:val="both"/>
      </w:pPr>
      <w:r>
        <w:rPr>
          <w:sz w:val="32"/>
        </w:rPr>
        <w:t>6.乙方除应投保法定的各种强制保险外，还应投保乘客的人身伤害保险（赔偿限额不少于10万元），如事故对甲方造成伤害或损失，由保险公司根据保险相关政策和规定对甲方进行赔偿。</w:t>
      </w:r>
    </w:p>
    <w:p>
      <w:pPr>
        <w:ind w:firstLine="640"/>
        <w:jc w:val="both"/>
      </w:pPr>
      <w:r>
        <w:rPr>
          <w:sz w:val="32"/>
        </w:rPr>
        <w:t>7.乙方应保证车辆租赁系统中各经营门店联系人、联系电话、预订电话真实有效，乙方的名称、地址等发生变化时，要及时通知甲方，如果未能及时告知所造成的不利影响由乙方承担。</w:t>
      </w:r>
    </w:p>
    <w:p>
      <w:pPr>
        <w:ind w:firstLine="640"/>
        <w:jc w:val="both"/>
      </w:pPr>
      <w:r>
        <w:rPr>
          <w:sz w:val="32"/>
        </w:rPr>
        <w:t>8.乙方在单次服务终结时，必须填写租赁车辆行程确认单并经甲方签字确认。乙方定期填写汽车租赁对账单与甲方管理部门核对租赁情况，并请甲方对本次服务作出服务情况评价。</w:t>
      </w:r>
    </w:p>
    <w:p>
      <w:pPr>
        <w:ind w:firstLine="640"/>
        <w:jc w:val="both"/>
      </w:pPr>
      <w:r>
        <w:rPr>
          <w:sz w:val="32"/>
        </w:rPr>
        <w:t>十、违约责任</w:t>
      </w:r>
    </w:p>
    <w:p>
      <w:pPr>
        <w:ind w:firstLine="640"/>
        <w:jc w:val="both"/>
      </w:pPr>
      <w:r>
        <w:rPr>
          <w:sz w:val="32"/>
        </w:rPr>
        <w:t>1.甲、乙任何一方违反本协议的约定，应当承担违约责任，并赔偿对方的实际损失。</w:t>
      </w:r>
    </w:p>
    <w:p>
      <w:pPr>
        <w:ind w:firstLine="640"/>
        <w:jc w:val="both"/>
      </w:pPr>
      <w:r>
        <w:rPr>
          <w:sz w:val="32"/>
        </w:rPr>
        <w:t>2.因乙方责任造成合同终止时，对于由此给乙方造成的损失甲方不承担赔偿责任，对于由此给甲方造成的损失，乙方应负赔偿责任。</w:t>
      </w:r>
    </w:p>
    <w:p>
      <w:pPr>
        <w:ind w:firstLine="640"/>
        <w:jc w:val="both"/>
      </w:pPr>
      <w:r>
        <w:rPr>
          <w:sz w:val="32"/>
        </w:rPr>
        <w:t>3.乙方与甲方签订的租赁协议中，乙方的义务不得低于乙方在报价文件中的承诺，否则相应的条款无效。</w:t>
      </w:r>
    </w:p>
    <w:p>
      <w:pPr>
        <w:ind w:firstLine="640"/>
        <w:jc w:val="both"/>
      </w:pPr>
      <w:r>
        <w:rPr>
          <w:sz w:val="32"/>
        </w:rPr>
        <w:t>4.乙方承诺向保险公司投保，但实际协议履行过程中并未向保险公司投保，致使发生保险事故后无法向保险公司要求赔付，则乙方承担包含保险责任之内的全部赔偿责任。</w:t>
      </w:r>
    </w:p>
    <w:p>
      <w:pPr>
        <w:ind w:firstLine="640"/>
        <w:jc w:val="both"/>
      </w:pPr>
      <w:r>
        <w:rPr>
          <w:sz w:val="32"/>
        </w:rPr>
        <w:t>5.乙方保证所提供的服务的车辆各项性能合格且车辆所有权完全属于乙方且无任何抵押、查封等产权瑕疵。</w:t>
      </w:r>
      <w:r>
        <w:rPr>
          <w:sz w:val="32"/>
        </w:rPr>
        <w:t>如有产权瑕疵的，视为乙方违约，乙方应负担由此而产生的一切损失。如车辆性能不合格、存在质量问题导致发生人员伤亡、财物损害等事故的，由此产生的一切损失及法律赔偿责任均由乙方自行承担。</w:t>
      </w:r>
    </w:p>
    <w:p>
      <w:pPr>
        <w:ind w:firstLine="640"/>
        <w:jc w:val="both"/>
      </w:pPr>
      <w:r>
        <w:rPr>
          <w:sz w:val="32"/>
        </w:rPr>
        <w:t>6.合同任一方由于受诸如战争、骚乱、瘟疫、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ind w:firstLine="640"/>
        <w:jc w:val="both"/>
      </w:pPr>
      <w:r>
        <w:rPr>
          <w:sz w:val="32"/>
        </w:rPr>
        <w:t>7.遭受不可抗力一方应在不可抗力事故发生后尽快以书面形式通知对方，并于事故发生后14天内将有关部门出具的证明文件、详细情况报告以及不可抗力对履行合同影响程度的说明送达对方。</w:t>
      </w:r>
    </w:p>
    <w:p>
      <w:pPr>
        <w:ind w:firstLine="640"/>
        <w:jc w:val="both"/>
      </w:pPr>
      <w:r>
        <w:rPr>
          <w:sz w:val="32"/>
        </w:rPr>
        <w:t>8.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ind w:firstLine="640"/>
        <w:jc w:val="both"/>
      </w:pPr>
      <w:r>
        <w:rPr>
          <w:sz w:val="32"/>
        </w:rPr>
        <w:t>9.一旦不可抗力事故的影响持续120天以上，甲乙双方通过友好协商，在合理的时间内达成进一步履行合同或终止合同。</w:t>
      </w:r>
    </w:p>
    <w:p>
      <w:pPr>
        <w:ind w:firstLine="640"/>
        <w:jc w:val="both"/>
      </w:pPr>
      <w:r>
        <w:rPr>
          <w:sz w:val="32"/>
        </w:rPr>
        <w:t>十一、保密条款</w:t>
      </w:r>
    </w:p>
    <w:p>
      <w:pPr>
        <w:ind w:firstLine="640"/>
        <w:jc w:val="both"/>
      </w:pPr>
      <w:r>
        <w:rPr>
          <w:sz w:val="32"/>
        </w:rPr>
        <w:t>1.任何一方对其获知的本合同涉及的所有有形、无形的信息及资料（包括但不限于甲乙双方的往来书面文字文件、电子邮件及信息、软盘资料等）中另一方的商业秘密或国家秘密负有保密义务。</w:t>
      </w:r>
    </w:p>
    <w:p>
      <w:pPr>
        <w:ind w:firstLine="640"/>
        <w:jc w:val="both"/>
      </w:pPr>
      <w:r>
        <w:rPr>
          <w:sz w:val="32"/>
        </w:rPr>
        <w:t>2.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ind w:firstLine="640"/>
        <w:jc w:val="both"/>
      </w:pPr>
      <w:r>
        <w:rPr>
          <w:sz w:val="32"/>
        </w:rPr>
        <w:t>十二、争议的解决</w:t>
      </w:r>
    </w:p>
    <w:p>
      <w:pPr>
        <w:ind w:firstLine="640"/>
        <w:jc w:val="both"/>
      </w:pPr>
      <w:r>
        <w:rPr>
          <w:sz w:val="32"/>
        </w:rPr>
        <w:t>在执行本合同中发生的与本合同有关的争端，甲乙双方应通过友好协商解决，经协商在</w:t>
      </w:r>
      <w:r>
        <w:rPr>
          <w:sz w:val="32"/>
        </w:rPr>
        <w:t>30日内不能达成协议时，甲乙双方同意向广州市增城区人民法院提起诉讼。</w:t>
      </w:r>
    </w:p>
    <w:p>
      <w:pPr>
        <w:ind w:firstLine="640"/>
        <w:jc w:val="both"/>
      </w:pPr>
      <w:r>
        <w:rPr>
          <w:sz w:val="32"/>
        </w:rPr>
        <w:t>十三、权利的保留</w:t>
      </w:r>
    </w:p>
    <w:p>
      <w:pPr>
        <w:ind w:firstLine="640"/>
        <w:jc w:val="both"/>
      </w:pPr>
      <w:r>
        <w:rPr>
          <w:sz w:val="32"/>
        </w:rPr>
        <w:t>1.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ind w:firstLine="640"/>
        <w:jc w:val="both"/>
      </w:pPr>
      <w:r>
        <w:rPr>
          <w:sz w:val="32"/>
        </w:rPr>
        <w:t>2.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w:t>
      </w:r>
    </w:p>
    <w:p>
      <w:pPr>
        <w:ind w:firstLine="640"/>
        <w:jc w:val="both"/>
      </w:pPr>
      <w:r>
        <w:rPr>
          <w:sz w:val="32"/>
        </w:rPr>
        <w:t>十四、合同的解释</w:t>
      </w:r>
    </w:p>
    <w:p>
      <w:pPr>
        <w:ind w:firstLine="640"/>
        <w:jc w:val="both"/>
      </w:pPr>
      <w:r>
        <w:rPr>
          <w:sz w:val="32"/>
        </w:rPr>
        <w:t>1.任何一方对本合同及其附件的解释均应遵循诚实信用原则，依照本合同签订时有效的中华人民共和国的法律、法规以及人们通常的理解进行。</w:t>
      </w:r>
    </w:p>
    <w:p>
      <w:pPr>
        <w:ind w:firstLine="640"/>
        <w:jc w:val="both"/>
      </w:pPr>
      <w:r>
        <w:rPr>
          <w:sz w:val="32"/>
        </w:rPr>
        <w:t>2.本合同标题仅供查阅方便，并非对本合同的诠释或解释，本合同中以日表述的时间期限均指公历日。对本合同的任何解释均应以书面做出。</w:t>
      </w:r>
    </w:p>
    <w:p>
      <w:pPr>
        <w:ind w:firstLine="640"/>
        <w:jc w:val="both"/>
      </w:pPr>
      <w:r>
        <w:rPr>
          <w:sz w:val="32"/>
        </w:rPr>
        <w:t>十五、合同修改</w:t>
      </w:r>
    </w:p>
    <w:p>
      <w:pPr>
        <w:ind w:firstLine="640"/>
        <w:jc w:val="both"/>
      </w:pPr>
      <w:r>
        <w:rPr>
          <w:sz w:val="32"/>
        </w:rPr>
        <w:t>对于本合同的未尽事宜，需进行修改、补充或完善的，甲乙双方必须就所修改的内容签订书面的合同修改书，作为本合同的补充协议，补充协议与本合同具有同等法律效力。</w:t>
      </w:r>
    </w:p>
    <w:p>
      <w:pPr>
        <w:ind w:firstLine="640"/>
        <w:jc w:val="both"/>
      </w:pPr>
      <w:r>
        <w:rPr>
          <w:sz w:val="32"/>
        </w:rPr>
        <w:t>在本合同履行期间，因中国法律、法规、政策的变化致使本合同的部分条款相冲突、无效或失去可强制执行效力时，甲乙双方应尽快修改本合同中相冲突或无效或失去可强制执行效力的条款。</w:t>
      </w:r>
    </w:p>
    <w:p>
      <w:pPr>
        <w:ind w:firstLine="640"/>
        <w:jc w:val="both"/>
      </w:pPr>
      <w:r>
        <w:rPr>
          <w:sz w:val="32"/>
        </w:rPr>
        <w:t>十六、合同的终止</w:t>
      </w:r>
    </w:p>
    <w:p>
      <w:pPr>
        <w:ind w:firstLine="640"/>
        <w:jc w:val="both"/>
      </w:pPr>
      <w:r>
        <w:rPr>
          <w:sz w:val="32"/>
        </w:rPr>
        <w:t>1.在合同期内任何一方不得擅自终止合同，否则应负担所造成的一切损失。如一方因故需终止合同，必须提前1个月书面通知另一方，经双方达成一致意见后，方可终止。</w:t>
      </w:r>
    </w:p>
    <w:p>
      <w:pPr>
        <w:ind w:firstLine="640"/>
        <w:jc w:val="both"/>
      </w:pPr>
      <w:r>
        <w:rPr>
          <w:sz w:val="32"/>
        </w:rPr>
        <w:t>2.本合同正常履行完毕、甲乙双方协商同意终止合同、因不可抗力导致本合同无法履行或履行不必要时协议自行终止。</w:t>
      </w:r>
    </w:p>
    <w:p>
      <w:pPr>
        <w:ind w:firstLine="640"/>
        <w:jc w:val="both"/>
      </w:pPr>
      <w:r>
        <w:rPr>
          <w:sz w:val="32"/>
        </w:rPr>
        <w:t>3.一方不履行合同条款，协商又不能解决的，赔偿对方损失后，协议终止。</w:t>
      </w:r>
    </w:p>
    <w:p>
      <w:pPr>
        <w:ind w:firstLine="640"/>
        <w:jc w:val="both"/>
      </w:pPr>
      <w:r>
        <w:rPr>
          <w:sz w:val="32"/>
        </w:rPr>
        <w:t>十七、合同生效</w:t>
      </w:r>
    </w:p>
    <w:p>
      <w:pPr>
        <w:ind w:firstLine="640"/>
        <w:jc w:val="both"/>
      </w:pPr>
      <w:r>
        <w:rPr>
          <w:sz w:val="32"/>
        </w:rPr>
        <w:t>1.除非合同中另有说明，本合同经甲乙双方法定代表人或授权代表签字盖章即开始生效。</w:t>
      </w:r>
    </w:p>
    <w:p>
      <w:pPr>
        <w:ind w:firstLine="640"/>
        <w:jc w:val="both"/>
      </w:pPr>
      <w:r>
        <w:rPr>
          <w:sz w:val="32"/>
        </w:rPr>
        <w:t>2.本合同中的附件均为本合同不可分割的部分，与本合同具有同等的法律效力。</w:t>
      </w:r>
    </w:p>
    <w:p>
      <w:pPr>
        <w:ind w:firstLine="640"/>
        <w:jc w:val="both"/>
      </w:pPr>
      <w:r>
        <w:rPr>
          <w:sz w:val="32"/>
        </w:rPr>
        <w:t>3.本合同参考乙方与增城区政府采购合同，正本一式</w:t>
      </w:r>
      <w:r>
        <w:rPr>
          <w:sz w:val="21"/>
          <w:u w:val="single"/>
        </w:rPr>
        <w:t xml:space="preserve">    </w:t>
      </w:r>
      <w:r>
        <w:rPr>
          <w:sz w:val="32"/>
        </w:rPr>
        <w:t>份，甲方执</w:t>
      </w:r>
      <w:r>
        <w:rPr>
          <w:sz w:val="21"/>
          <w:u w:val="single"/>
        </w:rPr>
        <w:t xml:space="preserve">   </w:t>
      </w:r>
      <w:r>
        <w:rPr>
          <w:sz w:val="32"/>
        </w:rPr>
        <w:t>份</w:t>
      </w:r>
      <w:r>
        <w:rPr>
          <w:sz w:val="32"/>
        </w:rPr>
        <w:t>,乙方执</w:t>
      </w:r>
      <w:r>
        <w:rPr>
          <w:sz w:val="21"/>
          <w:u w:val="single"/>
        </w:rPr>
        <w:t xml:space="preserve">   </w:t>
      </w:r>
      <w:r>
        <w:rPr>
          <w:sz w:val="32"/>
        </w:rPr>
        <w:t>份，每份正本具有同等法律效力。</w:t>
      </w:r>
    </w:p>
    <w:p>
      <w:pPr>
        <w:jc w:val="center"/>
      </w:pPr>
      <w:r>
        <w:rPr>
          <w:sz w:val="32"/>
        </w:rPr>
        <w:t>车辆租赁合同登记表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25"/>
        <w:gridCol w:w="330"/>
        <w:gridCol w:w="330"/>
        <w:gridCol w:w="330"/>
        <w:gridCol w:w="330"/>
        <w:gridCol w:w="922"/>
        <w:gridCol w:w="51"/>
        <w:gridCol w:w="1057"/>
        <w:gridCol w:w="1057"/>
        <w:gridCol w:w="467"/>
        <w:gridCol w:w="467"/>
        <w:gridCol w:w="1897"/>
      </w:tblGrid>
      <w:tr>
        <w:tc>
          <w:tcPr>
            <w:tcW w:type="dxa" w:w="1025"/>
            <w:tcBorders>
              <w:top w:val="single" w:color="000000" w:sz="4"/>
              <w:left w:val="single" w:color="000000" w:sz="4"/>
              <w:bottom w:val="single" w:color="000000" w:sz="4"/>
              <w:right w:val="single" w:color="000000" w:sz="4"/>
            </w:tcBorders>
            <w:vAlign w:val="top"/>
          </w:tcPr>
          <w:p>
            <w:pPr>
              <w:jc w:val="center"/>
            </w:pPr>
            <w:r>
              <w:rPr>
                <w:sz w:val="32"/>
              </w:rPr>
              <w:t>出租方经办人</w:t>
            </w:r>
          </w:p>
        </w:tc>
        <w:tc>
          <w:tcPr>
            <w:tcW w:type="dxa" w:w="1320"/>
            <w:gridSpan w:val="4"/>
            <w:tcBorders>
              <w:top w:val="single" w:color="000000" w:sz="4"/>
              <w:left w:val="none" w:color="000000" w:sz="4"/>
              <w:bottom w:val="single" w:color="000000" w:sz="4"/>
              <w:right w:val="single" w:color="000000" w:sz="4"/>
            </w:tcBorders>
            <w:vAlign w:val="top"/>
          </w:tcPr>
          <w:p>
            <w:pPr>
              <w:jc w:val="center"/>
            </w:pPr>
          </w:p>
        </w:tc>
        <w:tc>
          <w:tcPr>
            <w:tcW w:type="dxa" w:w="973"/>
            <w:gridSpan w:val="2"/>
            <w:tcBorders>
              <w:top w:val="single" w:color="000000" w:sz="4"/>
              <w:left w:val="none" w:color="000000" w:sz="4"/>
              <w:bottom w:val="single" w:color="000000" w:sz="4"/>
              <w:right w:val="single" w:color="000000" w:sz="4"/>
            </w:tcBorders>
            <w:vAlign w:val="top"/>
          </w:tcPr>
          <w:p>
            <w:pPr>
              <w:jc w:val="both"/>
            </w:pPr>
            <w:r>
              <w:rPr>
                <w:sz w:val="32"/>
              </w:rPr>
              <w:t>联系</w:t>
            </w:r>
          </w:p>
          <w:p>
            <w:pPr>
              <w:jc w:val="both"/>
            </w:pPr>
            <w:r>
              <w:rPr>
                <w:sz w:val="32"/>
              </w:rPr>
              <w:t>电话：</w:t>
            </w:r>
          </w:p>
        </w:tc>
        <w:tc>
          <w:tcPr>
            <w:tcW w:type="dxa" w:w="2114"/>
            <w:gridSpan w:val="2"/>
            <w:tcBorders>
              <w:top w:val="single" w:color="000000" w:sz="4"/>
              <w:left w:val="none" w:color="000000" w:sz="4"/>
              <w:bottom w:val="single" w:color="000000" w:sz="4"/>
              <w:right w:val="single" w:color="000000" w:sz="4"/>
            </w:tcBorders>
            <w:vAlign w:val="top"/>
          </w:tcPr>
          <w:p>
            <w:pPr>
              <w:jc w:val="center"/>
            </w:pPr>
          </w:p>
        </w:tc>
        <w:tc>
          <w:tcPr>
            <w:tcW w:type="dxa" w:w="934"/>
            <w:gridSpan w:val="2"/>
            <w:tcBorders>
              <w:top w:val="single" w:color="000000" w:sz="4"/>
              <w:left w:val="none" w:color="000000" w:sz="4"/>
              <w:bottom w:val="single" w:color="000000" w:sz="4"/>
              <w:right w:val="single" w:color="000000" w:sz="4"/>
            </w:tcBorders>
            <w:vAlign w:val="top"/>
          </w:tcPr>
          <w:p>
            <w:pPr>
              <w:jc w:val="both"/>
            </w:pPr>
            <w:r>
              <w:rPr>
                <w:sz w:val="32"/>
              </w:rPr>
              <w:t>合同</w:t>
            </w:r>
          </w:p>
          <w:p>
            <w:pPr>
              <w:jc w:val="center"/>
            </w:pPr>
            <w:r>
              <w:rPr>
                <w:sz w:val="32"/>
              </w:rPr>
              <w:t>编号：</w:t>
            </w:r>
          </w:p>
        </w:tc>
        <w:tc>
          <w:tcPr>
            <w:tcW w:type="dxa" w:w="1897"/>
            <w:tcBorders>
              <w:top w:val="single" w:color="000000" w:sz="4"/>
              <w:left w:val="none" w:color="000000" w:sz="4"/>
              <w:bottom w:val="single" w:color="000000" w:sz="4"/>
              <w:right w:val="single" w:color="000000" w:sz="4"/>
            </w:tcBorders>
            <w:vAlign w:val="top"/>
          </w:tcPr>
          <w:p>
            <w:pPr>
              <w:jc w:val="left"/>
            </w:pPr>
          </w:p>
        </w:tc>
      </w:tr>
      <w:tr>
        <w:tc>
          <w:tcPr>
            <w:tcW w:type="dxa" w:w="1025"/>
            <w:vMerge w:val="restart"/>
            <w:tcBorders>
              <w:top w:val="none" w:color="000000" w:sz="4"/>
              <w:left w:val="single" w:color="000000" w:sz="4"/>
              <w:bottom w:val="single" w:color="000000" w:sz="4"/>
              <w:right w:val="single" w:color="000000" w:sz="4"/>
            </w:tcBorders>
            <w:vAlign w:val="top"/>
          </w:tcPr>
          <w:p>
            <w:pPr>
              <w:jc w:val="center"/>
            </w:pPr>
            <w:r>
              <w:rPr>
                <w:sz w:val="32"/>
              </w:rPr>
              <w:t>承租方信息</w:t>
            </w:r>
          </w:p>
        </w:tc>
        <w:tc>
          <w:tcPr>
            <w:tcW w:type="dxa" w:w="1320"/>
            <w:gridSpan w:val="4"/>
            <w:tcBorders>
              <w:top w:val="none" w:color="000000" w:sz="4"/>
              <w:left w:val="none" w:color="000000" w:sz="4"/>
              <w:bottom w:val="single" w:color="000000" w:sz="4"/>
              <w:right w:val="single" w:color="000000" w:sz="4"/>
            </w:tcBorders>
            <w:vAlign w:val="top"/>
          </w:tcPr>
          <w:p>
            <w:pPr>
              <w:jc w:val="center"/>
            </w:pPr>
            <w:r>
              <w:rPr>
                <w:sz w:val="32"/>
              </w:rPr>
              <w:t>名称</w:t>
            </w:r>
          </w:p>
        </w:tc>
        <w:tc>
          <w:tcPr>
            <w:tcW w:type="dxa" w:w="3087"/>
            <w:gridSpan w:val="4"/>
            <w:tcBorders>
              <w:top w:val="none" w:color="000000" w:sz="4"/>
              <w:left w:val="none" w:color="000000" w:sz="4"/>
              <w:bottom w:val="single" w:color="000000" w:sz="4"/>
              <w:right w:val="single" w:color="000000" w:sz="4"/>
            </w:tcBorders>
            <w:vAlign w:val="top"/>
          </w:tcPr>
          <w:p>
            <w:pPr>
              <w:jc w:val="center"/>
            </w:pPr>
            <w:r>
              <w:rPr>
                <w:sz w:val="32"/>
              </w:rPr>
              <w:t>广州市增城区石滩镇人民政府</w:t>
            </w:r>
          </w:p>
        </w:tc>
        <w:tc>
          <w:tcPr>
            <w:tcW w:type="dxa" w:w="934"/>
            <w:gridSpan w:val="2"/>
            <w:tcBorders>
              <w:top w:val="none" w:color="000000" w:sz="4"/>
              <w:left w:val="none" w:color="000000" w:sz="4"/>
              <w:bottom w:val="single" w:color="000000" w:sz="4"/>
              <w:right w:val="single" w:color="000000" w:sz="4"/>
            </w:tcBorders>
            <w:vAlign w:val="top"/>
          </w:tcPr>
          <w:p>
            <w:pPr>
              <w:jc w:val="both"/>
            </w:pPr>
            <w:r>
              <w:rPr>
                <w:sz w:val="32"/>
              </w:rPr>
              <w:t>联系人及电话</w:t>
            </w:r>
          </w:p>
        </w:tc>
        <w:tc>
          <w:tcPr>
            <w:tcW w:type="dxa" w:w="1897"/>
            <w:tcBorders>
              <w:top w:val="none" w:color="000000" w:sz="4"/>
              <w:left w:val="none" w:color="000000" w:sz="4"/>
              <w:bottom w:val="single" w:color="000000" w:sz="4"/>
              <w:right w:val="single" w:color="000000" w:sz="4"/>
            </w:tcBorders>
            <w:vAlign w:val="top"/>
          </w:tcPr>
          <w:p>
            <w:pPr>
              <w:jc w:val="center"/>
            </w:pPr>
          </w:p>
        </w:tc>
      </w:tr>
      <w:tr>
        <w:tc>
          <w:tcPr>
            <w:tcW w:type="dxa" w:w="1025"/>
            <w:vMerge/>
            <w:tcBorders>
              <w:top w:val="none" w:color="000000" w:sz="4"/>
              <w:left w:val="single" w:color="000000" w:sz="4"/>
              <w:bottom w:val="single" w:color="000000" w:sz="4"/>
              <w:right w:val="single" w:color="000000" w:sz="4"/>
            </w:tcBorders>
          </w:tcPr>
          <w:p/>
        </w:tc>
        <w:tc>
          <w:tcPr>
            <w:tcW w:type="dxa" w:w="1320"/>
            <w:gridSpan w:val="4"/>
            <w:tcBorders>
              <w:top w:val="none" w:color="000000" w:sz="4"/>
              <w:left w:val="none" w:color="000000" w:sz="4"/>
              <w:bottom w:val="single" w:color="000000" w:sz="4"/>
              <w:right w:val="single" w:color="000000" w:sz="4"/>
            </w:tcBorders>
            <w:vAlign w:val="top"/>
          </w:tcPr>
          <w:p>
            <w:pPr>
              <w:jc w:val="center"/>
            </w:pPr>
            <w:r>
              <w:rPr>
                <w:sz w:val="32"/>
              </w:rPr>
              <w:t>证件名称</w:t>
            </w:r>
          </w:p>
        </w:tc>
        <w:tc>
          <w:tcPr>
            <w:tcW w:type="dxa" w:w="3087"/>
            <w:gridSpan w:val="4"/>
            <w:tcBorders>
              <w:top w:val="none" w:color="000000" w:sz="4"/>
              <w:left w:val="none" w:color="000000" w:sz="4"/>
              <w:bottom w:val="single" w:color="000000" w:sz="4"/>
              <w:right w:val="single" w:color="000000" w:sz="4"/>
            </w:tcBorders>
            <w:vAlign w:val="top"/>
          </w:tcPr>
          <w:p>
            <w:pPr>
              <w:jc w:val="center"/>
            </w:pPr>
            <w:r>
              <w:rPr>
                <w:sz w:val="32"/>
              </w:rPr>
              <w:t>统一社会信用代码</w:t>
            </w:r>
          </w:p>
        </w:tc>
        <w:tc>
          <w:tcPr>
            <w:tcW w:type="dxa" w:w="934"/>
            <w:gridSpan w:val="2"/>
            <w:tcBorders>
              <w:top w:val="none" w:color="000000" w:sz="4"/>
              <w:left w:val="none" w:color="000000" w:sz="4"/>
              <w:bottom w:val="single" w:color="000000" w:sz="4"/>
              <w:right w:val="single" w:color="000000" w:sz="4"/>
            </w:tcBorders>
            <w:vAlign w:val="top"/>
          </w:tcPr>
          <w:p>
            <w:pPr>
              <w:jc w:val="center"/>
            </w:pPr>
            <w:r>
              <w:rPr>
                <w:sz w:val="32"/>
              </w:rPr>
              <w:t>证件</w:t>
            </w:r>
          </w:p>
          <w:p>
            <w:pPr>
              <w:jc w:val="center"/>
            </w:pPr>
            <w:r>
              <w:rPr>
                <w:sz w:val="32"/>
              </w:rPr>
              <w:t>号码</w:t>
            </w:r>
          </w:p>
        </w:tc>
        <w:tc>
          <w:tcPr>
            <w:tcW w:type="dxa" w:w="1897"/>
            <w:tcBorders>
              <w:top w:val="none" w:color="000000" w:sz="4"/>
              <w:left w:val="none" w:color="000000" w:sz="4"/>
              <w:bottom w:val="single" w:color="000000" w:sz="4"/>
              <w:right w:val="single" w:color="000000" w:sz="4"/>
            </w:tcBorders>
            <w:vAlign w:val="top"/>
          </w:tcPr>
          <w:p>
            <w:pPr>
              <w:jc w:val="center"/>
            </w:pPr>
          </w:p>
        </w:tc>
      </w:tr>
      <w:tr>
        <w:tc>
          <w:tcPr>
            <w:tcW w:type="dxa" w:w="1025"/>
            <w:vMerge/>
            <w:tcBorders>
              <w:top w:val="none" w:color="000000" w:sz="4"/>
              <w:left w:val="single" w:color="000000" w:sz="4"/>
              <w:bottom w:val="single" w:color="000000" w:sz="4"/>
              <w:right w:val="single" w:color="000000" w:sz="4"/>
            </w:tcBorders>
          </w:tcPr>
          <w:p/>
        </w:tc>
        <w:tc>
          <w:tcPr>
            <w:tcW w:type="dxa" w:w="1320"/>
            <w:gridSpan w:val="4"/>
            <w:tcBorders>
              <w:top w:val="none" w:color="000000" w:sz="4"/>
              <w:left w:val="none" w:color="000000" w:sz="4"/>
              <w:bottom w:val="single" w:color="000000" w:sz="4"/>
              <w:right w:val="single" w:color="000000" w:sz="4"/>
            </w:tcBorders>
            <w:vAlign w:val="top"/>
          </w:tcPr>
          <w:p>
            <w:pPr>
              <w:jc w:val="center"/>
            </w:pPr>
            <w:r>
              <w:rPr>
                <w:sz w:val="32"/>
              </w:rPr>
              <w:t>住址</w:t>
            </w:r>
            <w:r>
              <w:rPr>
                <w:sz w:val="32"/>
              </w:rPr>
              <w:t>/地址</w:t>
            </w:r>
          </w:p>
        </w:tc>
        <w:tc>
          <w:tcPr>
            <w:tcW w:type="dxa" w:w="5918"/>
            <w:gridSpan w:val="7"/>
            <w:tcBorders>
              <w:top w:val="none" w:color="000000" w:sz="4"/>
              <w:left w:val="none" w:color="000000" w:sz="4"/>
              <w:bottom w:val="single" w:color="000000" w:sz="4"/>
              <w:right w:val="single" w:color="000000" w:sz="4"/>
            </w:tcBorders>
            <w:vAlign w:val="top"/>
          </w:tcPr>
          <w:p>
            <w:pPr>
              <w:ind w:firstLine="960"/>
              <w:jc w:val="left"/>
            </w:pPr>
            <w:r>
              <w:rPr>
                <w:sz w:val="21"/>
              </w:rPr>
              <w:t xml:space="preserve"> </w:t>
            </w:r>
          </w:p>
        </w:tc>
      </w:tr>
      <w:tr>
        <w:tc>
          <w:tcPr>
            <w:tcW w:type="dxa" w:w="8263"/>
            <w:gridSpan w:val="12"/>
            <w:tcBorders>
              <w:top w:val="none" w:color="000000" w:sz="4"/>
              <w:left w:val="single" w:color="000000" w:sz="4"/>
              <w:bottom w:val="single" w:color="000000" w:sz="4"/>
              <w:right w:val="single" w:color="000000" w:sz="4"/>
            </w:tcBorders>
            <w:vAlign w:val="top"/>
          </w:tcPr>
          <w:p>
            <w:pPr>
              <w:jc w:val="center"/>
            </w:pPr>
            <w:r>
              <w:rPr>
                <w:sz w:val="32"/>
              </w:rPr>
              <w:t>车辆相关信息</w:t>
            </w:r>
          </w:p>
        </w:tc>
      </w:tr>
      <w:tr>
        <w:tc>
          <w:tcPr>
            <w:tcW w:type="dxa" w:w="1025"/>
            <w:tcBorders>
              <w:top w:val="none" w:color="000000" w:sz="4"/>
              <w:left w:val="single" w:color="000000" w:sz="4"/>
              <w:bottom w:val="single" w:color="000000" w:sz="4"/>
              <w:right w:val="single" w:color="000000" w:sz="4"/>
            </w:tcBorders>
            <w:vAlign w:val="top"/>
          </w:tcPr>
          <w:p>
            <w:pPr>
              <w:jc w:val="center"/>
            </w:pPr>
            <w:r>
              <w:rPr>
                <w:sz w:val="32"/>
              </w:rPr>
              <w:t>车牌号</w:t>
            </w:r>
          </w:p>
        </w:tc>
        <w:tc>
          <w:tcPr>
            <w:tcW w:type="dxa" w:w="1320"/>
            <w:gridSpan w:val="4"/>
            <w:tcBorders>
              <w:top w:val="single" w:color="000000" w:sz="4"/>
              <w:left w:val="none" w:color="000000" w:sz="4"/>
              <w:bottom w:val="single" w:color="000000" w:sz="4"/>
              <w:right w:val="single" w:color="000000" w:sz="4"/>
            </w:tcBorders>
            <w:vAlign w:val="top"/>
          </w:tcPr>
          <w:p>
            <w:pPr>
              <w:jc w:val="center"/>
            </w:pPr>
            <w:r>
              <w:rPr>
                <w:sz w:val="32"/>
              </w:rPr>
              <w:t>车型</w:t>
            </w:r>
          </w:p>
        </w:tc>
        <w:tc>
          <w:tcPr>
            <w:tcW w:type="dxa" w:w="922"/>
            <w:tcBorders>
              <w:top w:val="single" w:color="000000" w:sz="4"/>
              <w:left w:val="none" w:color="000000" w:sz="4"/>
              <w:bottom w:val="single" w:color="000000" w:sz="4"/>
              <w:right w:val="single" w:color="000000" w:sz="4"/>
            </w:tcBorders>
            <w:vAlign w:val="top"/>
          </w:tcPr>
          <w:p>
            <w:pPr>
              <w:jc w:val="center"/>
            </w:pPr>
            <w:r>
              <w:rPr>
                <w:sz w:val="32"/>
              </w:rPr>
              <w:t>颜色</w:t>
            </w:r>
          </w:p>
        </w:tc>
        <w:tc>
          <w:tcPr>
            <w:tcW w:type="dxa" w:w="2632"/>
            <w:gridSpan w:val="4"/>
            <w:tcBorders>
              <w:top w:val="single" w:color="000000" w:sz="4"/>
              <w:left w:val="none" w:color="000000" w:sz="4"/>
              <w:bottom w:val="single" w:color="000000" w:sz="4"/>
              <w:right w:val="single" w:color="000000" w:sz="4"/>
            </w:tcBorders>
            <w:vAlign w:val="top"/>
          </w:tcPr>
          <w:p>
            <w:pPr>
              <w:jc w:val="center"/>
            </w:pPr>
            <w:r>
              <w:rPr>
                <w:sz w:val="32"/>
              </w:rPr>
              <w:t>发动机号</w:t>
            </w:r>
            <w:r>
              <w:rPr>
                <w:sz w:val="32"/>
              </w:rPr>
              <w:t>(电池编号)</w:t>
            </w:r>
          </w:p>
        </w:tc>
        <w:tc>
          <w:tcPr>
            <w:tcW w:type="dxa" w:w="2364"/>
            <w:gridSpan w:val="2"/>
            <w:tcBorders>
              <w:top w:val="single" w:color="000000" w:sz="4"/>
              <w:left w:val="none" w:color="000000" w:sz="4"/>
              <w:bottom w:val="single" w:color="000000" w:sz="4"/>
              <w:right w:val="single" w:color="000000" w:sz="4"/>
            </w:tcBorders>
            <w:vAlign w:val="top"/>
          </w:tcPr>
          <w:p>
            <w:pPr>
              <w:jc w:val="center"/>
            </w:pPr>
            <w:r>
              <w:rPr>
                <w:sz w:val="32"/>
              </w:rPr>
              <w:t>车架号</w:t>
            </w:r>
          </w:p>
        </w:tc>
      </w:tr>
      <w:tr>
        <w:tc>
          <w:tcPr>
            <w:tcW w:type="dxa" w:w="1025"/>
            <w:tcBorders>
              <w:top w:val="none" w:color="000000" w:sz="4"/>
              <w:left w:val="single" w:color="000000" w:sz="4"/>
              <w:bottom w:val="single" w:color="000000" w:sz="4"/>
              <w:right w:val="none" w:color="000000" w:sz="4"/>
            </w:tcBorders>
            <w:vAlign w:val="top"/>
          </w:tcPr>
          <w:p>
            <w:pPr>
              <w:jc w:val="center"/>
            </w:pPr>
          </w:p>
        </w:tc>
        <w:tc>
          <w:tcPr>
            <w:tcW w:type="dxa" w:w="1320"/>
            <w:gridSpan w:val="4"/>
            <w:tcBorders>
              <w:top w:val="none" w:color="000000" w:sz="4"/>
              <w:left w:val="single" w:color="000000" w:sz="4"/>
              <w:bottom w:val="single" w:color="000000" w:sz="4"/>
              <w:right w:val="single" w:color="000000" w:sz="4"/>
            </w:tcBorders>
            <w:vAlign w:val="top"/>
          </w:tcPr>
          <w:p>
            <w:pPr>
              <w:jc w:val="center"/>
            </w:pPr>
          </w:p>
        </w:tc>
        <w:tc>
          <w:tcPr>
            <w:tcW w:type="dxa" w:w="922"/>
            <w:tcBorders>
              <w:top w:val="none" w:color="000000" w:sz="4"/>
              <w:left w:val="none" w:color="000000" w:sz="4"/>
              <w:bottom w:val="single" w:color="000000" w:sz="4"/>
              <w:right w:val="single" w:color="000000" w:sz="4"/>
            </w:tcBorders>
            <w:vAlign w:val="top"/>
          </w:tcPr>
          <w:p>
            <w:pPr>
              <w:jc w:val="center"/>
            </w:pPr>
          </w:p>
        </w:tc>
        <w:tc>
          <w:tcPr>
            <w:tcW w:type="dxa" w:w="2632"/>
            <w:gridSpan w:val="4"/>
            <w:tcBorders>
              <w:top w:val="none" w:color="000000" w:sz="4"/>
              <w:left w:val="none" w:color="000000" w:sz="4"/>
              <w:bottom w:val="single" w:color="000000" w:sz="4"/>
              <w:right w:val="single" w:color="000000" w:sz="4"/>
            </w:tcBorders>
            <w:vAlign w:val="top"/>
          </w:tcPr>
          <w:p>
            <w:pPr>
              <w:jc w:val="center"/>
            </w:pPr>
          </w:p>
        </w:tc>
        <w:tc>
          <w:tcPr>
            <w:tcW w:type="dxa" w:w="2364"/>
            <w:gridSpan w:val="2"/>
            <w:tcBorders>
              <w:top w:val="none" w:color="000000" w:sz="4"/>
              <w:left w:val="none" w:color="000000" w:sz="4"/>
              <w:bottom w:val="single" w:color="000000" w:sz="4"/>
              <w:right w:val="single" w:color="000000" w:sz="4"/>
            </w:tcBorders>
            <w:vAlign w:val="top"/>
          </w:tcPr>
          <w:p>
            <w:r>
              <w:rPr>
                <w:sz w:val="19"/>
              </w:rPr>
              <w:t xml:space="preserve"> </w:t>
            </w:r>
          </w:p>
          <w:p>
            <w:pPr>
              <w:jc w:val="center"/>
            </w:pPr>
          </w:p>
        </w:tc>
      </w:tr>
      <w:tr>
        <w:tc>
          <w:tcPr>
            <w:tcW w:type="dxa" w:w="1025"/>
            <w:tcBorders>
              <w:top w:val="none" w:color="000000" w:sz="4"/>
              <w:left w:val="single" w:color="000000" w:sz="4"/>
              <w:bottom w:val="single" w:color="000000" w:sz="4"/>
              <w:right w:val="none" w:color="000000" w:sz="4"/>
            </w:tcBorders>
            <w:vAlign w:val="top"/>
          </w:tcPr>
          <w:p>
            <w:pPr>
              <w:jc w:val="center"/>
            </w:pPr>
          </w:p>
        </w:tc>
        <w:tc>
          <w:tcPr>
            <w:tcW w:type="dxa" w:w="1320"/>
            <w:gridSpan w:val="4"/>
            <w:tcBorders>
              <w:top w:val="none" w:color="000000" w:sz="4"/>
              <w:left w:val="single" w:color="000000" w:sz="4"/>
              <w:bottom w:val="single" w:color="000000" w:sz="4"/>
              <w:right w:val="single" w:color="000000" w:sz="4"/>
            </w:tcBorders>
            <w:vAlign w:val="top"/>
          </w:tcPr>
          <w:p>
            <w:pPr>
              <w:jc w:val="center"/>
            </w:pPr>
          </w:p>
        </w:tc>
        <w:tc>
          <w:tcPr>
            <w:tcW w:type="dxa" w:w="922"/>
            <w:tcBorders>
              <w:top w:val="none" w:color="000000" w:sz="4"/>
              <w:left w:val="none" w:color="000000" w:sz="4"/>
              <w:bottom w:val="single" w:color="000000" w:sz="4"/>
              <w:right w:val="single" w:color="000000" w:sz="4"/>
            </w:tcBorders>
            <w:vAlign w:val="top"/>
          </w:tcPr>
          <w:p>
            <w:pPr>
              <w:jc w:val="center"/>
            </w:pPr>
          </w:p>
        </w:tc>
        <w:tc>
          <w:tcPr>
            <w:tcW w:type="dxa" w:w="2632"/>
            <w:gridSpan w:val="4"/>
            <w:tcBorders>
              <w:top w:val="none" w:color="000000" w:sz="4"/>
              <w:left w:val="none" w:color="000000" w:sz="4"/>
              <w:bottom w:val="single" w:color="000000" w:sz="4"/>
              <w:right w:val="single" w:color="000000" w:sz="4"/>
            </w:tcBorders>
            <w:vAlign w:val="top"/>
          </w:tcPr>
          <w:p>
            <w:pPr>
              <w:jc w:val="center"/>
            </w:pPr>
          </w:p>
        </w:tc>
        <w:tc>
          <w:tcPr>
            <w:tcW w:type="dxa" w:w="2364"/>
            <w:gridSpan w:val="2"/>
            <w:tcBorders>
              <w:top w:val="none" w:color="000000" w:sz="4"/>
              <w:left w:val="none" w:color="000000" w:sz="4"/>
              <w:bottom w:val="single" w:color="000000" w:sz="4"/>
              <w:right w:val="single" w:color="000000" w:sz="4"/>
            </w:tcBorders>
            <w:vAlign w:val="top"/>
          </w:tcPr>
          <w:p>
            <w:r>
              <w:rPr>
                <w:sz w:val="19"/>
              </w:rPr>
              <w:t xml:space="preserve"> </w:t>
            </w:r>
          </w:p>
          <w:p>
            <w:pPr>
              <w:jc w:val="center"/>
            </w:pP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sz w:val="32"/>
              </w:rPr>
              <w:t>交车地点：</w:t>
            </w:r>
            <w:r>
              <w:rPr>
                <w:sz w:val="32"/>
              </w:rPr>
              <w:t xml:space="preserve">                                </w:t>
            </w:r>
            <w:r>
              <w:rPr>
                <w:sz w:val="32"/>
              </w:rPr>
              <w:t>交车方式：送车上门</w:t>
            </w: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sz w:val="32"/>
              </w:rPr>
              <w:t>还车地点：</w:t>
            </w:r>
            <w:r>
              <w:rPr>
                <w:sz w:val="32"/>
              </w:rPr>
              <w:t xml:space="preserve">                                </w:t>
            </w:r>
            <w:r>
              <w:rPr>
                <w:sz w:val="32"/>
              </w:rPr>
              <w:t>还车方式：上门取车</w:t>
            </w:r>
          </w:p>
        </w:tc>
      </w:tr>
      <w:tr>
        <w:tc>
          <w:tcPr>
            <w:tcW w:type="dxa" w:w="1355"/>
            <w:gridSpan w:val="2"/>
            <w:tcBorders>
              <w:top w:val="none" w:color="000000" w:sz="4"/>
              <w:left w:val="single" w:color="000000" w:sz="4"/>
              <w:bottom w:val="single" w:color="000000" w:sz="4"/>
              <w:right w:val="single" w:color="000000" w:sz="4"/>
            </w:tcBorders>
            <w:vAlign w:val="top"/>
          </w:tcPr>
          <w:p>
            <w:pPr>
              <w:jc w:val="left"/>
            </w:pPr>
            <w:r>
              <w:rPr>
                <w:sz w:val="32"/>
              </w:rPr>
              <w:t>车辆用途</w:t>
            </w:r>
          </w:p>
        </w:tc>
        <w:tc>
          <w:tcPr>
            <w:tcW w:type="dxa" w:w="6908"/>
            <w:gridSpan w:val="10"/>
            <w:tcBorders>
              <w:top w:val="single" w:color="000000" w:sz="4"/>
              <w:left w:val="none" w:color="000000" w:sz="4"/>
              <w:bottom w:val="single" w:color="000000" w:sz="4"/>
              <w:right w:val="single" w:color="000000" w:sz="4"/>
            </w:tcBorders>
            <w:vAlign w:val="top"/>
          </w:tcPr>
          <w:p>
            <w:pPr>
              <w:jc w:val="left"/>
            </w:pPr>
            <w:r>
              <w:rPr>
                <w:sz w:val="21"/>
              </w:rPr>
              <w:t xml:space="preserve">                                                                                                                                                                </w:t>
            </w:r>
          </w:p>
        </w:tc>
      </w:tr>
      <w:tr>
        <w:tc>
          <w:tcPr>
            <w:tcW w:type="dxa" w:w="1355"/>
            <w:gridSpan w:val="2"/>
            <w:tcBorders>
              <w:top w:val="none" w:color="000000" w:sz="4"/>
              <w:left w:val="single" w:color="000000" w:sz="4"/>
              <w:bottom w:val="single" w:color="000000" w:sz="4"/>
              <w:right w:val="single" w:color="000000" w:sz="4"/>
            </w:tcBorders>
            <w:vAlign w:val="top"/>
          </w:tcPr>
          <w:p>
            <w:pPr>
              <w:jc w:val="center"/>
            </w:pPr>
            <w:r>
              <w:rPr>
                <w:sz w:val="32"/>
              </w:rPr>
              <w:t>租赁期限</w:t>
            </w:r>
          </w:p>
        </w:tc>
        <w:tc>
          <w:tcPr>
            <w:tcW w:type="dxa" w:w="6908"/>
            <w:gridSpan w:val="10"/>
            <w:tcBorders>
              <w:top w:val="none" w:color="000000" w:sz="4"/>
              <w:left w:val="none" w:color="000000" w:sz="4"/>
              <w:bottom w:val="single" w:color="000000" w:sz="4"/>
              <w:right w:val="single" w:color="000000" w:sz="4"/>
            </w:tcBorders>
            <w:vAlign w:val="top"/>
          </w:tcPr>
          <w:p>
            <w:pPr>
              <w:jc w:val="left"/>
            </w:pPr>
            <w:r>
              <w:rPr>
                <w:sz w:val="32"/>
              </w:rPr>
              <w:t>粤</w:t>
            </w:r>
            <w:r>
              <w:rPr>
                <w:sz w:val="32"/>
              </w:rPr>
              <w:t>A</w:t>
            </w:r>
            <w:r>
              <w:rPr>
                <w:sz w:val="21"/>
                <w:u w:val="single"/>
              </w:rPr>
              <w:t xml:space="preserve">   </w:t>
            </w:r>
            <w:r>
              <w:rPr>
                <w:sz w:val="32"/>
              </w:rPr>
              <w:t>、粤</w:t>
            </w:r>
            <w:r>
              <w:rPr>
                <w:sz w:val="32"/>
              </w:rPr>
              <w:t>A</w:t>
            </w:r>
            <w:r>
              <w:rPr>
                <w:sz w:val="21"/>
                <w:u w:val="single"/>
              </w:rPr>
              <w:t xml:space="preserve">   </w:t>
            </w:r>
            <w:r>
              <w:rPr>
                <w:sz w:val="32"/>
              </w:rPr>
              <w:t>、粤</w:t>
            </w:r>
            <w:r>
              <w:rPr>
                <w:sz w:val="32"/>
              </w:rPr>
              <w:t>A</w:t>
            </w:r>
            <w:r>
              <w:rPr>
                <w:sz w:val="21"/>
                <w:u w:val="single"/>
              </w:rPr>
              <w:t xml:space="preserve">   </w:t>
            </w:r>
            <w:r>
              <w:rPr>
                <w:sz w:val="32"/>
              </w:rPr>
              <w:t>、粤</w:t>
            </w:r>
            <w:r>
              <w:rPr>
                <w:sz w:val="32"/>
              </w:rPr>
              <w:t>A</w:t>
            </w:r>
            <w:r>
              <w:rPr>
                <w:sz w:val="21"/>
                <w:u w:val="single"/>
              </w:rPr>
              <w:t xml:space="preserve">   </w:t>
            </w:r>
            <w:r>
              <w:rPr>
                <w:sz w:val="32"/>
              </w:rPr>
              <w:t>、粤</w:t>
            </w:r>
            <w:r>
              <w:rPr>
                <w:sz w:val="32"/>
              </w:rPr>
              <w:t>A</w:t>
            </w:r>
            <w:r>
              <w:rPr>
                <w:sz w:val="21"/>
                <w:u w:val="single"/>
              </w:rPr>
              <w:t xml:space="preserve">   </w:t>
            </w:r>
            <w:r>
              <w:rPr>
                <w:sz w:val="32"/>
              </w:rPr>
              <w:t>、粤</w:t>
            </w:r>
            <w:r>
              <w:rPr>
                <w:sz w:val="32"/>
              </w:rPr>
              <w:t>A</w:t>
            </w:r>
            <w:r>
              <w:rPr>
                <w:sz w:val="21"/>
                <w:u w:val="single"/>
              </w:rPr>
              <w:t xml:space="preserve">   </w:t>
            </w:r>
            <w:r>
              <w:rPr>
                <w:sz w:val="32"/>
              </w:rPr>
              <w:t>共</w:t>
            </w:r>
            <w:r>
              <w:rPr>
                <w:sz w:val="21"/>
                <w:u w:val="single"/>
              </w:rPr>
              <w:t xml:space="preserve">  </w:t>
            </w:r>
            <w:r>
              <w:rPr>
                <w:sz w:val="32"/>
              </w:rPr>
              <w:t>台，日期</w:t>
            </w:r>
            <w:r>
              <w:rPr>
                <w:color w:val="000000"/>
                <w:sz w:val="32"/>
                <w:u w:val="single"/>
              </w:rPr>
              <w:t>从</w:t>
            </w:r>
            <w:r>
              <w:rPr>
                <w:color w:val="000000"/>
                <w:sz w:val="32"/>
                <w:u w:val="single"/>
              </w:rPr>
              <w:t xml:space="preserve">   </w:t>
            </w:r>
            <w:r>
              <w:rPr>
                <w:color w:val="000000"/>
                <w:sz w:val="32"/>
                <w:u w:val="single"/>
              </w:rPr>
              <w:t>年</w:t>
            </w:r>
            <w:r>
              <w:rPr>
                <w:color w:val="000000"/>
                <w:sz w:val="32"/>
                <w:u w:val="single"/>
              </w:rPr>
              <w:t xml:space="preserve">  </w:t>
            </w:r>
            <w:r>
              <w:rPr>
                <w:color w:val="000000"/>
                <w:sz w:val="32"/>
                <w:u w:val="single"/>
              </w:rPr>
              <w:t>月</w:t>
            </w:r>
            <w:r>
              <w:rPr>
                <w:color w:val="000000"/>
                <w:sz w:val="32"/>
                <w:u w:val="single"/>
              </w:rPr>
              <w:t xml:space="preserve">  </w:t>
            </w:r>
            <w:r>
              <w:rPr>
                <w:color w:val="000000"/>
                <w:sz w:val="32"/>
                <w:u w:val="single"/>
              </w:rPr>
              <w:t>日至</w:t>
            </w:r>
            <w:r>
              <w:rPr>
                <w:color w:val="000000"/>
                <w:sz w:val="32"/>
                <w:u w:val="single"/>
              </w:rPr>
              <w:t xml:space="preserve">  </w:t>
            </w:r>
            <w:r>
              <w:rPr>
                <w:color w:val="000000"/>
                <w:sz w:val="32"/>
                <w:u w:val="single"/>
              </w:rPr>
              <w:t>年</w:t>
            </w:r>
            <w:r>
              <w:rPr>
                <w:color w:val="000000"/>
                <w:sz w:val="32"/>
                <w:u w:val="single"/>
              </w:rPr>
              <w:t xml:space="preserve">  </w:t>
            </w:r>
            <w:r>
              <w:rPr>
                <w:color w:val="000000"/>
                <w:sz w:val="32"/>
                <w:u w:val="single"/>
              </w:rPr>
              <w:t>月</w:t>
            </w:r>
            <w:r>
              <w:rPr>
                <w:color w:val="000000"/>
                <w:sz w:val="32"/>
                <w:u w:val="single"/>
              </w:rPr>
              <w:t xml:space="preserve">  </w:t>
            </w:r>
            <w:r>
              <w:rPr>
                <w:color w:val="000000"/>
                <w:sz w:val="32"/>
                <w:u w:val="single"/>
              </w:rPr>
              <w:t>日，共计</w:t>
            </w:r>
            <w:r>
              <w:rPr>
                <w:color w:val="000000"/>
                <w:sz w:val="32"/>
                <w:u w:val="single"/>
              </w:rPr>
              <w:t xml:space="preserve">  </w:t>
            </w:r>
            <w:r>
              <w:rPr>
                <w:color w:val="000000"/>
                <w:sz w:val="32"/>
                <w:u w:val="single"/>
              </w:rPr>
              <w:t>个月</w:t>
            </w:r>
            <w:r>
              <w:rPr>
                <w:color w:val="000000"/>
                <w:sz w:val="32"/>
              </w:rPr>
              <w:t>。如需在租赁期限届满后继续承租的，承租人应当在租赁期限届满之前提前</w:t>
            </w:r>
            <w:r>
              <w:rPr>
                <w:color w:val="000000"/>
                <w:sz w:val="32"/>
                <w:u w:val="single"/>
              </w:rPr>
              <w:t>15</w:t>
            </w:r>
            <w:r>
              <w:rPr>
                <w:color w:val="000000"/>
                <w:sz w:val="32"/>
              </w:rPr>
              <w:t>日向出租人提出，并经出租人同意后办理续租手续。</w:t>
            </w:r>
          </w:p>
        </w:tc>
      </w:tr>
      <w:tr>
        <w:tc>
          <w:tcPr>
            <w:tcW w:type="dxa" w:w="8263"/>
            <w:gridSpan w:val="12"/>
            <w:tcBorders>
              <w:top w:val="none" w:color="000000" w:sz="4"/>
              <w:left w:val="single" w:color="000000" w:sz="4"/>
              <w:bottom w:val="single" w:color="000000" w:sz="4"/>
              <w:right w:val="single" w:color="000000" w:sz="4"/>
            </w:tcBorders>
            <w:vAlign w:val="top"/>
          </w:tcPr>
          <w:p>
            <w:pPr>
              <w:jc w:val="center"/>
            </w:pPr>
            <w:r>
              <w:rPr>
                <w:sz w:val="32"/>
              </w:rPr>
              <w:t>租车费用标准</w:t>
            </w:r>
            <w:r>
              <w:rPr>
                <w:b/>
                <w:sz w:val="21"/>
              </w:rPr>
              <w:t xml:space="preserve"> </w:t>
            </w:r>
          </w:p>
        </w:tc>
      </w:tr>
      <w:tr>
        <w:tc>
          <w:tcPr>
            <w:tcW w:type="dxa" w:w="2015"/>
            <w:gridSpan w:val="4"/>
            <w:tcBorders>
              <w:top w:val="none" w:color="000000" w:sz="4"/>
              <w:left w:val="single" w:color="000000" w:sz="4"/>
              <w:bottom w:val="single" w:color="000000" w:sz="4"/>
              <w:right w:val="single" w:color="000000" w:sz="4"/>
            </w:tcBorders>
            <w:vAlign w:val="top"/>
          </w:tcPr>
          <w:p>
            <w:pPr>
              <w:jc w:val="center"/>
            </w:pPr>
            <w:r>
              <w:rPr>
                <w:sz w:val="32"/>
              </w:rPr>
              <w:t>租金标准</w:t>
            </w:r>
          </w:p>
        </w:tc>
        <w:tc>
          <w:tcPr>
            <w:tcW w:type="dxa" w:w="6248"/>
            <w:gridSpan w:val="8"/>
            <w:tcBorders>
              <w:top w:val="single" w:color="000000" w:sz="4"/>
              <w:left w:val="none" w:color="000000" w:sz="4"/>
              <w:bottom w:val="single" w:color="000000" w:sz="4"/>
              <w:right w:val="single" w:color="000000" w:sz="4"/>
            </w:tcBorders>
            <w:vAlign w:val="top"/>
          </w:tcPr>
          <w:p>
            <w:pPr>
              <w:jc w:val="center"/>
            </w:pPr>
            <w:r>
              <w:rPr>
                <w:sz w:val="32"/>
              </w:rPr>
              <w:t>租金总额</w:t>
            </w:r>
          </w:p>
        </w:tc>
      </w:tr>
      <w:tr>
        <w:tc>
          <w:tcPr>
            <w:tcW w:type="dxa" w:w="2015"/>
            <w:gridSpan w:val="4"/>
            <w:tcBorders>
              <w:top w:val="none" w:color="000000" w:sz="4"/>
              <w:left w:val="single" w:color="000000" w:sz="4"/>
              <w:bottom w:val="single" w:color="000000" w:sz="4"/>
              <w:right w:val="single" w:color="000000" w:sz="4"/>
            </w:tcBorders>
            <w:vAlign w:val="top"/>
          </w:tcPr>
          <w:p>
            <w:pPr>
              <w:jc w:val="center"/>
            </w:pPr>
            <w:r>
              <w:rPr>
                <w:sz w:val="32"/>
              </w:rPr>
              <w:t>元</w:t>
            </w:r>
            <w:r>
              <w:rPr>
                <w:sz w:val="32"/>
              </w:rPr>
              <w:t>/台/月</w:t>
            </w:r>
          </w:p>
        </w:tc>
        <w:tc>
          <w:tcPr>
            <w:tcW w:type="dxa" w:w="2360"/>
            <w:gridSpan w:val="4"/>
            <w:tcBorders>
              <w:top w:val="none" w:color="000000" w:sz="4"/>
              <w:left w:val="none" w:color="000000" w:sz="4"/>
              <w:bottom w:val="single" w:color="000000" w:sz="4"/>
              <w:right w:val="single" w:color="000000" w:sz="4"/>
            </w:tcBorders>
            <w:vAlign w:val="top"/>
          </w:tcPr>
          <w:p>
            <w:pPr>
              <w:jc w:val="left"/>
            </w:pPr>
            <w:r>
              <w:rPr>
                <w:sz w:val="32"/>
              </w:rPr>
              <w:t>小写：</w:t>
            </w:r>
            <w:r>
              <w:rPr>
                <w:sz w:val="21"/>
                <w:u w:val="single"/>
              </w:rPr>
              <w:t xml:space="preserve">       </w:t>
            </w:r>
            <w:r>
              <w:rPr>
                <w:sz w:val="32"/>
              </w:rPr>
              <w:t>元</w:t>
            </w:r>
          </w:p>
        </w:tc>
        <w:tc>
          <w:tcPr>
            <w:tcW w:type="dxa" w:w="3888"/>
            <w:gridSpan w:val="4"/>
            <w:tcBorders>
              <w:top w:val="single" w:color="000000" w:sz="4"/>
              <w:left w:val="none" w:color="000000" w:sz="4"/>
              <w:bottom w:val="single" w:color="000000" w:sz="4"/>
              <w:right w:val="single" w:color="000000" w:sz="4"/>
            </w:tcBorders>
            <w:vAlign w:val="top"/>
          </w:tcPr>
          <w:p>
            <w:pPr>
              <w:jc w:val="left"/>
            </w:pPr>
            <w:r>
              <w:rPr>
                <w:sz w:val="32"/>
              </w:rPr>
              <w:t>（大写：</w:t>
            </w:r>
            <w:r>
              <w:rPr>
                <w:sz w:val="21"/>
                <w:u w:val="single"/>
              </w:rPr>
              <w:t xml:space="preserve">               </w:t>
            </w:r>
            <w:r>
              <w:rPr>
                <w:sz w:val="32"/>
              </w:rPr>
              <w:t>）</w:t>
            </w:r>
          </w:p>
        </w:tc>
      </w:tr>
      <w:tr>
        <w:tc>
          <w:tcPr>
            <w:tcW w:type="dxa" w:w="2015"/>
            <w:gridSpan w:val="4"/>
            <w:tcBorders>
              <w:top w:val="none" w:color="000000" w:sz="4"/>
              <w:left w:val="single" w:color="000000" w:sz="4"/>
              <w:bottom w:val="single" w:color="000000" w:sz="4"/>
              <w:right w:val="single" w:color="000000" w:sz="4"/>
            </w:tcBorders>
            <w:vAlign w:val="top"/>
          </w:tcPr>
          <w:p>
            <w:pPr>
              <w:jc w:val="center"/>
            </w:pPr>
            <w:r>
              <w:rPr>
                <w:sz w:val="32"/>
              </w:rPr>
              <w:t>超时费标准</w:t>
            </w:r>
          </w:p>
        </w:tc>
        <w:tc>
          <w:tcPr>
            <w:tcW w:type="dxa" w:w="6248"/>
            <w:gridSpan w:val="8"/>
            <w:tcBorders>
              <w:top w:val="none" w:color="000000" w:sz="4"/>
              <w:left w:val="none" w:color="000000" w:sz="4"/>
              <w:bottom w:val="single" w:color="000000" w:sz="4"/>
              <w:right w:val="single" w:color="000000" w:sz="4"/>
            </w:tcBorders>
            <w:vAlign w:val="top"/>
          </w:tcPr>
          <w:p>
            <w:pPr>
              <w:jc w:val="center"/>
            </w:pPr>
            <w:r>
              <w:rPr>
                <w:sz w:val="32"/>
              </w:rPr>
              <w:t>超程费标准</w:t>
            </w:r>
          </w:p>
        </w:tc>
      </w:tr>
      <w:tr>
        <w:tc>
          <w:tcPr>
            <w:tcW w:type="dxa" w:w="2015"/>
            <w:gridSpan w:val="4"/>
            <w:tcBorders>
              <w:top w:val="none" w:color="000000" w:sz="4"/>
              <w:left w:val="single" w:color="000000" w:sz="4"/>
              <w:bottom w:val="single" w:color="000000" w:sz="4"/>
              <w:right w:val="single" w:color="000000" w:sz="4"/>
            </w:tcBorders>
            <w:vAlign w:val="top"/>
          </w:tcPr>
          <w:p>
            <w:pPr>
              <w:jc w:val="center"/>
            </w:pPr>
            <w:r>
              <w:rPr>
                <w:sz w:val="32"/>
              </w:rPr>
              <w:t>逾期还车，按照元</w:t>
            </w:r>
            <w:r>
              <w:rPr>
                <w:sz w:val="32"/>
              </w:rPr>
              <w:t>/天/台计算</w:t>
            </w:r>
          </w:p>
        </w:tc>
        <w:tc>
          <w:tcPr>
            <w:tcW w:type="dxa" w:w="6248"/>
            <w:gridSpan w:val="8"/>
            <w:tcBorders>
              <w:top w:val="none" w:color="000000" w:sz="4"/>
              <w:left w:val="none" w:color="000000" w:sz="4"/>
              <w:bottom w:val="single" w:color="000000" w:sz="4"/>
              <w:right w:val="single" w:color="000000" w:sz="4"/>
            </w:tcBorders>
            <w:vAlign w:val="top"/>
          </w:tcPr>
          <w:p>
            <w:pPr>
              <w:jc w:val="center"/>
            </w:pPr>
            <w:r>
              <w:rPr>
                <w:color w:val="000000"/>
                <w:sz w:val="32"/>
              </w:rPr>
              <w:t>每日限行</w:t>
            </w:r>
            <w:r>
              <w:rPr>
                <w:sz w:val="21"/>
                <w:u w:val="single"/>
              </w:rPr>
              <w:t xml:space="preserve">   </w:t>
            </w:r>
            <w:r>
              <w:rPr>
                <w:sz w:val="21"/>
                <w:u w:val="single"/>
              </w:rPr>
              <w:t xml:space="preserve"> </w:t>
            </w:r>
            <w:r>
              <w:rPr>
                <w:color w:val="000000"/>
                <w:sz w:val="32"/>
              </w:rPr>
              <w:t>公里，超出按照</w:t>
            </w:r>
            <w:r>
              <w:rPr>
                <w:sz w:val="21"/>
                <w:u w:val="single"/>
              </w:rPr>
              <w:t xml:space="preserve">    </w:t>
            </w:r>
            <w:r>
              <w:rPr>
                <w:color w:val="000000"/>
                <w:sz w:val="32"/>
              </w:rPr>
              <w:t>元</w:t>
            </w:r>
            <w:r>
              <w:rPr>
                <w:color w:val="000000"/>
                <w:sz w:val="32"/>
              </w:rPr>
              <w:t>/公里/台计算</w:t>
            </w:r>
          </w:p>
        </w:tc>
      </w:tr>
      <w:tr>
        <w:tc>
          <w:tcPr>
            <w:tcW w:type="dxa" w:w="8263"/>
            <w:gridSpan w:val="12"/>
            <w:tcBorders>
              <w:top w:val="none" w:color="000000" w:sz="4"/>
              <w:left w:val="single" w:color="000000" w:sz="4"/>
              <w:bottom w:val="single" w:color="000000" w:sz="4"/>
              <w:right w:val="single" w:color="000000" w:sz="4"/>
            </w:tcBorders>
            <w:vAlign w:val="top"/>
          </w:tcPr>
          <w:p>
            <w:pPr>
              <w:jc w:val="center"/>
            </w:pPr>
            <w:r>
              <w:rPr>
                <w:sz w:val="32"/>
              </w:rPr>
              <w:t>租金支付方式</w:t>
            </w:r>
          </w:p>
        </w:tc>
      </w:tr>
      <w:tr>
        <w:tc>
          <w:tcPr>
            <w:tcW w:type="dxa" w:w="1685"/>
            <w:gridSpan w:val="3"/>
            <w:tcBorders>
              <w:top w:val="none" w:color="000000" w:sz="4"/>
              <w:left w:val="single" w:color="000000" w:sz="4"/>
              <w:bottom w:val="single" w:color="000000" w:sz="4"/>
              <w:right w:val="single" w:color="000000" w:sz="4"/>
            </w:tcBorders>
            <w:vAlign w:val="top"/>
          </w:tcPr>
          <w:p>
            <w:pPr>
              <w:jc w:val="center"/>
            </w:pPr>
            <w:r>
              <w:rPr>
                <w:sz w:val="32"/>
              </w:rPr>
              <w:t>一次性支付：</w:t>
            </w:r>
          </w:p>
        </w:tc>
        <w:tc>
          <w:tcPr>
            <w:tcW w:type="dxa" w:w="6578"/>
            <w:gridSpan w:val="9"/>
            <w:tcBorders>
              <w:top w:val="single" w:color="000000" w:sz="4"/>
              <w:left w:val="none" w:color="000000" w:sz="4"/>
              <w:bottom w:val="single" w:color="000000" w:sz="4"/>
              <w:right w:val="single" w:color="000000" w:sz="4"/>
            </w:tcBorders>
            <w:vAlign w:val="top"/>
          </w:tcPr>
          <w:p>
            <w:pPr>
              <w:jc w:val="center"/>
            </w:pP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日前一次性结清全部租金</w:t>
            </w:r>
            <w:r>
              <w:rPr>
                <w:sz w:val="21"/>
                <w:u w:val="single"/>
              </w:rPr>
              <w:t xml:space="preserve">    </w:t>
            </w:r>
            <w:r>
              <w:rPr>
                <w:sz w:val="32"/>
              </w:rPr>
              <w:t>元。</w:t>
            </w:r>
          </w:p>
        </w:tc>
      </w:tr>
      <w:tr>
        <w:tc>
          <w:tcPr>
            <w:tcW w:type="dxa" w:w="1685"/>
            <w:gridSpan w:val="3"/>
            <w:tcBorders>
              <w:top w:val="none" w:color="000000" w:sz="4"/>
              <w:left w:val="single" w:color="000000" w:sz="4"/>
              <w:bottom w:val="single" w:color="000000" w:sz="4"/>
              <w:right w:val="single" w:color="000000" w:sz="4"/>
            </w:tcBorders>
            <w:vAlign w:val="top"/>
          </w:tcPr>
          <w:p>
            <w:pPr>
              <w:jc w:val="center"/>
            </w:pPr>
            <w:r>
              <w:rPr>
                <w:sz w:val="32"/>
              </w:rPr>
              <w:t>分期支付：</w:t>
            </w:r>
          </w:p>
        </w:tc>
        <w:tc>
          <w:tcPr>
            <w:tcW w:type="dxa" w:w="6578"/>
            <w:gridSpan w:val="9"/>
            <w:tcBorders>
              <w:top w:val="none" w:color="000000" w:sz="4"/>
              <w:left w:val="none" w:color="000000" w:sz="4"/>
              <w:bottom w:val="single" w:color="000000" w:sz="4"/>
              <w:right w:val="single" w:color="000000" w:sz="4"/>
            </w:tcBorders>
            <w:vAlign w:val="top"/>
          </w:tcPr>
          <w:p>
            <w:pPr>
              <w:ind w:firstLine="640"/>
              <w:jc w:val="left"/>
            </w:pP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sz w:val="32"/>
              </w:rPr>
              <w:t>应当于</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日前支付租金</w:t>
            </w:r>
            <w:r>
              <w:rPr>
                <w:sz w:val="32"/>
              </w:rPr>
              <w:t>:</w:t>
            </w:r>
            <w:r>
              <w:rPr>
                <w:sz w:val="21"/>
                <w:u w:val="single"/>
              </w:rPr>
              <w:t xml:space="preserve">     </w:t>
            </w:r>
            <w:r>
              <w:rPr>
                <w:sz w:val="32"/>
              </w:rPr>
              <w:t>元及履约保证金</w:t>
            </w:r>
            <w:r>
              <w:rPr>
                <w:sz w:val="32"/>
              </w:rPr>
              <w:t>:</w:t>
            </w:r>
            <w:r>
              <w:rPr>
                <w:sz w:val="21"/>
                <w:u w:val="single"/>
              </w:rPr>
              <w:t xml:space="preserve">     </w:t>
            </w:r>
            <w:r>
              <w:rPr>
                <w:sz w:val="32"/>
              </w:rPr>
              <w:t>元，之后每期租金支付时间为该支付周期首月的之前。</w:t>
            </w:r>
            <w:r>
              <w:rPr>
                <w:sz w:val="32"/>
              </w:rPr>
              <w:t xml:space="preserve">                                      </w:t>
            </w: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color w:val="000000"/>
                <w:sz w:val="32"/>
              </w:rPr>
              <w:t>除机动车交通事故责任强制保险外，出租人已投保保险种类及保额</w:t>
            </w:r>
            <w:r>
              <w:rPr>
                <w:color w:val="000000"/>
                <w:sz w:val="32"/>
              </w:rPr>
              <w:t>:</w:t>
            </w:r>
            <w:r>
              <w:br/>
            </w:r>
            <w:r>
              <w:rPr>
                <w:color w:val="000000"/>
                <w:sz w:val="32"/>
              </w:rPr>
              <w:t>☑</w:t>
            </w:r>
            <w:r>
              <w:rPr>
                <w:color w:val="000000"/>
                <w:sz w:val="32"/>
              </w:rPr>
              <w:t>第三者责任险</w:t>
            </w:r>
            <w:r>
              <w:rPr>
                <w:sz w:val="21"/>
              </w:rPr>
              <w:t xml:space="preserve">  </w:t>
            </w:r>
            <w:r>
              <w:rPr>
                <w:color w:val="000000"/>
                <w:sz w:val="32"/>
              </w:rPr>
              <w:t>☑</w:t>
            </w:r>
            <w:r>
              <w:rPr>
                <w:color w:val="000000"/>
                <w:sz w:val="32"/>
              </w:rPr>
              <w:t>车辆损失险</w:t>
            </w:r>
            <w:r>
              <w:rPr>
                <w:sz w:val="21"/>
              </w:rPr>
              <w:t xml:space="preserve"> </w:t>
            </w:r>
            <w:r>
              <w:rPr>
                <w:color w:val="000000"/>
                <w:sz w:val="32"/>
              </w:rPr>
              <w:t>☑</w:t>
            </w:r>
            <w:r>
              <w:rPr>
                <w:color w:val="000000"/>
                <w:sz w:val="32"/>
              </w:rPr>
              <w:t>车上人员责任险</w:t>
            </w:r>
            <w:r>
              <w:rPr>
                <w:sz w:val="21"/>
              </w:rPr>
              <w:t xml:space="preserve"> </w:t>
            </w:r>
            <w:r>
              <w:rPr>
                <w:color w:val="000000"/>
                <w:sz w:val="32"/>
              </w:rPr>
              <w:t>☑</w:t>
            </w:r>
            <w:r>
              <w:rPr>
                <w:color w:val="000000"/>
                <w:sz w:val="32"/>
              </w:rPr>
              <w:t>不计免赔险</w:t>
            </w:r>
            <w:r>
              <w:rPr>
                <w:sz w:val="21"/>
              </w:rPr>
              <w:t xml:space="preserve"> </w:t>
            </w: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color w:val="000000"/>
                <w:sz w:val="32"/>
              </w:rPr>
              <w:t>争议解决办法（选择其一）：</w:t>
            </w:r>
            <w:r>
              <w:rPr>
                <w:color w:val="000000"/>
                <w:sz w:val="32"/>
              </w:rPr>
              <w:t>□向本合同签订地人民法院提起诉 □向出租人所在地人民法院提起诉讼</w:t>
            </w:r>
            <w:r>
              <w:rPr>
                <w:color w:val="000000"/>
                <w:sz w:val="32"/>
              </w:rPr>
              <w:t>☑</w:t>
            </w:r>
            <w:r>
              <w:rPr>
                <w:color w:val="000000"/>
                <w:sz w:val="32"/>
              </w:rPr>
              <w:t>向承租人所在地人民法院提起诉讼</w:t>
            </w:r>
            <w:r>
              <w:rPr>
                <w:color w:val="000000"/>
                <w:sz w:val="32"/>
              </w:rPr>
              <w:t xml:space="preserve"> </w:t>
            </w:r>
            <w:r>
              <w:rPr>
                <w:color w:val="000000"/>
                <w:sz w:val="32"/>
              </w:rPr>
              <w:t>□向北京仲裁委员会申请仲裁 □向仲裁委员会申请仲裁</w:t>
            </w: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sz w:val="32"/>
              </w:rPr>
              <w:t>补充约定：</w:t>
            </w:r>
          </w:p>
          <w:p>
            <w:pPr>
              <w:ind w:firstLine="640"/>
              <w:jc w:val="left"/>
            </w:pPr>
            <w:r>
              <w:rPr>
                <w:sz w:val="32"/>
              </w:rPr>
              <w:t>1.承租方因驾驶租赁车辆发生有责事故，对租赁车辆造成车辆单次损失在5000元（含）以上，以保险公司定损额为准，将赔付给出租方车辆定损金额的10%作为车辆加速折旧费。</w:t>
            </w:r>
            <w:r>
              <w:br/>
            </w:r>
            <w:r>
              <w:rPr>
                <w:sz w:val="32"/>
              </w:rPr>
              <w:t xml:space="preserve">  </w:t>
            </w:r>
            <w:r>
              <w:rPr>
                <w:sz w:val="32"/>
              </w:rPr>
              <w:t xml:space="preserve">2.租赁期间租赁车辆发生二次（含二次）以上有责事故，导致车辆次年保险费上涨的，承租方应按保监会的相关规定支付保险上涨部分的费用。    </w:t>
            </w:r>
          </w:p>
          <w:p>
            <w:pPr>
              <w:ind w:firstLine="640"/>
              <w:jc w:val="left"/>
            </w:pPr>
            <w:r>
              <w:rPr>
                <w:sz w:val="32"/>
              </w:rPr>
              <w:t>3.</w:t>
            </w:r>
            <w:r>
              <w:rPr>
                <w:color w:val="000000"/>
                <w:sz w:val="32"/>
              </w:rPr>
              <w:t>租赁期限届满前</w:t>
            </w:r>
            <w:r>
              <w:rPr>
                <w:color w:val="000000"/>
                <w:sz w:val="32"/>
                <w:u w:val="single"/>
              </w:rPr>
              <w:t>15</w:t>
            </w:r>
            <w:r>
              <w:rPr>
                <w:color w:val="000000"/>
                <w:sz w:val="32"/>
              </w:rPr>
              <w:t>日内</w:t>
            </w:r>
            <w:r>
              <w:rPr>
                <w:sz w:val="32"/>
              </w:rPr>
              <w:t>，甲方未处理租赁期内车辆交通违法记录的，除交通违法罚款按合同约定在交通违法保证金中予以扣除外，出租方有权按照交通违法扣分</w:t>
            </w:r>
            <w:r>
              <w:rPr>
                <w:sz w:val="32"/>
              </w:rPr>
              <w:t>100元/分的标准收取违约金，此违约金在交通违法保证金中优先扣除。</w:t>
            </w:r>
          </w:p>
        </w:tc>
      </w:tr>
      <w:tr>
        <w:tc>
          <w:tcPr>
            <w:tcW w:type="dxa" w:w="8263"/>
            <w:gridSpan w:val="12"/>
            <w:tcBorders>
              <w:top w:val="none" w:color="000000" w:sz="4"/>
              <w:left w:val="single" w:color="000000" w:sz="4"/>
              <w:bottom w:val="single" w:color="000000" w:sz="4"/>
              <w:right w:val="single" w:color="000000" w:sz="4"/>
            </w:tcBorders>
            <w:vAlign w:val="top"/>
          </w:tcPr>
          <w:p>
            <w:pPr>
              <w:jc w:val="left"/>
            </w:pPr>
            <w:r>
              <w:rPr>
                <w:sz w:val="32"/>
              </w:rPr>
              <w:t>签署地：广州市增城区石滩镇人民政府</w:t>
            </w:r>
          </w:p>
        </w:tc>
      </w:tr>
    </w:tbl>
    <w:p>
      <w:pPr>
        <w:ind w:firstLine="708"/>
        <w:jc w:val="left"/>
      </w:pPr>
      <w:r>
        <w:rPr>
          <w:sz w:val="32"/>
        </w:rPr>
        <w:t>（本页以下无正文）</w:t>
      </w:r>
    </w:p>
    <w:p>
      <w:pPr>
        <w:jc w:val="left"/>
      </w:pPr>
    </w:p>
    <w:p>
      <w:pPr>
        <w:jc w:val="both"/>
      </w:pPr>
      <w:r>
        <w:rPr>
          <w:sz w:val="32"/>
        </w:rPr>
        <w:t>甲方名称</w:t>
      </w:r>
      <w:r>
        <w:rPr>
          <w:sz w:val="32"/>
        </w:rPr>
        <w:t>:（盖章）               乙方名称:（盖章）</w:t>
      </w:r>
    </w:p>
    <w:p>
      <w:pPr>
        <w:jc w:val="both"/>
      </w:pPr>
      <w:r>
        <w:rPr>
          <w:sz w:val="32"/>
        </w:rPr>
        <w:t>法定代表人：</w:t>
      </w:r>
      <w:r>
        <w:rPr>
          <w:sz w:val="32"/>
        </w:rPr>
        <w:t xml:space="preserve">                   </w:t>
      </w:r>
      <w:r>
        <w:rPr>
          <w:sz w:val="32"/>
        </w:rPr>
        <w:t>法定代表人：</w:t>
      </w:r>
    </w:p>
    <w:p>
      <w:pPr>
        <w:jc w:val="both"/>
      </w:pPr>
      <w:r>
        <w:rPr>
          <w:sz w:val="32"/>
        </w:rPr>
        <w:t>委托代理人：</w:t>
      </w:r>
      <w:r>
        <w:rPr>
          <w:sz w:val="32"/>
        </w:rPr>
        <w:t xml:space="preserve">                   </w:t>
      </w:r>
      <w:r>
        <w:rPr>
          <w:sz w:val="32"/>
        </w:rPr>
        <w:t>委托代理人：</w:t>
      </w:r>
    </w:p>
    <w:p>
      <w:pPr>
        <w:jc w:val="both"/>
      </w:pPr>
      <w:r>
        <w:rPr>
          <w:sz w:val="32"/>
        </w:rPr>
        <w:t>地址：</w:t>
      </w:r>
      <w:r>
        <w:rPr>
          <w:sz w:val="32"/>
        </w:rPr>
        <w:t xml:space="preserve">                </w:t>
      </w:r>
      <w:r>
        <w:rPr>
          <w:sz w:val="32"/>
        </w:rPr>
        <w:t>地址：</w:t>
      </w:r>
    </w:p>
    <w:p>
      <w:pPr>
        <w:jc w:val="both"/>
      </w:pPr>
      <w:r>
        <w:rPr>
          <w:sz w:val="32"/>
        </w:rPr>
        <w:t>开户银行：</w:t>
      </w:r>
      <w:r>
        <w:rPr>
          <w:sz w:val="32"/>
        </w:rPr>
        <w:t xml:space="preserve">                     </w:t>
      </w:r>
      <w:r>
        <w:rPr>
          <w:sz w:val="32"/>
        </w:rPr>
        <w:t>开户银行：</w:t>
      </w:r>
    </w:p>
    <w:p>
      <w:pPr>
        <w:jc w:val="both"/>
      </w:pPr>
      <w:r>
        <w:rPr>
          <w:sz w:val="32"/>
        </w:rPr>
        <w:t>银行账号：</w:t>
      </w:r>
      <w:r>
        <w:rPr>
          <w:sz w:val="32"/>
        </w:rPr>
        <w:t xml:space="preserve">                     </w:t>
      </w:r>
      <w:r>
        <w:rPr>
          <w:sz w:val="32"/>
        </w:rPr>
        <w:t>银行账号：</w:t>
      </w:r>
    </w:p>
    <w:p>
      <w:pPr>
        <w:jc w:val="both"/>
      </w:pPr>
      <w:r>
        <w:rPr>
          <w:sz w:val="32"/>
        </w:rPr>
        <w:t>签约地点：</w:t>
      </w:r>
      <w:r>
        <w:rPr>
          <w:sz w:val="32"/>
        </w:rPr>
        <w:t xml:space="preserve">          </w:t>
      </w:r>
    </w:p>
    <w:p>
      <w:pPr>
        <w:jc w:val="both"/>
      </w:pPr>
      <w:r>
        <w:rPr>
          <w:sz w:val="32"/>
        </w:rPr>
        <w:t>签约时间：</w:t>
      </w:r>
      <w:r>
        <w:rPr>
          <w:sz w:val="32"/>
        </w:rPr>
        <w:t xml:space="preserve">      </w:t>
      </w:r>
      <w:r>
        <w:rPr>
          <w:sz w:val="32"/>
        </w:rPr>
        <w:t>年</w:t>
      </w:r>
      <w:r>
        <w:rPr>
          <w:sz w:val="32"/>
        </w:rPr>
        <w:t xml:space="preserve">   </w:t>
      </w:r>
      <w:r>
        <w:rPr>
          <w:sz w:val="32"/>
        </w:rPr>
        <w:t>月</w:t>
      </w:r>
      <w:r>
        <w:rPr>
          <w:sz w:val="32"/>
        </w:rPr>
        <w:t xml:space="preserve">   </w:t>
      </w:r>
      <w:r>
        <w:rPr>
          <w:sz w:val="32"/>
        </w:rPr>
        <w:t>日</w:t>
      </w: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440118-2023-05495</w:t>
      </w:r>
    </w:p>
    <w:p>
      <w:pPr>
        <w:jc w:val="center"/>
      </w:pPr>
      <w:r>
        <w:rPr>
          <w:b/>
          <w:sz w:val="24"/>
        </w:rPr>
        <w:t>采购项目编号：</w:t>
      </w:r>
      <w:r>
        <w:rPr>
          <w:b/>
          <w:sz w:val="24"/>
        </w:rPr>
        <w:t>GZGK23D251C0783Z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2024年广州市增城区石滩镇人民政府租用工作用车采购项目</w:t>
      </w:r>
      <w:r>
        <w:rPr>
          <w:u w:val="single"/>
        </w:rPr>
        <w:t>”</w:t>
      </w:r>
      <w:r>
        <w:rPr/>
        <w:t>项目的招标[采购项目编号为：</w:t>
      </w:r>
      <w:r>
        <w:rPr>
          <w:u w:val="single"/>
        </w:rPr>
        <w:t>GZGK23D251C0783Z</w:t>
      </w:r>
      <w:r>
        <w:rPr/>
        <w:t>]，我方愿参与投标。</w:t>
      </w:r>
    </w:p>
    <w:p>
      <w:pPr>
        <w:ind w:firstLine="480"/>
      </w:pPr>
      <w:r>
        <w:rPr/>
        <w:t>我方确认收到贵方提供的</w:t>
      </w:r>
      <w:r>
        <w:rPr>
          <w:u w:val="single"/>
        </w:rPr>
        <w:t>“</w:t>
      </w:r>
      <w:r>
        <w:rPr>
          <w:u w:val="single"/>
        </w:rPr>
        <w:t>2024年广州市增城区石滩镇人民政府租用工作用车采购项目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2024年广州市增城区石滩镇人民政府租用工作用车采购项目</w:t>
      </w:r>
      <w:r>
        <w:rPr/>
        <w:t>”项目采购[采购项目编号为</w:t>
      </w:r>
      <w:r>
        <w:rPr/>
        <w:t>GZGK23D251C0783Z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广州市增城区石滩镇人民政府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2024年广州市增城区石滩镇人民政府租用工作用车采购项目</w:t>
      </w:r>
      <w:r>
        <w:rPr/>
        <w:t>招标中获中标（采购项目编号：</w:t>
      </w:r>
      <w:r>
        <w:rPr/>
        <w:t>GZGK23D251C0783Z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