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440001-2023-23236</w:t>
      </w:r>
    </w:p>
    <w:p>
      <w:pPr>
        <w:jc w:val="center"/>
      </w:pPr>
      <w:r>
        <w:rPr>
          <w:b/>
          <w:sz w:val="24"/>
        </w:rPr>
        <w:t>采购项目编号：</w:t>
      </w:r>
      <w:r>
        <w:rPr>
          <w:b/>
          <w:sz w:val="24"/>
        </w:rPr>
        <w:t>GZGK23P033A0O90Z</w:t>
      </w:r>
    </w:p>
    <w:p>
      <w:pPr>
        <w:jc w:val="center"/>
      </w:pPr>
      <w:r>
        <w:rPr>
          <w:b/>
          <w:sz w:val="24"/>
        </w:rPr>
        <w:t>项目名称：</w:t>
      </w:r>
      <w:r>
        <w:rPr>
          <w:b/>
          <w:sz w:val="24"/>
        </w:rPr>
        <w:t>眼视光学教学实验室二期建设（二）(二次)</w:t>
      </w:r>
    </w:p>
    <w:p>
      <w:pPr>
        <w:jc w:val="center"/>
      </w:pPr>
      <w:r>
        <w:rPr>
          <w:b/>
          <w:sz w:val="24"/>
        </w:rPr>
        <w:t>采购人：</w:t>
      </w:r>
      <w:r>
        <w:rPr>
          <w:b/>
          <w:sz w:val="24"/>
        </w:rPr>
        <w:t>广州中医药大学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广州中医药大学</w:t>
      </w:r>
      <w:r>
        <w:rPr/>
        <w:t>的委托，采用</w:t>
      </w:r>
      <w:r>
        <w:rPr/>
        <w:t>公开招标</w:t>
      </w:r>
      <w:r>
        <w:rPr/>
        <w:t>方式组织采购</w:t>
      </w:r>
      <w:r>
        <w:rPr/>
        <w:t>眼视光学教学实验室二期建设（二）(二次)</w:t>
      </w:r>
      <w:r>
        <w:rPr/>
        <w:t>。欢迎符合资格条件的国内供应商参加投标。</w:t>
      </w:r>
    </w:p>
    <w:p>
      <w:r>
        <w:rPr>
          <w:b/>
          <w:sz w:val="28"/>
        </w:rPr>
        <w:t>一.项目概述</w:t>
      </w:r>
    </w:p>
    <w:p>
      <w:r>
        <w:rPr>
          <w:b/>
          <w:sz w:val="24"/>
        </w:rPr>
        <w:t>1.名称与编号</w:t>
      </w:r>
    </w:p>
    <w:p>
      <w:pPr>
        <w:ind w:firstLine="480"/>
      </w:pPr>
      <w:r>
        <w:rPr/>
        <w:t>项目名称：</w:t>
      </w:r>
      <w:r>
        <w:rPr/>
        <w:t>眼视光学教学实验室二期建设（二）(二次)</w:t>
      </w:r>
    </w:p>
    <w:p>
      <w:pPr>
        <w:ind w:firstLine="480"/>
      </w:pPr>
      <w:r>
        <w:rPr/>
        <w:t>采购计划编号：</w:t>
      </w:r>
      <w:r>
        <w:rPr/>
        <w:t>440001-2023-23236</w:t>
      </w:r>
    </w:p>
    <w:p>
      <w:pPr>
        <w:ind w:firstLine="480"/>
      </w:pPr>
      <w:r>
        <w:rPr/>
        <w:t>采购项目编号：</w:t>
      </w:r>
      <w:r>
        <w:rPr/>
        <w:t>GZGK23P033A0O90Z</w:t>
      </w:r>
    </w:p>
    <w:p>
      <w:pPr>
        <w:ind w:firstLine="480"/>
      </w:pPr>
      <w:r>
        <w:rPr/>
        <w:t>采购方式：</w:t>
      </w:r>
      <w:r>
        <w:rPr/>
        <w:t>公开招标</w:t>
      </w:r>
    </w:p>
    <w:p>
      <w:pPr>
        <w:ind w:firstLine="480"/>
      </w:pPr>
      <w:r>
        <w:rPr/>
        <w:t>预算金额：</w:t>
      </w:r>
      <w:r>
        <w:rPr/>
        <w:t>1,900,000.00</w:t>
      </w:r>
      <w:r>
        <w:rPr/>
        <w:t>元</w:t>
      </w:r>
    </w:p>
    <w:p>
      <w:r>
        <w:rPr>
          <w:b/>
          <w:sz w:val="24"/>
        </w:rPr>
        <w:t>2.项目内容及需求情况（采购项目技术规格、参数及要求）</w:t>
      </w:r>
    </w:p>
    <w:p>
      <w:pPr>
        <w:ind w:firstLine="480"/>
      </w:pPr>
    </w:p>
    <w:p/>
    <w:p>
      <w:r>
        <w:rPr/>
        <w:t>采购包1(眼视光学教学实验室二期建设设备):</w:t>
      </w:r>
    </w:p>
    <w:p>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其他试验仪器及装置</w:t>
            </w:r>
          </w:p>
        </w:tc>
        <w:tc>
          <w:tcPr>
            <w:tcW w:type="dxa" w:w="2052"/>
          </w:tcPr>
          <w:p>
            <w:r>
              <w:rPr/>
              <w:t>光学相干断层扫描仪</w:t>
            </w:r>
          </w:p>
        </w:tc>
        <w:tc>
          <w:tcPr>
            <w:tcW w:type="dxa" w:w="977"/>
          </w:tcPr>
          <w:p>
            <w:r>
              <w:rPr/>
              <w:t>1.00(套)</w:t>
            </w:r>
          </w:p>
        </w:tc>
        <w:tc>
          <w:tcPr>
            <w:tcW w:type="dxa" w:w="977"/>
          </w:tcPr>
          <w:p>
            <w:r>
              <w:rPr/>
              <w:t>详见第二章</w:t>
            </w:r>
          </w:p>
        </w:tc>
        <w:tc>
          <w:tcPr>
            <w:tcW w:type="dxa" w:w="977"/>
          </w:tcPr>
          <w:p>
            <w:r>
              <w:rPr/>
              <w:t>900,000.00</w:t>
            </w:r>
          </w:p>
        </w:tc>
        <w:tc>
          <w:tcPr>
            <w:tcW w:type="dxa" w:w="977"/>
          </w:tcPr>
          <w:p>
            <w:r>
              <w:rPr/>
              <w:t>否</w:t>
            </w:r>
          </w:p>
        </w:tc>
      </w:tr>
      <w:tr>
        <w:tc>
          <w:tcPr>
            <w:tcW w:type="dxa" w:w="977"/>
          </w:tcPr>
          <w:p>
            <w:r>
              <w:rPr/>
              <w:t>1-2</w:t>
            </w:r>
          </w:p>
        </w:tc>
        <w:tc>
          <w:tcPr>
            <w:tcW w:type="dxa" w:w="1368"/>
          </w:tcPr>
          <w:p>
            <w:r>
              <w:rPr/>
              <w:t>其他试验仪器及装置</w:t>
            </w:r>
          </w:p>
        </w:tc>
        <w:tc>
          <w:tcPr>
            <w:tcW w:type="dxa" w:w="2052"/>
          </w:tcPr>
          <w:p>
            <w:r>
              <w:rPr/>
              <w:t>光学生物测量仪</w:t>
            </w:r>
          </w:p>
        </w:tc>
        <w:tc>
          <w:tcPr>
            <w:tcW w:type="dxa" w:w="977"/>
          </w:tcPr>
          <w:p>
            <w:r>
              <w:rPr/>
              <w:t>1.00(套)</w:t>
            </w:r>
          </w:p>
        </w:tc>
        <w:tc>
          <w:tcPr>
            <w:tcW w:type="dxa" w:w="977"/>
          </w:tcPr>
          <w:p>
            <w:r>
              <w:rPr/>
              <w:t>详见第二章</w:t>
            </w:r>
          </w:p>
        </w:tc>
        <w:tc>
          <w:tcPr>
            <w:tcW w:type="dxa" w:w="977"/>
          </w:tcPr>
          <w:p>
            <w:r>
              <w:rPr/>
              <w:t>350,000.00</w:t>
            </w:r>
          </w:p>
        </w:tc>
        <w:tc>
          <w:tcPr>
            <w:tcW w:type="dxa" w:w="977"/>
          </w:tcPr>
          <w:p>
            <w:r>
              <w:rPr/>
              <w:t>否</w:t>
            </w:r>
          </w:p>
        </w:tc>
      </w:tr>
      <w:tr>
        <w:tc>
          <w:tcPr>
            <w:tcW w:type="dxa" w:w="977"/>
          </w:tcPr>
          <w:p>
            <w:r>
              <w:rPr/>
              <w:t>1-3</w:t>
            </w:r>
          </w:p>
        </w:tc>
        <w:tc>
          <w:tcPr>
            <w:tcW w:type="dxa" w:w="1368"/>
          </w:tcPr>
          <w:p>
            <w:r>
              <w:rPr/>
              <w:t>其他试验仪器及装置</w:t>
            </w:r>
          </w:p>
        </w:tc>
        <w:tc>
          <w:tcPr>
            <w:tcW w:type="dxa" w:w="2052"/>
          </w:tcPr>
          <w:p>
            <w:r>
              <w:rPr/>
              <w:t>角膜地形图仪（眼前节分析系统）</w:t>
            </w:r>
          </w:p>
        </w:tc>
        <w:tc>
          <w:tcPr>
            <w:tcW w:type="dxa" w:w="977"/>
          </w:tcPr>
          <w:p>
            <w:r>
              <w:rPr/>
              <w:t>1.00(套)</w:t>
            </w:r>
          </w:p>
        </w:tc>
        <w:tc>
          <w:tcPr>
            <w:tcW w:type="dxa" w:w="977"/>
          </w:tcPr>
          <w:p>
            <w:r>
              <w:rPr/>
              <w:t>详见第二章</w:t>
            </w:r>
          </w:p>
        </w:tc>
        <w:tc>
          <w:tcPr>
            <w:tcW w:type="dxa" w:w="977"/>
          </w:tcPr>
          <w:p>
            <w:r>
              <w:rPr/>
              <w:t>650,000.00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采购包1（眼视光学教学实验室二期建设设备）：</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采购包1（眼视光学教学实验室二期建设设备）：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广州中医药大学</w:t>
      </w:r>
    </w:p>
    <w:p>
      <w:pPr>
        <w:ind w:firstLine="480"/>
      </w:pPr>
      <w:r>
        <w:rPr/>
        <w:t>地址：</w:t>
      </w:r>
      <w:r>
        <w:rPr/>
        <w:t>广州市番禺区广州大学城外环东路232号</w:t>
      </w:r>
    </w:p>
    <w:p>
      <w:pPr>
        <w:ind w:firstLine="480"/>
      </w:pPr>
      <w:r>
        <w:rPr/>
        <w:t>联系方式：</w:t>
      </w:r>
      <w:r>
        <w:rPr/>
        <w:t>020-39356970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020-87688289、020-87684402</w:t>
      </w:r>
    </w:p>
    <w:p>
      <w:r>
        <w:rPr>
          <w:b/>
          <w:sz w:val="24"/>
        </w:rPr>
        <w:t>3.项目联系方式</w:t>
      </w:r>
    </w:p>
    <w:p>
      <w:pPr>
        <w:ind w:firstLine="480"/>
      </w:pPr>
      <w:r>
        <w:rPr/>
        <w:t>项目联系人：</w:t>
      </w:r>
      <w:r>
        <w:rPr/>
        <w:t>黎颖欣、吴秋娜</w:t>
      </w:r>
    </w:p>
    <w:p>
      <w:pPr>
        <w:ind w:firstLine="480"/>
      </w:pPr>
      <w:r>
        <w:rPr/>
        <w:t>电话：</w:t>
      </w:r>
      <w:r>
        <w:rPr/>
        <w:t>020-87688289、020-87684402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GZGK23P033A0090Z</w:t>
      </w:r>
    </w:p>
    <w:p>
      <w:pPr>
        <w:jc w:val="both"/>
      </w:pPr>
      <w:r>
        <w:rPr>
          <w:b/>
          <w:sz w:val="21"/>
        </w:rPr>
        <w:t>（二）</w:t>
      </w:r>
      <w:r>
        <w:rPr>
          <w:b/>
          <w:sz w:val="21"/>
        </w:rPr>
        <w:t>项目名称：</w:t>
      </w:r>
      <w:r>
        <w:rPr>
          <w:sz w:val="21"/>
        </w:rPr>
        <w:t>眼视光学教学实验室二期建设（二）（二次）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w:t>
      </w:r>
      <w:r>
        <w:rPr>
          <w:sz w:val="21"/>
        </w:rPr>
        <w:t>求中的设备性能和技术指标在响应详</w:t>
      </w:r>
      <w:r>
        <w:rPr>
          <w:sz w:val="21"/>
        </w:rPr>
        <w:t>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w:t>
      </w:r>
      <w:r>
        <w:rPr>
          <w:sz w:val="21"/>
        </w:rPr>
        <w:t>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同产品被认定侵犯知识产权，或者使用、销售、许诺销售、进口或出口合同产品被禁止，中标供应商应当采取相应的补救措施，自担费用立即为采购人获得相关权利使得采购人能够继续合法使用和销售合同产品；中标供应商对前述补救措施均无法实现的，中标供应商立即退还合同产品的价款。采购人可退还合同产品，因退还合同产品产生的费用由中标供应商承担。</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w:t>
      </w:r>
      <w:r>
        <w:rPr>
          <w:sz w:val="21"/>
        </w:rPr>
        <w:t>按照招标（采购）文件第三章内容提</w:t>
      </w:r>
      <w:r>
        <w:rPr>
          <w:sz w:val="21"/>
        </w:rPr>
        <w:t>供相应的资料。</w:t>
      </w:r>
    </w:p>
    <w:p>
      <w:pPr>
        <w:jc w:val="both"/>
      </w:pPr>
      <w:r>
        <w:rPr>
          <w:sz w:val="21"/>
        </w:rPr>
        <w:t>15、</w:t>
      </w:r>
      <w:r>
        <w:rPr>
          <w:sz w:val="21"/>
        </w:rPr>
        <w:t>需落实政府采购政策为：促进中小企业发展政策、支持监狱企业发展政策、支持残疾人福利性单位</w:t>
      </w:r>
      <w:r>
        <w:rPr>
          <w:sz w:val="21"/>
        </w:rPr>
        <w:t>发展政策、优先采购节能产品、环境标志产品相关政策等。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w:t>
      </w:r>
      <w:r>
        <w:rPr>
          <w:sz w:val="21"/>
        </w:rPr>
        <w:t>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w:t>
      </w:r>
      <w:r>
        <w:rPr>
          <w:sz w:val="21"/>
        </w:rPr>
        <w:t>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jc w:val="both"/>
      </w:pPr>
      <w:r>
        <w:rPr>
          <w:sz w:val="21"/>
        </w:rPr>
        <w:t>投标人报价应为包干总价，该包干总价为按照合同约定完成合同全部义务后所适用的总价格，包括但不限于购买设备物资的费用、运输费、保险费、装卸费、配套资料费、安装调试费用、验收时的试剂耗材、强制性第三方监督检验机构的验收检验费、培训费用以及售后服务费用等完成本项目所需的全部费用。</w:t>
      </w:r>
    </w:p>
    <w:p>
      <w:pPr>
        <w:jc w:val="both"/>
      </w:pPr>
      <w:r>
        <w:rPr>
          <w:b/>
          <w:sz w:val="21"/>
        </w:rPr>
        <w:t>（六）</w:t>
      </w:r>
      <w:r>
        <w:rPr>
          <w:b/>
          <w:sz w:val="21"/>
        </w:rPr>
        <w:t>实现的功能</w:t>
      </w:r>
    </w:p>
    <w:p>
      <w:pPr>
        <w:jc w:val="both"/>
      </w:pPr>
      <w:r>
        <w:rPr>
          <w:sz w:val="21"/>
        </w:rPr>
        <w:t>拟采购眼视光学教学实验室所用的教学实验室货物一批，以满足教学需要。</w:t>
      </w:r>
    </w:p>
    <w:p>
      <w:pPr>
        <w:jc w:val="both"/>
      </w:pPr>
    </w:p>
    <w:p>
      <w:pPr>
        <w:jc w:val="both"/>
      </w:pPr>
      <w:r>
        <w:rPr>
          <w:b/>
          <w:sz w:val="21"/>
        </w:rPr>
        <w:t>（七）</w:t>
      </w:r>
      <w:r>
        <w:rPr>
          <w:b/>
          <w:sz w:val="21"/>
        </w:rPr>
        <w:t>需执行国家相关标准、行业标准、地方标准或者其他标准、规范</w:t>
      </w:r>
    </w:p>
    <w:p/>
    <w:p>
      <w:pPr>
        <w:ind w:firstLine="480"/>
      </w:pPr>
    </w:p>
    <w:p/>
    <w:p>
      <w:r>
        <w:rPr/>
        <w:t>采购包1（眼视光学教学实验室二期建设设备）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合同签订之日起45日（日历日）内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1期：支付比例30%,合同签订且收到履约保证金后5个工作日内采购人向中标供应商支付合同金额的30%（支付方式含银行转账、支票、银行承兑汇票、商业承兑汇票等形式）。</w:t>
            </w:r>
          </w:p>
          <w:p/>
          <w:p>
            <w:r>
              <w:rPr/>
              <w:t>2期：支付比例70%,所有货物验收合格且收到发票后15日内采购人向中标供应商支付至合同总价的100%（支付方式含银行转账、支票、银行承兑汇票、商业承兑汇票等形式）。</w:t>
            </w:r>
          </w:p>
        </w:tc>
      </w:tr>
      <w:tr>
        <w:tc>
          <w:tcPr>
            <w:tcW w:type="dxa" w:w="4153"/>
          </w:tcPr>
          <w:p>
            <w:r>
              <w:rPr/>
              <w:t>验收要求</w:t>
            </w:r>
          </w:p>
        </w:tc>
        <w:tc>
          <w:tcPr>
            <w:tcW w:type="dxa" w:w="4153"/>
          </w:tcPr>
          <w:p/>
          <w:p/>
          <w:p/>
          <w:p>
            <w:r>
              <w:rPr/>
              <w:t>1期：1.验收标准：根据采购合同约定进行履约验收。   2.中标供应商应保证设备物资的包装符合运输的要求，足以保护设备物资在运输过程中不受锈蚀、损坏或灭失。如果设备物资在运输和安装过程中因事故造成设备物资短缺、损坏，中标供应商应及时安排换装，换货的相关费用由中标供应商承担。  3.中标供应商应当保证设备的各部件、备品备件、合格证、操作使用说明、保修单、发票和产品软件等必要物品随设备一并交付采购人,并负责设备物资的安装调试及相关技术培训。  4.设备物资送达指定地点时，由双方代表共同开箱验货,经确认后签署国产设备物资开箱验货情况表。在开箱验货中如发现包装破损、设备数量不符、技术资料不全等不符合合同约定的情况，采购人有权拒收，中标供应商应于5日内重新提供符合合同约定的设备物资，否则，视为中标供应商逾期交货。如果重新交付的设备仍与合同约定不符，采购人有权解除合同。  5. 需要安装调试的设备物资，中标供应商应于开箱验货合格后5日内进行设备安装调试、技术指标和性能测试及整机运行测试。安装调试完成后双方填写安装调试登记表。  6.设备安装调试完成后，中标供应商认为已经达到验收条件并准备齐验收所需文件后，向采购人提出验收申请，采购人认为中标供应商满足验收条件后7日内组织验收。  7.设备物资验收由采购人聘请专家组和中标供应商联合进行，验收时间由采购人确定。中标供应商未派员参加的，视为认可验收结果。  8.设备物资的验收标准按照采购合同及招投标文件中列明的技术参数、规格、性能指标等执行。  9.验收不合格，采购人有权要求中标供应商重新提供设备或有权解除合同。中标供应商应在采购人指定的期限内重新提供设备，并承担因此而发生的全部费用，赔偿由此给采购人造成的损失。  10.如中标供应商对验收结果有异议，可提请采购人所在地商检部门进行复检。商检部门的检验结果表明设备物资不符合合同约定的，因复检发生的费用由中标供应商承担；检验结果表明设备物资符合合同约定的，因复检发生的费用由采购人承担。</w:t>
            </w:r>
          </w:p>
        </w:tc>
      </w:tr>
      <w:tr>
        <w:tc>
          <w:tcPr>
            <w:tcW w:type="dxa" w:w="4153"/>
          </w:tcPr>
          <w:p>
            <w:r>
              <w:rPr/>
              <w:t>履约保证金</w:t>
            </w:r>
          </w:p>
        </w:tc>
        <w:tc>
          <w:tcPr>
            <w:tcW w:type="dxa" w:w="4153"/>
          </w:tcPr>
          <w:p/>
          <w:p/>
          <w:p/>
          <w:p/>
          <w:p>
            <w:r>
              <w:rPr/>
              <w:t>收取比例：5%,说明：1、履约保证金提交：履约保证金为合同金额的5%，中标供应商应在合同签订后5日内缴纳履约保证金。中标供应商可根据自身实际自主选择以转账、支票、汇票、本票、保函、现金等形式向采购人缴纳履约保证金，但采用保函形式递交履约保证金的，须是无条件保函。  2、履约保证金退还：若中标人没有违约行为，履约保证金在验收合格后，中标供应商向采购人申请退还履约保证金，采购人于接到申请后15个工作日内将履约保证金无息退回中标供应商。 履约保证金不予退还的情形： （1）拒绝履行合同义务的； （2）履约验收不合格的。  3、采购人逾期退还履约保证金的，从逾期之日起每日按履约保证金3‰的数额向中标供应商支付违约金。但因中标供应商自身原因导致无法及时退还的除外。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（五）质量保证期，1.中标供应商按照合同、项目招标文件的要求及投标文件的承诺向采购人交付合格设备，并保证采购人对交付的设备拥有完全、合法的所有权与处置权。  2.中标供应商交付的设备物资应符合现行适用的相关法律、法规以及相应的国家标准或行业标准等，如各标准不一致，以对采购人最有利的标准为准。  3.中标供应商交付的设备物资必须是全新产品、表面无划损、破损、无任何缺陷及隐患，必须具备出厂合格证，且进货渠道合法，在中国境内可依常规安全合法使用。</w:t>
            </w:r>
          </w:p>
          <w:p/>
          <w:p>
            <w:r>
              <w:rPr/>
              <w:t>（六）售后服务，1.保修期限：中标供应商承诺本合同项下设备物资的保修期如下：5年（含在报价内）； 保修承担方出具的承诺函为本项目的合同附件，中标供应商同意与实际保修方共同无限承担连带责任。保修期限自货物通过采购人组织的验收之日起算。在保修期内，如货物非因采购人原因而出现的质量问题由中标供应商负责保修、包换或包退，并承担修理、调换或退货的实际费用。中标供应商不能修复、调换或不能退货的，应退回相应货款，并承担相应的违约责任。  2.对采购人的服务通知，中标供应商在接报后12小时内到达现场处理。若在48小时内仍未能有效解决，中标供应商应提供主要参数不低于原设备的替代设备并保证其正常运行（含在报价内）。  3.保修期满后，如有零部件出现故障，且属于寿命异常问题（明显短于该零部件正常寿命）的，由中标供应商负责更换及维修（含在报价内）。  4.保修期满后，设备物资维修服务及配件费用享受市价的八折优惠。</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光学相干断层扫描仪</w:t>
            </w:r>
          </w:p>
        </w:tc>
        <w:tc>
          <w:tcPr>
            <w:tcW w:type="dxa" w:w="831"/>
          </w:tcPr>
          <w:p>
            <w:pPr>
              <w:jc w:val="left"/>
            </w:pPr>
            <w:r>
              <w:rPr/>
              <w:t>套</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光学生物测量仪</w:t>
            </w:r>
          </w:p>
        </w:tc>
        <w:tc>
          <w:tcPr>
            <w:tcW w:type="dxa" w:w="831"/>
          </w:tcPr>
          <w:p>
            <w:pPr>
              <w:jc w:val="left"/>
            </w:pPr>
            <w:r>
              <w:rPr/>
              <w:t>套</w:t>
            </w:r>
          </w:p>
        </w:tc>
        <w:tc>
          <w:tcPr>
            <w:tcW w:type="dxa" w:w="831"/>
          </w:tcPr>
          <w:p>
            <w:pPr>
              <w:jc w:val="right"/>
            </w:pPr>
            <w:r>
              <w:rPr/>
              <w:t>1.00</w:t>
            </w:r>
          </w:p>
        </w:tc>
        <w:tc>
          <w:tcPr>
            <w:tcW w:type="dxa" w:w="831"/>
          </w:tcPr>
          <w:p>
            <w:pPr>
              <w:jc w:val="right"/>
            </w:pPr>
            <w:r>
              <w:rPr/>
              <w:t>350,000.00</w:t>
            </w:r>
          </w:p>
        </w:tc>
        <w:tc>
          <w:tcPr>
            <w:tcW w:type="dxa" w:w="831"/>
          </w:tcPr>
          <w:p>
            <w:pPr>
              <w:jc w:val="right"/>
            </w:pPr>
            <w:r>
              <w:rPr/>
              <w:t>350,000.00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角膜地形图仪（眼前节分析系统）</w:t>
            </w:r>
          </w:p>
        </w:tc>
        <w:tc>
          <w:tcPr>
            <w:tcW w:type="dxa" w:w="831"/>
          </w:tcPr>
          <w:p>
            <w:pPr>
              <w:jc w:val="left"/>
            </w:pPr>
            <w:r>
              <w:rPr/>
              <w:t>套</w:t>
            </w:r>
          </w:p>
        </w:tc>
        <w:tc>
          <w:tcPr>
            <w:tcW w:type="dxa" w:w="831"/>
          </w:tcPr>
          <w:p>
            <w:pPr>
              <w:jc w:val="right"/>
            </w:pPr>
            <w:r>
              <w:rPr/>
              <w:t>1.00</w:t>
            </w:r>
          </w:p>
        </w:tc>
        <w:tc>
          <w:tcPr>
            <w:tcW w:type="dxa" w:w="831"/>
          </w:tcPr>
          <w:p>
            <w:pPr>
              <w:jc w:val="right"/>
            </w:pPr>
            <w:r>
              <w:rPr/>
              <w:t>650,000.00</w:t>
            </w:r>
          </w:p>
        </w:tc>
        <w:tc>
          <w:tcPr>
            <w:tcW w:type="dxa" w:w="831"/>
          </w:tcPr>
          <w:p>
            <w:pPr>
              <w:jc w:val="right"/>
            </w:pPr>
            <w:r>
              <w:rPr/>
              <w:t>650,000.00</w:t>
            </w:r>
          </w:p>
        </w:tc>
        <w:tc>
          <w:tcPr>
            <w:tcW w:type="dxa" w:w="831"/>
          </w:tcPr>
          <w:p>
            <w:r>
              <w:rPr/>
              <w:t>工业</w:t>
            </w:r>
          </w:p>
        </w:tc>
        <w:tc>
          <w:tcPr>
            <w:tcW w:type="dxa" w:w="831"/>
          </w:tcPr>
          <w:p>
            <w:r>
              <w:rPr/>
              <w:t>详见附表三</w:t>
            </w:r>
          </w:p>
        </w:tc>
      </w:tr>
    </w:tbl>
    <w:p/>
    <w:p>
      <w:r>
        <w:rPr>
          <w:b/>
        </w:rPr>
        <w:t>附表</w:t>
      </w:r>
      <w:r>
        <w:rPr>
          <w:b/>
        </w:rPr>
        <w:t>一</w:t>
      </w:r>
      <w:r>
        <w:rPr>
          <w:b/>
        </w:rPr>
        <w:t>：</w:t>
      </w:r>
      <w:r>
        <w:rPr>
          <w:b/>
        </w:rPr>
        <w:t>光学相干断层扫描仪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r>
              <w:rPr>
                <w:sz w:val="21"/>
              </w:rPr>
              <w:t>一</w:t>
            </w:r>
            <w:r>
              <w:rPr>
                <w:sz w:val="21"/>
              </w:rPr>
              <w:t>）</w:t>
            </w:r>
            <w:r>
              <w:rPr>
                <w:sz w:val="21"/>
              </w:rPr>
              <w:t>光学相干断层扫描图像</w:t>
            </w:r>
          </w:p>
          <w:p>
            <w:pPr>
              <w:jc w:val="both"/>
            </w:pPr>
            <w:r>
              <w:rPr>
                <w:sz w:val="21"/>
              </w:rPr>
              <w:t>1</w:t>
            </w:r>
            <w:r>
              <w:rPr>
                <w:sz w:val="21"/>
              </w:rPr>
              <w:t>.</w:t>
            </w:r>
            <w:r>
              <w:rPr>
                <w:sz w:val="21"/>
              </w:rPr>
              <w:t>信号类型：生物组织对入射光的散射信号</w:t>
            </w:r>
            <w:r>
              <w:rPr>
                <w:sz w:val="21"/>
              </w:rPr>
              <w:t>。</w:t>
            </w:r>
          </w:p>
          <w:p>
            <w:pPr>
              <w:jc w:val="both"/>
            </w:pPr>
            <w:r>
              <w:rPr>
                <w:sz w:val="21"/>
              </w:rPr>
              <w:t>2</w:t>
            </w:r>
            <w:r>
              <w:rPr>
                <w:sz w:val="21"/>
              </w:rPr>
              <w:t>.</w:t>
            </w:r>
            <w:r>
              <w:rPr>
                <w:sz w:val="21"/>
              </w:rPr>
              <w:t>固视方式：内固视和外固视</w:t>
            </w:r>
            <w:r>
              <w:rPr>
                <w:sz w:val="21"/>
              </w:rPr>
              <w:t>。</w:t>
            </w:r>
          </w:p>
          <w:p>
            <w:pPr>
              <w:jc w:val="both"/>
            </w:pPr>
            <w:r>
              <w:rPr>
                <w:sz w:val="21"/>
              </w:rPr>
              <w:t>3</w:t>
            </w:r>
            <w:r>
              <w:rPr>
                <w:sz w:val="21"/>
              </w:rPr>
              <w:t>.</w:t>
            </w:r>
            <w:r>
              <w:rPr>
                <w:sz w:val="21"/>
              </w:rPr>
              <w:t>光源：超辐射发光二极管，</w:t>
            </w:r>
            <w:r>
              <w:rPr>
                <w:sz w:val="21"/>
              </w:rPr>
              <w:t>840nm</w:t>
            </w:r>
            <w:r>
              <w:rPr>
                <w:sz w:val="21"/>
              </w:rPr>
              <w:t>。</w:t>
            </w:r>
          </w:p>
          <w:p>
            <w:pPr>
              <w:jc w:val="both"/>
            </w:pPr>
            <w:r>
              <w:rPr>
                <w:sz w:val="21"/>
              </w:rPr>
              <w:t>4</w:t>
            </w:r>
            <w:r>
              <w:rPr>
                <w:sz w:val="21"/>
              </w:rPr>
              <w:t>.</w:t>
            </w:r>
            <w:r>
              <w:rPr>
                <w:sz w:val="21"/>
              </w:rPr>
              <w:t>光能量</w:t>
            </w:r>
            <w:r>
              <w:rPr>
                <w:sz w:val="21"/>
              </w:rPr>
              <w:t>:≤0.6mW</w:t>
            </w:r>
            <w:r>
              <w:rPr>
                <w:sz w:val="21"/>
              </w:rPr>
              <w:t>。</w:t>
            </w:r>
          </w:p>
          <w:p>
            <w:pPr>
              <w:jc w:val="both"/>
            </w:pPr>
            <w:r>
              <w:rPr>
                <w:sz w:val="21"/>
              </w:rPr>
              <w:t>5</w:t>
            </w:r>
            <w:r>
              <w:rPr>
                <w:sz w:val="21"/>
              </w:rPr>
              <w:t>.</w:t>
            </w:r>
            <w:r>
              <w:rPr>
                <w:sz w:val="21"/>
              </w:rPr>
              <w:t>轴向分辨率</w:t>
            </w:r>
            <w:r>
              <w:rPr>
                <w:sz w:val="21"/>
              </w:rPr>
              <w:t>:≤5μm(生物组织)</w:t>
            </w:r>
            <w:r>
              <w:rPr>
                <w:sz w:val="21"/>
              </w:rPr>
              <w:t>。</w:t>
            </w:r>
          </w:p>
          <w:p>
            <w:pPr>
              <w:jc w:val="both"/>
            </w:pPr>
            <w:r>
              <w:rPr>
                <w:sz w:val="21"/>
              </w:rPr>
              <w:t>6</w:t>
            </w:r>
            <w:r>
              <w:rPr>
                <w:sz w:val="21"/>
              </w:rPr>
              <w:t>.</w:t>
            </w:r>
            <w:r>
              <w:rPr>
                <w:sz w:val="21"/>
              </w:rPr>
              <w:t>横向分辨率</w:t>
            </w:r>
            <w:r>
              <w:rPr>
                <w:sz w:val="21"/>
              </w:rPr>
              <w:t>:≤15μm(生物组织)</w:t>
            </w:r>
            <w:r>
              <w:rPr>
                <w:sz w:val="21"/>
              </w:rPr>
              <w:t>。</w:t>
            </w:r>
          </w:p>
          <w:p>
            <w:pPr>
              <w:jc w:val="both"/>
            </w:pPr>
            <w:r>
              <w:rPr>
                <w:sz w:val="21"/>
              </w:rPr>
              <w:t>7</w:t>
            </w:r>
            <w:r>
              <w:rPr>
                <w:sz w:val="21"/>
              </w:rPr>
              <w:t>.</w:t>
            </w:r>
            <w:r>
              <w:rPr>
                <w:sz w:val="21"/>
              </w:rPr>
              <w:t>扫描装置</w:t>
            </w:r>
            <w:r>
              <w:rPr>
                <w:sz w:val="21"/>
              </w:rPr>
              <w:t>:振镜</w:t>
            </w:r>
            <w:r>
              <w:rPr>
                <w:sz w:val="21"/>
              </w:rPr>
              <w:t>。</w:t>
            </w:r>
          </w:p>
          <w:p>
            <w:pPr>
              <w:jc w:val="both"/>
            </w:pPr>
            <w:r>
              <w:rPr>
                <w:sz w:val="21"/>
              </w:rPr>
              <w:t>▲8</w:t>
            </w:r>
            <w:r>
              <w:rPr>
                <w:sz w:val="21"/>
              </w:rPr>
              <w:t>.</w:t>
            </w:r>
            <w:r>
              <w:rPr>
                <w:sz w:val="21"/>
              </w:rPr>
              <w:t>后节扫描模式</w:t>
            </w:r>
            <w:r>
              <w:rPr>
                <w:sz w:val="21"/>
              </w:rPr>
              <w:t>:黄斑高清直线扫描(6mm/12mm)、脉络膜增强扫描（DCI）、黄斑区域扫描(6mm</w:t>
            </w:r>
            <w:r>
              <w:rPr>
                <w:sz w:val="21"/>
              </w:rPr>
              <w:t>×</w:t>
            </w:r>
            <w:r>
              <w:rPr>
                <w:sz w:val="21"/>
              </w:rPr>
              <w:t>6mm)、黄斑六线扫描，十线扫描，视盘区域扫描：6mm</w:t>
            </w:r>
            <w:r>
              <w:rPr>
                <w:sz w:val="21"/>
              </w:rPr>
              <w:t>×</w:t>
            </w:r>
            <w:r>
              <w:rPr>
                <w:sz w:val="21"/>
              </w:rPr>
              <w:t>6mm</w:t>
            </w:r>
            <w:r>
              <w:rPr>
                <w:sz w:val="21"/>
              </w:rPr>
              <w:t>。</w:t>
            </w:r>
            <w:r>
              <w:rPr>
                <w:sz w:val="21"/>
              </w:rPr>
              <w:t xml:space="preserve"> </w:t>
            </w:r>
          </w:p>
          <w:p>
            <w:pPr>
              <w:jc w:val="both"/>
            </w:pPr>
            <w:r>
              <w:rPr>
                <w:sz w:val="21"/>
              </w:rPr>
              <w:t>9</w:t>
            </w:r>
            <w:r>
              <w:rPr>
                <w:sz w:val="21"/>
              </w:rPr>
              <w:t>.</w:t>
            </w:r>
            <w:r>
              <w:rPr>
                <w:sz w:val="21"/>
              </w:rPr>
              <w:t>前节扫描模式</w:t>
            </w:r>
            <w:r>
              <w:rPr>
                <w:sz w:val="21"/>
              </w:rPr>
              <w:t>:高清直线扫描(6mm),六线扫描，16mm房角到房角扫描</w:t>
            </w:r>
            <w:r>
              <w:rPr>
                <w:sz w:val="21"/>
              </w:rPr>
              <w:t>。</w:t>
            </w:r>
          </w:p>
          <w:p>
            <w:pPr>
              <w:jc w:val="both"/>
            </w:pPr>
            <w:r>
              <w:rPr>
                <w:sz w:val="21"/>
              </w:rPr>
              <w:t>★10</w:t>
            </w:r>
            <w:r>
              <w:rPr>
                <w:sz w:val="21"/>
              </w:rPr>
              <w:t>.</w:t>
            </w:r>
            <w:r>
              <w:rPr>
                <w:sz w:val="21"/>
              </w:rPr>
              <w:t>扫描速率：</w:t>
            </w:r>
            <w:r>
              <w:rPr>
                <w:sz w:val="21"/>
              </w:rPr>
              <w:t>≥80,000A-scans/秒</w:t>
            </w:r>
            <w:r>
              <w:rPr>
                <w:sz w:val="21"/>
              </w:rPr>
              <w:t>。</w:t>
            </w:r>
          </w:p>
          <w:p>
            <w:pPr>
              <w:jc w:val="both"/>
            </w:pPr>
            <w:r>
              <w:rPr>
                <w:sz w:val="21"/>
              </w:rPr>
              <w:t>11</w:t>
            </w:r>
            <w:r>
              <w:rPr>
                <w:sz w:val="21"/>
              </w:rPr>
              <w:t>.</w:t>
            </w:r>
            <w:r>
              <w:rPr>
                <w:sz w:val="21"/>
              </w:rPr>
              <w:t>纵向</w:t>
            </w:r>
            <w:r>
              <w:rPr>
                <w:sz w:val="21"/>
              </w:rPr>
              <w:t>(深度)扫描范围：≥2.1mm</w:t>
            </w:r>
            <w:r>
              <w:rPr>
                <w:sz w:val="21"/>
              </w:rPr>
              <w:t>。</w:t>
            </w:r>
          </w:p>
          <w:p>
            <w:pPr>
              <w:jc w:val="both"/>
            </w:pPr>
            <w:r>
              <w:rPr>
                <w:sz w:val="21"/>
              </w:rPr>
              <w:t>12</w:t>
            </w:r>
            <w:r>
              <w:rPr>
                <w:sz w:val="21"/>
              </w:rPr>
              <w:t>.</w:t>
            </w:r>
            <w:r>
              <w:rPr>
                <w:sz w:val="21"/>
              </w:rPr>
              <w:t>屈光补偿范围：</w:t>
            </w:r>
            <w:r>
              <w:rPr>
                <w:sz w:val="21"/>
              </w:rPr>
              <w:t>-20D</w:t>
            </w:r>
            <w:r>
              <w:rPr>
                <w:sz w:val="21"/>
              </w:rPr>
              <w:t>～</w:t>
            </w:r>
            <w:r>
              <w:rPr>
                <w:sz w:val="21"/>
              </w:rPr>
              <w:t>+20D</w:t>
            </w:r>
            <w:r>
              <w:rPr>
                <w:sz w:val="21"/>
              </w:rPr>
              <w:t>。</w:t>
            </w:r>
          </w:p>
          <w:p>
            <w:pPr>
              <w:jc w:val="both"/>
            </w:pPr>
            <w:r>
              <w:rPr>
                <w:sz w:val="21"/>
              </w:rPr>
              <w:t>（</w:t>
            </w:r>
            <w:r>
              <w:rPr>
                <w:sz w:val="21"/>
              </w:rPr>
              <w:t>二</w:t>
            </w:r>
            <w:r>
              <w:rPr>
                <w:sz w:val="21"/>
              </w:rPr>
              <w:t>）</w:t>
            </w:r>
            <w:r>
              <w:rPr>
                <w:sz w:val="21"/>
              </w:rPr>
              <w:t>眼底扫描图像</w:t>
            </w:r>
          </w:p>
          <w:p>
            <w:pPr>
              <w:jc w:val="both"/>
            </w:pPr>
            <w:r>
              <w:rPr>
                <w:sz w:val="21"/>
              </w:rPr>
              <w:t>1</w:t>
            </w:r>
            <w:r>
              <w:rPr>
                <w:sz w:val="21"/>
              </w:rPr>
              <w:t>.</w:t>
            </w:r>
            <w:r>
              <w:rPr>
                <w:sz w:val="21"/>
              </w:rPr>
              <w:t>信号类型：线扫描激光眼底镜</w:t>
            </w:r>
            <w:r>
              <w:rPr>
                <w:sz w:val="21"/>
              </w:rPr>
              <w:t>SLO</w:t>
            </w:r>
            <w:r>
              <w:rPr>
                <w:sz w:val="21"/>
              </w:rPr>
              <w:t>。</w:t>
            </w:r>
          </w:p>
          <w:p>
            <w:pPr>
              <w:jc w:val="both"/>
            </w:pPr>
            <w:r>
              <w:rPr>
                <w:sz w:val="21"/>
              </w:rPr>
              <w:t>2</w:t>
            </w:r>
            <w:r>
              <w:rPr>
                <w:sz w:val="21"/>
              </w:rPr>
              <w:t>.</w:t>
            </w:r>
            <w:r>
              <w:rPr>
                <w:sz w:val="21"/>
              </w:rPr>
              <w:t>视野范围：</w:t>
            </w:r>
            <w:r>
              <w:rPr>
                <w:sz w:val="21"/>
              </w:rPr>
              <w:t>≥47°</w:t>
            </w:r>
            <w:r>
              <w:rPr>
                <w:sz w:val="21"/>
              </w:rPr>
              <w:t>。</w:t>
            </w:r>
          </w:p>
          <w:p>
            <w:pPr>
              <w:jc w:val="both"/>
            </w:pPr>
            <w:r>
              <w:rPr>
                <w:sz w:val="21"/>
              </w:rPr>
              <w:t>3</w:t>
            </w:r>
            <w:r>
              <w:rPr>
                <w:sz w:val="21"/>
              </w:rPr>
              <w:t>.</w:t>
            </w:r>
            <w:r>
              <w:rPr>
                <w:sz w:val="21"/>
              </w:rPr>
              <w:t>成像速度：</w:t>
            </w:r>
            <w:r>
              <w:rPr>
                <w:sz w:val="21"/>
              </w:rPr>
              <w:t>≥7帧/秒</w:t>
            </w:r>
            <w:r>
              <w:rPr>
                <w:sz w:val="21"/>
              </w:rPr>
              <w:t>。</w:t>
            </w:r>
          </w:p>
          <w:p>
            <w:pPr>
              <w:jc w:val="both"/>
            </w:pPr>
            <w:r>
              <w:rPr>
                <w:sz w:val="21"/>
              </w:rPr>
              <w:t>4</w:t>
            </w:r>
            <w:r>
              <w:rPr>
                <w:sz w:val="21"/>
              </w:rPr>
              <w:t>.</w:t>
            </w:r>
            <w:r>
              <w:rPr>
                <w:sz w:val="21"/>
              </w:rPr>
              <w:t>分辨率：</w:t>
            </w:r>
            <w:r>
              <w:rPr>
                <w:sz w:val="21"/>
              </w:rPr>
              <w:t>≥1024*1000</w:t>
            </w:r>
            <w:r>
              <w:rPr>
                <w:sz w:val="21"/>
              </w:rPr>
              <w:t>。</w:t>
            </w:r>
          </w:p>
          <w:p>
            <w:pPr>
              <w:jc w:val="both"/>
            </w:pPr>
            <w:r>
              <w:rPr>
                <w:sz w:val="21"/>
              </w:rPr>
              <w:t>（</w:t>
            </w:r>
            <w:r>
              <w:rPr>
                <w:sz w:val="21"/>
              </w:rPr>
              <w:t>三</w:t>
            </w:r>
            <w:r>
              <w:rPr>
                <w:sz w:val="21"/>
              </w:rPr>
              <w:t>）</w:t>
            </w:r>
            <w:r>
              <w:rPr>
                <w:sz w:val="21"/>
              </w:rPr>
              <w:t>软件系统</w:t>
            </w:r>
          </w:p>
          <w:p>
            <w:pPr>
              <w:jc w:val="both"/>
            </w:pPr>
            <w:r>
              <w:rPr>
                <w:sz w:val="21"/>
              </w:rPr>
              <w:t>1</w:t>
            </w:r>
            <w:r>
              <w:rPr>
                <w:sz w:val="21"/>
              </w:rPr>
              <w:t>.</w:t>
            </w:r>
            <w:r>
              <w:rPr>
                <w:sz w:val="21"/>
              </w:rPr>
              <w:t>Windows 10或以上操作系统。</w:t>
            </w:r>
          </w:p>
          <w:p>
            <w:pPr>
              <w:jc w:val="both"/>
            </w:pPr>
            <w:r>
              <w:rPr>
                <w:sz w:val="21"/>
              </w:rPr>
              <w:t>▲2</w:t>
            </w:r>
            <w:r>
              <w:rPr>
                <w:sz w:val="21"/>
              </w:rPr>
              <w:t>.</w:t>
            </w:r>
            <w:r>
              <w:rPr>
                <w:sz w:val="21"/>
              </w:rPr>
              <w:t>可供选择的多语言操作系统以及图文管理系统。各种扫描模式在同一操作界面，可任意切换，方便操作。</w:t>
            </w:r>
          </w:p>
          <w:p>
            <w:pPr>
              <w:jc w:val="both"/>
            </w:pPr>
            <w:r>
              <w:rPr>
                <w:sz w:val="21"/>
              </w:rPr>
              <w:t>▲3</w:t>
            </w:r>
            <w:r>
              <w:rPr>
                <w:sz w:val="21"/>
              </w:rPr>
              <w:t>.</w:t>
            </w:r>
            <w:r>
              <w:rPr>
                <w:sz w:val="21"/>
              </w:rPr>
              <w:t>OCT图像伪彩色表示，伪彩色模式不少于三种。</w:t>
            </w:r>
          </w:p>
          <w:p>
            <w:pPr>
              <w:jc w:val="both"/>
            </w:pPr>
            <w:r>
              <w:rPr>
                <w:sz w:val="21"/>
              </w:rPr>
              <w:t>4</w:t>
            </w:r>
            <w:r>
              <w:rPr>
                <w:sz w:val="21"/>
              </w:rPr>
              <w:t>.可以实现</w:t>
            </w:r>
            <w:r>
              <w:rPr>
                <w:sz w:val="21"/>
              </w:rPr>
              <w:t>100幅</w:t>
            </w:r>
            <w:r>
              <w:rPr>
                <w:sz w:val="21"/>
              </w:rPr>
              <w:t>或以上</w:t>
            </w:r>
            <w:r>
              <w:rPr>
                <w:sz w:val="21"/>
              </w:rPr>
              <w:t>图像高清叠加</w:t>
            </w:r>
            <w:r>
              <w:rPr>
                <w:sz w:val="21"/>
              </w:rPr>
              <w:t>。</w:t>
            </w:r>
          </w:p>
          <w:p>
            <w:pPr>
              <w:jc w:val="both"/>
            </w:pPr>
            <w:r>
              <w:rPr>
                <w:sz w:val="21"/>
              </w:rPr>
              <w:t>5</w:t>
            </w:r>
            <w:r>
              <w:rPr>
                <w:sz w:val="21"/>
              </w:rPr>
              <w:t>.</w:t>
            </w:r>
            <w:r>
              <w:rPr>
                <w:sz w:val="21"/>
              </w:rPr>
              <w:t>黄斑分析功能：视网膜厚度分析；</w:t>
            </w:r>
            <w:r>
              <w:rPr>
                <w:sz w:val="21"/>
              </w:rPr>
              <w:t>3D视图；En-face分析；进展性分析。</w:t>
            </w:r>
          </w:p>
          <w:p>
            <w:pPr>
              <w:jc w:val="both"/>
            </w:pPr>
            <w:r>
              <w:rPr>
                <w:sz w:val="21"/>
              </w:rPr>
              <w:t>6</w:t>
            </w:r>
            <w:r>
              <w:rPr>
                <w:sz w:val="21"/>
              </w:rPr>
              <w:t>.提供</w:t>
            </w:r>
            <w:r>
              <w:rPr>
                <w:sz w:val="21"/>
              </w:rPr>
              <w:t>DCI脉络膜深层扫描功能。</w:t>
            </w:r>
          </w:p>
          <w:p>
            <w:pPr>
              <w:jc w:val="both"/>
            </w:pPr>
            <w:r>
              <w:rPr>
                <w:sz w:val="21"/>
              </w:rPr>
              <w:t>7</w:t>
            </w:r>
            <w:r>
              <w:rPr>
                <w:sz w:val="21"/>
              </w:rPr>
              <w:t>.</w:t>
            </w:r>
            <w:r>
              <w:rPr>
                <w:sz w:val="21"/>
              </w:rPr>
              <w:t>青光眼分析功能：</w:t>
            </w:r>
            <w:r>
              <w:rPr>
                <w:sz w:val="21"/>
              </w:rPr>
              <w:t>GCC分析；视网膜神经纤维层分析；神经节细胞分析；杯盘面分析；随访分析；双眼对比分析</w:t>
            </w:r>
            <w:r>
              <w:rPr>
                <w:sz w:val="21"/>
              </w:rPr>
              <w:t>。</w:t>
            </w:r>
          </w:p>
          <w:p>
            <w:pPr>
              <w:jc w:val="both"/>
            </w:pPr>
            <w:r>
              <w:rPr>
                <w:sz w:val="21"/>
              </w:rPr>
              <w:t>8</w:t>
            </w:r>
            <w:r>
              <w:rPr>
                <w:sz w:val="21"/>
              </w:rPr>
              <w:t>.</w:t>
            </w:r>
            <w:r>
              <w:rPr>
                <w:sz w:val="21"/>
              </w:rPr>
              <w:t>血管网成像，可以清晰呈现视网膜微小毛细血管</w:t>
            </w:r>
            <w:r>
              <w:rPr>
                <w:sz w:val="21"/>
              </w:rPr>
              <w:t>。</w:t>
            </w:r>
          </w:p>
          <w:p>
            <w:pPr>
              <w:jc w:val="both"/>
            </w:pPr>
            <w:r>
              <w:rPr>
                <w:sz w:val="21"/>
              </w:rPr>
              <w:t>9</w:t>
            </w:r>
            <w:r>
              <w:rPr>
                <w:sz w:val="21"/>
              </w:rPr>
              <w:t>.</w:t>
            </w:r>
            <w:r>
              <w:rPr>
                <w:sz w:val="21"/>
              </w:rPr>
              <w:t>前节分析功能：</w:t>
            </w:r>
            <w:r>
              <w:rPr>
                <w:sz w:val="21"/>
              </w:rPr>
              <w:t>手动测量；角膜厚度分析；角膜上皮层厚度分析；全房角分析</w:t>
            </w:r>
            <w:r>
              <w:rPr>
                <w:sz w:val="21"/>
              </w:rPr>
              <w:t>。</w:t>
            </w:r>
          </w:p>
          <w:p>
            <w:pPr>
              <w:jc w:val="both"/>
            </w:pPr>
            <w:r>
              <w:rPr>
                <w:sz w:val="21"/>
              </w:rPr>
              <w:t>10</w:t>
            </w:r>
            <w:r>
              <w:rPr>
                <w:sz w:val="21"/>
              </w:rPr>
              <w:t>.提供</w:t>
            </w:r>
            <w:r>
              <w:rPr>
                <w:sz w:val="21"/>
              </w:rPr>
              <w:t>视网膜视经纤维层正常值及黄斑厚度正常值数据库</w:t>
            </w:r>
            <w:r>
              <w:rPr>
                <w:sz w:val="21"/>
              </w:rPr>
              <w:t>。</w:t>
            </w:r>
          </w:p>
          <w:p>
            <w:pPr>
              <w:jc w:val="both"/>
            </w:pPr>
            <w:r>
              <w:rPr>
                <w:sz w:val="21"/>
              </w:rPr>
              <w:t>11</w:t>
            </w:r>
            <w:r>
              <w:rPr>
                <w:sz w:val="21"/>
              </w:rPr>
              <w:t>.提供</w:t>
            </w:r>
            <w:r>
              <w:rPr>
                <w:sz w:val="21"/>
              </w:rPr>
              <w:t>完善的病例数据管理，快速方便的数据查询和备份恢复系统</w:t>
            </w:r>
            <w:r>
              <w:rPr>
                <w:sz w:val="21"/>
              </w:rPr>
              <w:t>。</w:t>
            </w:r>
          </w:p>
          <w:p>
            <w:pPr>
              <w:jc w:val="both"/>
            </w:pPr>
            <w:r>
              <w:rPr>
                <w:sz w:val="21"/>
              </w:rPr>
              <w:t>12</w:t>
            </w:r>
            <w:r>
              <w:rPr>
                <w:sz w:val="21"/>
              </w:rPr>
              <w:t>.提供</w:t>
            </w:r>
            <w:r>
              <w:rPr>
                <w:sz w:val="21"/>
              </w:rPr>
              <w:t>SLO降噪技术，使成像更清晰</w:t>
            </w:r>
            <w:r>
              <w:rPr>
                <w:sz w:val="21"/>
              </w:rPr>
              <w:t>。</w:t>
            </w:r>
          </w:p>
          <w:p>
            <w:pPr>
              <w:jc w:val="both"/>
            </w:pPr>
            <w:r>
              <w:rPr>
                <w:sz w:val="21"/>
              </w:rPr>
              <w:t>13</w:t>
            </w:r>
            <w:r>
              <w:rPr>
                <w:sz w:val="21"/>
              </w:rPr>
              <w:t>.</w:t>
            </w:r>
            <w:r>
              <w:rPr>
                <w:sz w:val="21"/>
              </w:rPr>
              <w:t>具有眼追踪功能，确保扫描部位一致，使得随访更精确</w:t>
            </w:r>
          </w:p>
          <w:p>
            <w:pPr>
              <w:jc w:val="both"/>
            </w:pPr>
            <w:r>
              <w:rPr>
                <w:sz w:val="21"/>
              </w:rPr>
              <w:t>血管成像：</w:t>
            </w:r>
          </w:p>
          <w:p>
            <w:pPr>
              <w:jc w:val="both"/>
            </w:pPr>
            <w:r>
              <w:rPr>
                <w:sz w:val="21"/>
              </w:rPr>
              <w:t>1</w:t>
            </w:r>
            <w:r>
              <w:rPr>
                <w:sz w:val="21"/>
              </w:rPr>
              <w:t>）</w:t>
            </w:r>
            <w:r>
              <w:rPr>
                <w:sz w:val="21"/>
              </w:rPr>
              <w:t>基于光学相干断层扫描术的血管成像技术。主要用于视网膜脉络膜的血流成像。能够对血流信号进行探测和量化分析，并且能够分层观察和判断视网膜脉络膜的血流改变情况。</w:t>
            </w:r>
          </w:p>
          <w:p>
            <w:pPr>
              <w:jc w:val="both"/>
            </w:pPr>
            <w:r>
              <w:rPr>
                <w:sz w:val="21"/>
              </w:rPr>
              <w:t>2</w:t>
            </w:r>
            <w:r>
              <w:rPr>
                <w:sz w:val="21"/>
              </w:rPr>
              <w:t>）</w:t>
            </w:r>
            <w:r>
              <w:rPr>
                <w:sz w:val="21"/>
              </w:rPr>
              <w:t>血流成像分层：玻璃体视网膜交界面、视网膜浅表层、视网膜中层、视网膜深层、视网膜外层、脉络膜毛细血管层、脉络膜层</w:t>
            </w:r>
            <w:r>
              <w:rPr>
                <w:sz w:val="21"/>
              </w:rPr>
              <w:t>。</w:t>
            </w:r>
          </w:p>
          <w:p>
            <w:pPr>
              <w:jc w:val="both"/>
            </w:pPr>
            <w:r>
              <w:rPr>
                <w:sz w:val="21"/>
              </w:rPr>
              <w:t>3</w:t>
            </w:r>
            <w:r>
              <w:rPr>
                <w:sz w:val="21"/>
              </w:rPr>
              <w:t>）</w:t>
            </w:r>
            <w:r>
              <w:rPr>
                <w:sz w:val="21"/>
              </w:rPr>
              <w:t>提供</w:t>
            </w:r>
            <w:r>
              <w:rPr>
                <w:sz w:val="21"/>
              </w:rPr>
              <w:t>视盘区域</w:t>
            </w:r>
            <w:r>
              <w:rPr>
                <w:sz w:val="21"/>
              </w:rPr>
              <w:t>OCT血管成像</w:t>
            </w:r>
            <w:r>
              <w:rPr>
                <w:sz w:val="21"/>
              </w:rPr>
              <w:t>。</w:t>
            </w:r>
          </w:p>
          <w:p>
            <w:pPr>
              <w:jc w:val="both"/>
            </w:pPr>
            <w:r>
              <w:rPr>
                <w:sz w:val="21"/>
              </w:rPr>
              <w:t>4</w:t>
            </w:r>
            <w:r>
              <w:rPr>
                <w:sz w:val="21"/>
              </w:rPr>
              <w:t>）</w:t>
            </w:r>
            <w:r>
              <w:rPr>
                <w:sz w:val="21"/>
              </w:rPr>
              <w:t>扫描范围和扫描密度：黄斑区：</w:t>
            </w:r>
            <w:r>
              <w:rPr>
                <w:sz w:val="21"/>
              </w:rPr>
              <w:t>3*3mm；6*6mm；8*8mm；12*8mm；图像扫描点数：256*256、512*512、512*512、540*360A-Scans。视盘区：4.5*4.5mm；6*6mm；图像扫描点数：256*256、512*512、512*512A-Scans</w:t>
            </w:r>
            <w:r>
              <w:rPr>
                <w:sz w:val="21"/>
              </w:rPr>
              <w:t>。</w:t>
            </w:r>
          </w:p>
          <w:p>
            <w:pPr>
              <w:jc w:val="both"/>
            </w:pPr>
            <w:r>
              <w:rPr>
                <w:sz w:val="21"/>
              </w:rPr>
              <w:t>5</w:t>
            </w:r>
            <w:r>
              <w:rPr>
                <w:sz w:val="21"/>
              </w:rPr>
              <w:t>）</w:t>
            </w:r>
            <w:r>
              <w:rPr>
                <w:sz w:val="21"/>
              </w:rPr>
              <w:t>血管成像计算方法：</w:t>
            </w:r>
            <w:r>
              <w:rPr>
                <w:sz w:val="21"/>
              </w:rPr>
              <w:t>COMAG算法，采用幅值+相位全部信号同一位置扫描重复次数：2次-4次</w:t>
            </w:r>
            <w:r>
              <w:rPr>
                <w:sz w:val="21"/>
              </w:rPr>
              <w:t>。</w:t>
            </w:r>
          </w:p>
          <w:p>
            <w:pPr>
              <w:jc w:val="both"/>
            </w:pPr>
            <w:r>
              <w:rPr>
                <w:sz w:val="21"/>
              </w:rPr>
              <w:t>6</w:t>
            </w:r>
            <w:r>
              <w:rPr>
                <w:sz w:val="21"/>
              </w:rPr>
              <w:t>）</w:t>
            </w:r>
            <w:r>
              <w:rPr>
                <w:sz w:val="21"/>
              </w:rPr>
              <w:t>提供</w:t>
            </w:r>
            <w:r>
              <w:rPr>
                <w:sz w:val="21"/>
              </w:rPr>
              <w:t>投射伪迹去除，具备智能分层标记线修改（手动修改</w:t>
            </w:r>
            <w:r>
              <w:rPr>
                <w:sz w:val="21"/>
              </w:rPr>
              <w:t>1-3个B扫描的分层标记线，则整个扫描结果的分层标记线均可自动调整至所需位置）</w:t>
            </w:r>
            <w:r>
              <w:rPr>
                <w:sz w:val="21"/>
              </w:rPr>
              <w:t>。</w:t>
            </w:r>
          </w:p>
          <w:p>
            <w:pPr>
              <w:jc w:val="both"/>
            </w:pPr>
            <w:r>
              <w:rPr>
                <w:sz w:val="21"/>
              </w:rPr>
              <w:t>7</w:t>
            </w:r>
            <w:r>
              <w:rPr>
                <w:sz w:val="21"/>
              </w:rPr>
              <w:t>）</w:t>
            </w:r>
            <w:r>
              <w:rPr>
                <w:sz w:val="21"/>
              </w:rPr>
              <w:t>量化分析：血管密度分析、灌注密度分析、无灌注区分析、血管缺损分析、异常血管分析</w:t>
            </w:r>
            <w:r>
              <w:rPr>
                <w:sz w:val="21"/>
              </w:rPr>
              <w:t>。</w:t>
            </w:r>
          </w:p>
          <w:p>
            <w:pPr>
              <w:jc w:val="both"/>
            </w:pPr>
            <w:r>
              <w:rPr>
                <w:sz w:val="21"/>
              </w:rPr>
              <w:t>8</w:t>
            </w:r>
            <w:r>
              <w:rPr>
                <w:sz w:val="21"/>
              </w:rPr>
              <w:t>）</w:t>
            </w:r>
            <w:r>
              <w:rPr>
                <w:sz w:val="21"/>
              </w:rPr>
              <w:t>血流密度测量包含：浅层毛细血管网测量、深层毛细血管网测量</w:t>
            </w:r>
            <w:r>
              <w:rPr>
                <w:sz w:val="21"/>
              </w:rPr>
              <w:t>。</w:t>
            </w:r>
          </w:p>
          <w:p>
            <w:pPr>
              <w:jc w:val="both"/>
            </w:pPr>
            <w:r>
              <w:rPr>
                <w:sz w:val="21"/>
              </w:rPr>
              <w:t>9</w:t>
            </w:r>
            <w:r>
              <w:rPr>
                <w:sz w:val="21"/>
              </w:rPr>
              <w:t>）</w:t>
            </w:r>
            <w:r>
              <w:rPr>
                <w:sz w:val="21"/>
              </w:rPr>
              <w:t>最短血流成像速度</w:t>
            </w:r>
            <w:r>
              <w:rPr>
                <w:sz w:val="21"/>
              </w:rPr>
              <w:t>≤3.2秒/次</w:t>
            </w:r>
            <w:r>
              <w:rPr>
                <w:sz w:val="21"/>
              </w:rPr>
              <w:t>。</w:t>
            </w:r>
          </w:p>
          <w:p>
            <w:pPr>
              <w:jc w:val="both"/>
            </w:pPr>
            <w:r>
              <w:rPr>
                <w:sz w:val="21"/>
              </w:rPr>
              <w:t>10</w:t>
            </w:r>
            <w:r>
              <w:rPr>
                <w:sz w:val="21"/>
              </w:rPr>
              <w:t>）</w:t>
            </w:r>
            <w:r>
              <w:rPr>
                <w:sz w:val="21"/>
              </w:rPr>
              <w:t>不同分层的颜色编码功能、动眼追踪，运动校准，去除运动伪迹功能</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光学生物测量仪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（一）基本功能要求：测量眼球生物参数，包括但不限于眼轴长度、角膜曲率、角膜厚度、白</w:t>
            </w:r>
            <w:r>
              <w:rPr>
                <w:sz w:val="21"/>
              </w:rPr>
              <w:t>-白（角膜直径）、瞳孔直径、kappa角，可用于儿童青少年屈光档案的建立。</w:t>
            </w:r>
          </w:p>
          <w:p>
            <w:pPr>
              <w:jc w:val="both"/>
            </w:pPr>
            <w:r>
              <w:rPr>
                <w:sz w:val="21"/>
              </w:rPr>
              <w:t>（二）光源</w:t>
            </w:r>
          </w:p>
          <w:p>
            <w:pPr>
              <w:jc w:val="both"/>
            </w:pPr>
            <w:r>
              <w:rPr>
                <w:sz w:val="21"/>
              </w:rPr>
              <w:t>1.眼轴长测量光源波长：≥850nm，单次测量时间（脉冲持续时间）：≤1s；</w:t>
            </w:r>
          </w:p>
          <w:p>
            <w:pPr>
              <w:jc w:val="both"/>
            </w:pPr>
            <w:r>
              <w:rPr>
                <w:sz w:val="21"/>
              </w:rPr>
              <w:t>2.固视灯光源：LED， 输出亮度≥80 mcd；</w:t>
            </w:r>
          </w:p>
          <w:p>
            <w:pPr>
              <w:jc w:val="both"/>
            </w:pPr>
            <w:r>
              <w:rPr>
                <w:sz w:val="21"/>
              </w:rPr>
              <w:t>3.角膜曲率测量光源： LED，≥950nm；</w:t>
            </w:r>
          </w:p>
          <w:p>
            <w:pPr>
              <w:jc w:val="both"/>
            </w:pPr>
            <w:r>
              <w:rPr>
                <w:sz w:val="21"/>
              </w:rPr>
              <w:t>4.白到白测量光源：白光LED；</w:t>
            </w:r>
          </w:p>
          <w:p>
            <w:pPr>
              <w:jc w:val="both"/>
            </w:pPr>
            <w:r>
              <w:rPr>
                <w:sz w:val="21"/>
              </w:rPr>
              <w:t>5.瞳孔直径光源：LED，≥950nm。</w:t>
            </w:r>
          </w:p>
          <w:p>
            <w:pPr>
              <w:jc w:val="both"/>
            </w:pPr>
            <w:r>
              <w:rPr>
                <w:sz w:val="21"/>
              </w:rPr>
              <w:t>（三）生物参数测量性能指标：包括测量范围、分辨率和允差</w:t>
            </w:r>
          </w:p>
          <w:p>
            <w:pPr>
              <w:jc w:val="both"/>
            </w:pPr>
            <w:r>
              <w:rPr>
                <w:sz w:val="21"/>
              </w:rPr>
              <w:t>1.眼轴长度AL：测量范围12mm～34mm，显示分辨率≤0.001mm，允差≤±25μm。</w:t>
            </w:r>
          </w:p>
          <w:p>
            <w:pPr>
              <w:jc w:val="both"/>
            </w:pPr>
            <w:r>
              <w:rPr>
                <w:sz w:val="21"/>
              </w:rPr>
              <w:t>2.角膜厚度CT：测量范围300μm～800μm，显示分辨率≤1μm，允差≤±2μm。</w:t>
            </w:r>
          </w:p>
          <w:p>
            <w:pPr>
              <w:jc w:val="both"/>
            </w:pPr>
            <w:r>
              <w:rPr>
                <w:sz w:val="21"/>
              </w:rPr>
              <w:t>3.角膜曲率半径K1、K2：测量范围4.7mm～11.5mm，显示分辨率≤0.01mm，允差≤±10μm。</w:t>
            </w:r>
          </w:p>
          <w:p>
            <w:pPr>
              <w:jc w:val="both"/>
            </w:pPr>
            <w:r>
              <w:rPr>
                <w:sz w:val="21"/>
              </w:rPr>
              <w:t>4.轴位角A：测量范围0°～180°，显示分辨率≤1°，允差≤±9°。</w:t>
            </w:r>
          </w:p>
          <w:p>
            <w:pPr>
              <w:jc w:val="both"/>
            </w:pPr>
            <w:r>
              <w:rPr>
                <w:sz w:val="21"/>
              </w:rPr>
              <w:t>5.白到白距离WTW：测量范围6mm～17mm，显示分辨率≤0.01mm，允差≤±0.2mm。</w:t>
            </w:r>
          </w:p>
          <w:p>
            <w:pPr>
              <w:jc w:val="both"/>
            </w:pPr>
            <w:r>
              <w:rPr>
                <w:sz w:val="21"/>
              </w:rPr>
              <w:t>6.瞳孔直径PD：测量范围1.8mm～13.6mm，显示分辨率≤0.01mm，允差≤±0.3mm。</w:t>
            </w:r>
          </w:p>
          <w:p>
            <w:pPr>
              <w:jc w:val="both"/>
            </w:pPr>
            <w:r>
              <w:rPr>
                <w:sz w:val="21"/>
              </w:rPr>
              <w:t>（四）操作便利性</w:t>
            </w:r>
          </w:p>
          <w:p>
            <w:pPr>
              <w:jc w:val="both"/>
            </w:pPr>
            <w:r>
              <w:rPr>
                <w:sz w:val="21"/>
              </w:rPr>
              <w:t>1.“红黄绿”三色指示数据的可信度，可评估、删除不可靠数据，进行重新测量避免异常数据；</w:t>
            </w:r>
          </w:p>
          <w:p>
            <w:pPr>
              <w:jc w:val="both"/>
            </w:pPr>
            <w:r>
              <w:rPr>
                <w:sz w:val="21"/>
              </w:rPr>
              <w:t>2. 微米（μm）级测量精度，一次测量快速准确得出6项数据（包括眼轴长度、角膜厚度、角膜曲率半径、轴位角、白到白距离、瞳孔直径等）；</w:t>
            </w:r>
          </w:p>
          <w:p>
            <w:pPr>
              <w:jc w:val="both"/>
            </w:pPr>
            <w:r>
              <w:rPr>
                <w:sz w:val="21"/>
              </w:rPr>
              <w:t>3.白光闪烁后提醒检查结束；</w:t>
            </w:r>
          </w:p>
          <w:p>
            <w:pPr>
              <w:jc w:val="both"/>
            </w:pPr>
            <w:r>
              <w:rPr>
                <w:sz w:val="21"/>
              </w:rPr>
              <w:t>4.可携带外出体检、义诊；</w:t>
            </w:r>
          </w:p>
          <w:p>
            <w:pPr>
              <w:jc w:val="both"/>
            </w:pPr>
            <w:r>
              <w:rPr>
                <w:sz w:val="21"/>
              </w:rPr>
              <w:t>5.人体工程学设计:显示(操作)屏与生物测量仪主机一体不可分割，使操作手眼同步，直视屏幕操作机器时更方便更快捷。</w:t>
            </w:r>
          </w:p>
          <w:p>
            <w:pPr>
              <w:jc w:val="both"/>
            </w:pPr>
            <w:r>
              <w:rPr>
                <w:sz w:val="21"/>
              </w:rPr>
              <w:t>（五）测量原理</w:t>
            </w:r>
          </w:p>
          <w:p>
            <w:pPr>
              <w:jc w:val="both"/>
            </w:pPr>
            <w:r>
              <w:rPr>
                <w:sz w:val="21"/>
              </w:rPr>
              <w:t>1.测量原理：低相干光学反射原理。</w:t>
            </w:r>
          </w:p>
          <w:p>
            <w:pPr>
              <w:jc w:val="both"/>
            </w:pPr>
            <w:r>
              <w:rPr>
                <w:sz w:val="21"/>
              </w:rPr>
              <w:t>2.固视确认功能。</w:t>
            </w:r>
          </w:p>
          <w:p>
            <w:pPr>
              <w:jc w:val="both"/>
            </w:pPr>
            <w:r>
              <w:rPr>
                <w:sz w:val="21"/>
              </w:rPr>
              <w:t>▲3.角膜曲率测量方式：≥32颗红外灯。</w:t>
            </w:r>
          </w:p>
          <w:p>
            <w:pPr>
              <w:jc w:val="both"/>
            </w:pPr>
            <w:r>
              <w:rPr>
                <w:sz w:val="21"/>
              </w:rPr>
              <w:t>★4.测量方式：非接触式。</w:t>
            </w:r>
          </w:p>
          <w:p>
            <w:pPr>
              <w:jc w:val="both"/>
            </w:pPr>
            <w:r>
              <w:rPr>
                <w:sz w:val="21"/>
              </w:rPr>
              <w:t>5.测量模式可自动/手动测量切换。</w:t>
            </w:r>
          </w:p>
          <w:p>
            <w:pPr>
              <w:jc w:val="both"/>
            </w:pPr>
            <w:r>
              <w:rPr>
                <w:sz w:val="21"/>
              </w:rPr>
              <w:t>6.左右眼识别方式：自动识别。</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角膜地形图仪（眼前节分析系统）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1.功能：可用于角膜疾病手术、角膜屈光手术、白内障手术、青光眼筛查、人工晶体计算、ICL和IOL手术的前房空间测算等。</w:t>
            </w:r>
          </w:p>
          <w:p>
            <w:pPr>
              <w:jc w:val="both"/>
            </w:pPr>
            <w:r>
              <w:rPr>
                <w:sz w:val="21"/>
              </w:rPr>
              <w:t>2.相机：数字红外相机+数字CCD相机。</w:t>
            </w:r>
          </w:p>
          <w:p>
            <w:pPr>
              <w:jc w:val="both"/>
            </w:pPr>
            <w:r>
              <w:rPr>
                <w:sz w:val="21"/>
              </w:rPr>
              <w:t>3.光源：≥470nm 专用led裂隙光源。</w:t>
            </w:r>
          </w:p>
          <w:p>
            <w:pPr>
              <w:jc w:val="both"/>
            </w:pPr>
            <w:r>
              <w:rPr>
                <w:sz w:val="21"/>
              </w:rPr>
              <w:t>4.采样图像幅数/速度：≥28幅/1秒，≥60幅/2秒。</w:t>
            </w:r>
          </w:p>
          <w:p>
            <w:pPr>
              <w:jc w:val="both"/>
            </w:pPr>
            <w:r>
              <w:rPr>
                <w:sz w:val="21"/>
              </w:rPr>
              <w:t>▲5.采样数据点数：≥107520/230400。</w:t>
            </w:r>
          </w:p>
          <w:p>
            <w:pPr>
              <w:jc w:val="both"/>
            </w:pPr>
            <w:r>
              <w:rPr>
                <w:sz w:val="21"/>
              </w:rPr>
              <w:t>6.工作距离：≥80mm。</w:t>
            </w:r>
          </w:p>
          <w:p>
            <w:pPr>
              <w:jc w:val="both"/>
            </w:pPr>
            <w:r>
              <w:rPr>
                <w:sz w:val="21"/>
              </w:rPr>
              <w:t>★7.角膜地形图测量范围：≥9mm/12mm。</w:t>
            </w:r>
          </w:p>
          <w:p>
            <w:pPr>
              <w:jc w:val="both"/>
            </w:pPr>
            <w:r>
              <w:rPr>
                <w:sz w:val="21"/>
              </w:rPr>
              <w:t>8.角膜厚度测量范围：300-900nm。</w:t>
            </w:r>
          </w:p>
          <w:p>
            <w:pPr>
              <w:jc w:val="both"/>
            </w:pPr>
            <w:r>
              <w:rPr>
                <w:sz w:val="21"/>
              </w:rPr>
              <w:t>9.前房深度测量范围：0.8-6mm。</w:t>
            </w:r>
          </w:p>
          <w:p>
            <w:pPr>
              <w:jc w:val="both"/>
            </w:pPr>
            <w:r>
              <w:rPr>
                <w:sz w:val="21"/>
              </w:rPr>
              <w:t>10.屈光度：12-72D。</w:t>
            </w:r>
          </w:p>
          <w:p>
            <w:pPr>
              <w:jc w:val="both"/>
            </w:pPr>
            <w:r>
              <w:rPr>
                <w:sz w:val="21"/>
              </w:rPr>
              <w:t>11.白到白：6-14mm。</w:t>
            </w:r>
          </w:p>
          <w:p>
            <w:pPr>
              <w:jc w:val="both"/>
            </w:pPr>
            <w:r>
              <w:rPr>
                <w:sz w:val="21"/>
              </w:rPr>
              <w:t>12.瞳孔直径测量范围：1-10mm。</w:t>
            </w:r>
          </w:p>
          <w:p>
            <w:pPr>
              <w:jc w:val="both"/>
            </w:pPr>
            <w:r>
              <w:rPr>
                <w:sz w:val="21"/>
              </w:rPr>
              <w:t>13.前房容积测量范围：15-300mm³。</w:t>
            </w:r>
          </w:p>
          <w:p>
            <w:pPr>
              <w:jc w:val="both"/>
            </w:pPr>
            <w:r>
              <w:rPr>
                <w:sz w:val="21"/>
              </w:rPr>
              <w:t>14.房角测量范围：16-60°。</w:t>
            </w:r>
          </w:p>
          <w:p>
            <w:pPr>
              <w:jc w:val="both"/>
            </w:pPr>
            <w:r>
              <w:rPr>
                <w:sz w:val="21"/>
              </w:rPr>
              <w:t>15.拍摄模式：3D拍摄模式，360°全面扫描眼前节，拍摄≥28幅或≥60幅不同角度的眼前节图像；2D拍摄模式，2维拍摄模式，采购人可以根据需求拍摄任意角度任意张数的眼前节截面图像。</w:t>
            </w:r>
          </w:p>
          <w:p>
            <w:pPr>
              <w:jc w:val="both"/>
            </w:pPr>
            <w:r>
              <w:rPr>
                <w:sz w:val="21"/>
              </w:rPr>
              <w:t>16. 关键厚度数据：角膜顶点厚度和位置，最薄点厚度和位置，瞳孔中心厚度和位置（Kappa角），角膜中心厚度和位置（Alpha角）。</w:t>
            </w:r>
          </w:p>
          <w:p>
            <w:pPr>
              <w:jc w:val="both"/>
            </w:pPr>
            <w:r>
              <w:rPr>
                <w:sz w:val="21"/>
              </w:rPr>
              <w:t>17. KCP（Keratoconus Possibility）表示该病例患圆锥角膜的可能性，其数值分布在 0-100%，值越大表示患病概率越大，且不同区域的数值分别会以绿、黄、红警示。</w:t>
            </w:r>
          </w:p>
          <w:p>
            <w:pPr>
              <w:jc w:val="both"/>
            </w:pPr>
            <w:r>
              <w:rPr>
                <w:sz w:val="21"/>
              </w:rPr>
              <w:t>18. 地形图大图显示模式，显示当前病例下各类地形图数据。可查看角膜厚度、切向曲率（前）、切向曲率（后）、轴向曲率（前）、轴向曲率（后）、高度图、参考体、高度（前）、高度（后）、真实净屈光、角膜曲率屈光力偏差、前房深表（内表皮）、屈光力（前）、全角膜屈光力等数据。</w:t>
            </w:r>
          </w:p>
          <w:p>
            <w:pPr>
              <w:jc w:val="both"/>
            </w:pPr>
            <w:r>
              <w:rPr>
                <w:sz w:val="21"/>
              </w:rPr>
              <w:t>19. Scheimpflug图像</w:t>
            </w:r>
            <w:r>
              <w:rPr>
                <w:sz w:val="21"/>
              </w:rPr>
              <w:t>：该模块主要用于对某一</w:t>
            </w:r>
            <w:r>
              <w:rPr>
                <w:sz w:val="21"/>
              </w:rPr>
              <w:t>Scheimpflug做密度（灰度），系统提供了两种类型的密度分析，分别为沿线密度分析和区域密度分析。</w:t>
            </w:r>
          </w:p>
          <w:p>
            <w:pPr>
              <w:jc w:val="both"/>
            </w:pPr>
            <w:r>
              <w:rPr>
                <w:sz w:val="21"/>
              </w:rPr>
              <w:t>20. 3D显示：该3D模拟眼显示依据真实数据分别构建了角膜前表面（蓝色），角膜后表面（绿色），虹膜（紫色），晶体前表面（黄色）。该模型用于医生对患者或学生的示教。</w:t>
            </w:r>
          </w:p>
          <w:p>
            <w:pPr>
              <w:jc w:val="both"/>
            </w:pPr>
            <w:r>
              <w:rPr>
                <w:sz w:val="21"/>
              </w:rPr>
              <w:t>▲21.屈光四图：屈光四图含角膜前后表面高度图、厚度图、和角膜前表面轴向曲率图。</w:t>
            </w:r>
          </w:p>
          <w:p>
            <w:pPr>
              <w:jc w:val="both"/>
            </w:pPr>
            <w:r>
              <w:rPr>
                <w:sz w:val="21"/>
              </w:rPr>
              <w:t>22.可选四图：含有四幅可选彩色地形图，如角膜厚度、高度等都可以加载到任意四个域之一的位置。通过该选项，采购人可以在一个界面查看、打印输出日常工作需要的重要地形图。</w:t>
            </w:r>
          </w:p>
          <w:p>
            <w:pPr>
              <w:jc w:val="both"/>
            </w:pPr>
            <w:r>
              <w:rPr>
                <w:sz w:val="21"/>
              </w:rPr>
              <w:t>23. 晶体分析：本功能模块主要应用于晶体密度分析和白内障分级，可查看截面图大图。</w:t>
            </w:r>
          </w:p>
          <w:p>
            <w:pPr>
              <w:jc w:val="both"/>
            </w:pPr>
            <w:r>
              <w:rPr>
                <w:sz w:val="21"/>
              </w:rPr>
              <w:t>24.房角分析：该功能模块主要应用于窄房角病人或青光眼病人的相关筛查，可以通过切换各角度位置界面查看切面视图。</w:t>
            </w:r>
          </w:p>
          <w:p>
            <w:pPr>
              <w:jc w:val="both"/>
            </w:pPr>
            <w:r>
              <w:rPr>
                <w:sz w:val="21"/>
              </w:rPr>
              <w:t>▲25.形态因子：分析以角膜顶点为中心的各直径环的Ecc, E-val, P-val, Q-val，以及Sag.Cur(切向曲率半径)。</w:t>
            </w:r>
          </w:p>
          <w:p>
            <w:pPr>
              <w:jc w:val="both"/>
            </w:pPr>
            <w:r>
              <w:rPr>
                <w:sz w:val="21"/>
              </w:rPr>
              <w:t>26.厚度模块：该模块可展示角膜厚度的变化分布，角膜厚度的变化分布。包括角膜厚度形态分布，厚度递增百分比，厚度及斜率。</w:t>
            </w:r>
          </w:p>
          <w:p>
            <w:pPr>
              <w:jc w:val="both"/>
            </w:pPr>
            <w:r>
              <w:rPr>
                <w:sz w:val="21"/>
              </w:rPr>
              <w:t>27.屈光分布：该模块中分别给出了角膜前后表面的k1，k2，km，Astig，在膜直径≥3mm范围内求得，提供全角膜屈光力地形图的k1，k2，km，Astig从直径2mm到直径9mm范围各个区域的分布表，和分布曲线图。</w:t>
            </w:r>
          </w:p>
          <w:p>
            <w:pPr>
              <w:jc w:val="both"/>
            </w:pPr>
            <w:r>
              <w:rPr>
                <w:sz w:val="21"/>
              </w:rPr>
              <w:t>▲28.像差：该视图是通过测量到的角膜前后表面高度数据并依据射线追踪法（RayTracing）原理来计算真实的波前面，之后对真实波前面和理想波前面求取差值来做波前像差分析。并且提供了视网膜成像模拟，PSF和MTF用于评价光学质量。</w:t>
            </w:r>
          </w:p>
          <w:p>
            <w:pPr>
              <w:jc w:val="both"/>
            </w:pPr>
            <w:r>
              <w:rPr>
                <w:sz w:val="21"/>
              </w:rPr>
              <w:t>29.圆锥角膜筛查：该模块主要用于辅助圆锥角膜的筛查。包含了屈光四图地形图外加后表面的轴向曲率图，同时给出了厚度形态的趋势分布。这些都是判断圆锥角膜的关键参考。并且引入绿黄红无极色阶，以游标位置分别考虑角膜前后表面患圆锥的严重程度系数（KCI）。为了给医生更多的参考，点击参考病例下方的图标，会显示样本集中与当前病例特征向量最为相似病例的屈光四图。</w:t>
            </w:r>
          </w:p>
          <w:p>
            <w:pPr>
              <w:jc w:val="both"/>
            </w:pPr>
            <w:r>
              <w:rPr>
                <w:sz w:val="21"/>
              </w:rPr>
              <w:t>30</w:t>
            </w:r>
            <w:r>
              <w:rPr>
                <w:sz w:val="21"/>
              </w:rPr>
              <w:t>.</w:t>
            </w:r>
            <w:r>
              <w:rPr>
                <w:sz w:val="21"/>
              </w:rPr>
              <w:t>接触镜仿真试戴：本模块提供患者佩戴接触镜的荧光模拟，以仿真真正佩戴的适合性。右侧窗体顶部会显示当前镜片基弧的基本参数，即</w:t>
            </w:r>
            <w:r>
              <w:rPr>
                <w:sz w:val="21"/>
              </w:rPr>
              <w:t>R0，W0，Ecc0。可以选择数据库中的厂商和镜片型号直接为病人进行模拟佩戴，也可以手动新建制造商和系列镜片参数。提供经典四弧镜片设计窗口，采购人可以根据需求和病人角膜数据及模拟效果设计最适合的镜片数据以供厂家生产。</w:t>
            </w:r>
          </w:p>
          <w:p>
            <w:pPr>
              <w:jc w:val="both"/>
            </w:pPr>
            <w:r>
              <w:rPr>
                <w:sz w:val="21"/>
              </w:rPr>
              <w:t>31. 该功能模块旨在计算IOL度数，提供了SRK1-3代、holiday1、Binkhorst2、HofferQ、Haigis等计算公式，每个公式的参数常量由镜片厂家提供。当使用该模块计算IOL度数时，在右上角输入目标屈光度数，和该病例的眼轴长度，其他参与计算的参数由Scansys提供。在每个表中IOL Target Power 表示与目标屈光度数对应的该公式下IOL度数。IOL列以0.5D 间隔排列，Ref列为与之相对应的屈光度数。</w:t>
            </w:r>
          </w:p>
          <w:p>
            <w:pPr>
              <w:jc w:val="both"/>
            </w:pPr>
            <w:r>
              <w:rPr>
                <w:sz w:val="21"/>
              </w:rPr>
              <w:t>▲32. IOL优选：该模块为解决白内障手术中的球性屈光不正，散光，球差，老视提供专业数据和分析支持。</w:t>
            </w:r>
          </w:p>
          <w:p>
            <w:pPr>
              <w:jc w:val="both"/>
            </w:pPr>
            <w:r>
              <w:rPr>
                <w:sz w:val="21"/>
              </w:rPr>
              <w:t>33. 两次检查差值/两次检查显示：这两个功能模块主要用于对比双眼或对比同一只眼睛不同时间检查结果。</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广州中医药大学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本项目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黎颖欣、吴秋娜</w:t>
      </w:r>
    </w:p>
    <w:p>
      <w:pPr>
        <w:ind w:firstLine="480"/>
      </w:pPr>
      <w:r>
        <w:rPr/>
        <w:t>电话：</w:t>
      </w:r>
      <w:r>
        <w:rPr/>
        <w:t>020-87688289、020-87684402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眼视光学教学实验室二期建设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采购包1（眼视光学教学实验室二期建设设备）：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采购包1（眼视光学教学实验室二期建设设备）：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采购包1（眼视光学教学实验室二期建设设备）：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投标报价是固定价且未超过本项目采购包对应货物的单价最高限价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采购包1(眼视光学教学实验室二期建设设备):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所投产品设备技术参数符合性1 (13.5分)</w:t>
            </w:r>
          </w:p>
        </w:tc>
        <w:tc>
          <w:tcPr>
            <w:tcW w:type="dxa" w:w="5076"/>
          </w:tcPr>
          <w:p>
            <w:pPr>
              <w:jc w:val="left"/>
            </w:pPr>
            <w:r>
              <w:rPr/>
              <w:t>根据投标人对采购需求标记“▲”号（共9项）的技术参数指标的响应程度进行评分：全部响应或正偏离的，得13.5分，每出现一项未响应或负偏离，扣1.5分，最低扣至0分。 注： 1）如采购需求中有明确要求提供证明资料的，以采购需求中的要求为准；如采购需求中未明确证明材料的，以投标人在《技术和服务要求响应表》中的响应情况填写内容为准，未填写的或参数不满足的都视为负偏离。</w:t>
            </w:r>
          </w:p>
        </w:tc>
      </w:tr>
      <w:tr>
        <w:tc>
          <w:tcPr>
            <w:tcW w:type="dxa" w:w="922"/>
            <w:gridSpan w:val="2"/>
            <w:vMerge/>
          </w:tcPr>
          <w:p/>
        </w:tc>
        <w:tc>
          <w:tcPr>
            <w:tcW w:type="dxa" w:w="2307"/>
          </w:tcPr>
          <w:p>
            <w:pPr>
              <w:jc w:val="left"/>
            </w:pPr>
            <w:r>
              <w:rPr/>
              <w:t>所投产品设备技术参数符合性2 (11.5分)</w:t>
            </w:r>
          </w:p>
        </w:tc>
        <w:tc>
          <w:tcPr>
            <w:tcW w:type="dxa" w:w="5076"/>
          </w:tcPr>
          <w:p>
            <w:pPr>
              <w:jc w:val="left"/>
            </w:pPr>
            <w:r>
              <w:rPr/>
              <w:t>根据投标人对采购需求中不带“▲”号、不带“★”号的一般技术参数指标的响应程度进行评分： “采购需求”中的一般条款（非带“▲”、“★”条款）：  1.完全响应或有正偏离的，得11.5分；  2.有1-4项未响应或负偏离的，得7分；  3.有5-8项未响应或负偏离的，得4分；  4.有9-12项未响应或负偏离的，得1分；   5.有13项及以上未响应或负偏离的，得0分。 注： 1）如采购需求中有明确要求提供证明资料的，以采购需求中的要求为准；如采购需求中未明确证明材料的，以投标人在《技术和服务要求响应表》中的响应情况填写内容为准，未填写的或参数不满足的都视为负偏离。 2）凡是标有序号的一般条款均以一项单独的条款计算，无论是否隶属于上一级编号。</w:t>
            </w:r>
          </w:p>
        </w:tc>
      </w:tr>
      <w:tr>
        <w:tc>
          <w:tcPr>
            <w:tcW w:type="dxa" w:w="922"/>
            <w:gridSpan w:val="2"/>
            <w:vMerge/>
          </w:tcPr>
          <w:p/>
        </w:tc>
        <w:tc>
          <w:tcPr>
            <w:tcW w:type="dxa" w:w="2307"/>
          </w:tcPr>
          <w:p>
            <w:pPr>
              <w:jc w:val="left"/>
            </w:pPr>
            <w:r>
              <w:rPr/>
              <w:t>产品质量及安全保证措施 (15.0分)</w:t>
            </w:r>
          </w:p>
        </w:tc>
        <w:tc>
          <w:tcPr>
            <w:tcW w:type="dxa" w:w="5076"/>
          </w:tcPr>
          <w:p>
            <w:pPr>
              <w:jc w:val="left"/>
            </w:pPr>
            <w:r>
              <w:rPr/>
              <w:t>根据投标人提供的产品质量及安全保证措施（包括但不限于维护计划、完善的质量保证体系、质量保证及服务承诺）进行评审： 1.投标人质量保证措施方案具体详实、可行性高，得15分； 2.投标人质量保证措施方案较具体、可行性较高，得10分； 3.投标人质量保证措施方案基本完整、可行性一般，得5分； 4.投标人质量保证措施方案不完整，可行性较差，得1分。 5.不提供不得分。</w:t>
            </w:r>
          </w:p>
        </w:tc>
      </w:tr>
      <w:tr>
        <w:tc>
          <w:tcPr>
            <w:tcW w:type="dxa" w:w="922"/>
            <w:gridSpan w:val="2"/>
            <w:vMerge/>
          </w:tcPr>
          <w:p/>
        </w:tc>
        <w:tc>
          <w:tcPr>
            <w:tcW w:type="dxa" w:w="2307"/>
          </w:tcPr>
          <w:p>
            <w:pPr>
              <w:jc w:val="left"/>
            </w:pPr>
            <w:r>
              <w:rPr/>
              <w:t>项目供货、安装、验收方案 (10.0分)</w:t>
            </w:r>
          </w:p>
        </w:tc>
        <w:tc>
          <w:tcPr>
            <w:tcW w:type="dxa" w:w="5076"/>
          </w:tcPr>
          <w:p>
            <w:pPr>
              <w:jc w:val="left"/>
            </w:pPr>
            <w:r>
              <w:rPr/>
              <w:t>根据投标人提供的项目实施方案进行评审，包括：①供货计划，②安装调试，③验收方案。 1.项目实施方案详细具体，针对性、可操作性强，得10分； 2.项目实施方案较具体，针对性、可操作性较强，得7分； 3.项目实施方案基本完整，针对性、可操作性一般，得4分； 4.项目实施方案不完整，针对性、可操作性较差，得1分； 5.不提供不得分。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根据投标人提供的售后服务方案（包括但不限于各阶段售后服务计划详细度，服务便利性，质保、响应时间、拟投入人员、维护保养服务）进行评审： 1.售后服务方案详细具体，完全适用本项目需求，得10分； 2.售后服务方案较详细，可操作性较强，较适用本项目需求，得7分； 3.售后服务方案基本完整，可操作性一般，部分满足本项目需求，得4分； 4.售后服务方案不详细、不全面，不满足项目需求，得1分； 5.不提供不得分。</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根据投标人对采购需求商务要求条款的响应程度进行评分： 每项中所有条款完全满足或优于的得0.5分，最高得3分；每项中有负偏离条款的，该项不得分。 注：本项目商务要求条款共6项，包括“标的提供的时间”、“标的提供的地点”、“付款方式”、“验收要求”、“履约保证金”及“其他信息”。</w:t>
            </w:r>
          </w:p>
        </w:tc>
      </w:tr>
      <w:tr>
        <w:tc>
          <w:tcPr>
            <w:tcW w:type="dxa" w:w="922"/>
            <w:gridSpan w:val="2"/>
            <w:vMerge/>
          </w:tcPr>
          <w:p/>
        </w:tc>
        <w:tc>
          <w:tcPr>
            <w:tcW w:type="dxa" w:w="2307"/>
          </w:tcPr>
          <w:p>
            <w:pPr>
              <w:jc w:val="left"/>
            </w:pPr>
            <w:r>
              <w:rPr/>
              <w:t>认证证书 (3.0分)</w:t>
            </w:r>
          </w:p>
        </w:tc>
        <w:tc>
          <w:tcPr>
            <w:tcW w:type="dxa" w:w="5076"/>
          </w:tcPr>
          <w:p>
            <w:pPr>
              <w:jc w:val="left"/>
            </w:pPr>
            <w:r>
              <w:rPr/>
              <w:t>投标人获得的管理体系证书： 1、质量管理体系认证； 2、环境管理体系认证； 3、职业健康安全管理体系认证； 提供有效期内的证书复印件，每提供一个得1分，最高得3分。</w:t>
            </w:r>
          </w:p>
        </w:tc>
      </w:tr>
      <w:tr>
        <w:tc>
          <w:tcPr>
            <w:tcW w:type="dxa" w:w="922"/>
            <w:gridSpan w:val="2"/>
            <w:vMerge/>
          </w:tcPr>
          <w:p/>
        </w:tc>
        <w:tc>
          <w:tcPr>
            <w:tcW w:type="dxa" w:w="2307"/>
          </w:tcPr>
          <w:p>
            <w:pPr>
              <w:jc w:val="left"/>
            </w:pPr>
            <w:r>
              <w:rPr/>
              <w:t>同类项目业绩 (4.0分)</w:t>
            </w:r>
          </w:p>
        </w:tc>
        <w:tc>
          <w:tcPr>
            <w:tcW w:type="dxa" w:w="5076"/>
          </w:tcPr>
          <w:p>
            <w:pPr>
              <w:jc w:val="left"/>
            </w:pPr>
            <w:r>
              <w:rPr/>
              <w:t>投标人每提供一项近三年即2020年1月1日以来（以合同签订生效时间为准）同类项目业绩的，得1分，本项最高得4分。 注：提供合同复印件加盖投标人公章，无业绩或不提供相关证明的不得分。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 xml:space="preserve"> </w:t>
      </w:r>
      <w:r>
        <w:rPr>
          <w:b/>
          <w:sz w:val="21"/>
        </w:rPr>
        <w:t>注：合同具体事项须根据采购文件的约定及乙方投标文件的承诺执行。</w:t>
      </w:r>
    </w:p>
    <w:p>
      <w:pPr>
        <w:jc w:val="left"/>
      </w:pPr>
      <w:r>
        <w:rPr>
          <w:sz w:val="21"/>
        </w:rPr>
        <w:t xml:space="preserve"> </w:t>
      </w:r>
    </w:p>
    <w:p>
      <w:pPr>
        <w:jc w:val="left"/>
      </w:pPr>
      <w:r>
        <w:rPr>
          <w:sz w:val="21"/>
        </w:rPr>
        <w:t xml:space="preserve"> </w:t>
      </w:r>
    </w:p>
    <w:p>
      <w:pPr>
        <w:ind w:firstLine="211"/>
        <w:jc w:val="left"/>
      </w:pPr>
    </w:p>
    <w:p>
      <w:pPr>
        <w:ind w:firstLine="880"/>
        <w:jc w:val="center"/>
      </w:pPr>
      <w:r>
        <w:rPr>
          <w:sz w:val="44"/>
        </w:rPr>
        <w:t>国产设备物资采购合同</w:t>
      </w:r>
    </w:p>
    <w:p>
      <w:pPr>
        <w:ind w:firstLine="880"/>
        <w:jc w:val="center"/>
      </w:pPr>
      <w:r>
        <w:rPr>
          <w:sz w:val="21"/>
        </w:rPr>
        <w:t xml:space="preserve"> </w:t>
      </w:r>
    </w:p>
    <w:p>
      <w:pPr>
        <w:ind w:firstLine="880"/>
        <w:jc w:val="center"/>
      </w:pPr>
      <w:r>
        <w:rPr>
          <w:sz w:val="21"/>
        </w:rPr>
        <w:t xml:space="preserve"> </w:t>
      </w:r>
    </w:p>
    <w:p>
      <w:pPr>
        <w:ind w:firstLine="880"/>
        <w:jc w:val="center"/>
      </w:pPr>
      <w:r>
        <w:rPr>
          <w:sz w:val="21"/>
        </w:rPr>
        <w:t xml:space="preserve"> </w:t>
      </w:r>
    </w:p>
    <w:p>
      <w:pPr>
        <w:jc w:val="both"/>
      </w:pPr>
      <w:r>
        <w:rPr>
          <w:sz w:val="21"/>
        </w:rPr>
        <w:t>甲方（买方）：广州中医药大学</w:t>
      </w:r>
      <w:r>
        <w:rPr>
          <w:sz w:val="21"/>
        </w:rPr>
        <w:t xml:space="preserve">          </w:t>
      </w:r>
      <w:r>
        <w:rPr>
          <w:sz w:val="21"/>
        </w:rPr>
        <w:t>签约地点：广州中医药大学</w:t>
      </w:r>
      <w:r>
        <w:rPr>
          <w:sz w:val="21"/>
        </w:rPr>
        <w:t xml:space="preserve">        </w:t>
      </w:r>
    </w:p>
    <w:p>
      <w:pPr>
        <w:jc w:val="both"/>
      </w:pPr>
      <w:r>
        <w:rPr>
          <w:sz w:val="21"/>
        </w:rPr>
        <w:t>住所：广州市机场路</w:t>
      </w:r>
      <w:r>
        <w:rPr>
          <w:sz w:val="21"/>
        </w:rPr>
        <w:t>12号大院</w:t>
      </w:r>
    </w:p>
    <w:p>
      <w:pPr>
        <w:jc w:val="both"/>
      </w:pPr>
      <w:r>
        <w:rPr>
          <w:sz w:val="21"/>
        </w:rPr>
        <w:t>乙方（卖方）：</w:t>
      </w:r>
      <w:r>
        <w:rPr>
          <w:sz w:val="21"/>
        </w:rPr>
        <w:t xml:space="preserve">                       </w:t>
      </w:r>
    </w:p>
    <w:p>
      <w:pPr>
        <w:jc w:val="both"/>
      </w:pPr>
      <w:r>
        <w:rPr>
          <w:sz w:val="21"/>
        </w:rPr>
        <w:t>住所：</w:t>
      </w:r>
    </w:p>
    <w:p>
      <w:pPr>
        <w:ind w:firstLine="420"/>
        <w:jc w:val="both"/>
      </w:pPr>
    </w:p>
    <w:p>
      <w:pPr>
        <w:ind w:firstLine="420"/>
        <w:jc w:val="both"/>
      </w:pPr>
      <w:r>
        <w:rPr>
          <w:sz w:val="21"/>
        </w:rPr>
        <w:t>根据《中华人民共和国民法典》及</w:t>
      </w:r>
      <w:r>
        <w:rPr>
          <w:sz w:val="21"/>
          <w:u w:val="single"/>
        </w:rPr>
        <w:t xml:space="preserve">                    </w:t>
      </w:r>
      <w:r>
        <w:rPr>
          <w:sz w:val="21"/>
        </w:rPr>
        <w:t>项目（招标编号：</w:t>
      </w:r>
      <w:r>
        <w:rPr>
          <w:sz w:val="21"/>
          <w:u w:val="single"/>
        </w:rPr>
        <w:t xml:space="preserve">                 </w:t>
      </w:r>
      <w:r>
        <w:rPr>
          <w:sz w:val="21"/>
        </w:rPr>
        <w:t>）的成交结果，甲乙双方在平等自愿的基础上，经协商一致，签订本合同。</w:t>
      </w:r>
    </w:p>
    <w:p>
      <w:pPr>
        <w:ind w:firstLine="422"/>
        <w:jc w:val="both"/>
      </w:pPr>
      <w:r>
        <w:rPr>
          <w:b/>
          <w:sz w:val="21"/>
        </w:rPr>
        <w:t>一、标的</w:t>
      </w:r>
    </w:p>
    <w:tbl>
      <w:tblPr>
        <w:tblW w:w="0" w:type="auto"/>
        <w:tblBorders>
          <w:top w:val="none" w:color="000000" w:sz="4"/>
          <w:left w:val="none" w:color="000000" w:sz="4"/>
          <w:bottom w:val="none" w:color="000000" w:sz="4"/>
          <w:right w:val="none" w:color="000000" w:sz="4"/>
          <w:insideH w:val="none"/>
          <w:insideV w:val="none"/>
        </w:tblBorders>
      </w:tblPr>
      <w:tblGrid>
        <w:gridCol w:w="653"/>
        <w:gridCol w:w="1844"/>
        <w:gridCol w:w="2083"/>
        <w:gridCol w:w="659"/>
        <w:gridCol w:w="676"/>
        <w:gridCol w:w="1242"/>
        <w:gridCol w:w="1144"/>
      </w:tblGrid>
      <w:tr>
        <w:tc>
          <w:tcPr>
            <w:tcW w:type="dxa" w:w="653"/>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844"/>
            <w:tcBorders>
              <w:top w:val="single" w:color="000000" w:sz="4"/>
              <w:left w:val="none" w:color="000000" w:sz="4"/>
              <w:bottom w:val="single" w:color="000000" w:sz="4"/>
              <w:right w:val="single" w:color="000000" w:sz="4"/>
            </w:tcBorders>
            <w:vAlign w:val="top"/>
          </w:tcPr>
          <w:p>
            <w:pPr>
              <w:jc w:val="center"/>
            </w:pPr>
            <w:r>
              <w:rPr>
                <w:sz w:val="24"/>
              </w:rPr>
              <w:t>设备物资名称</w:t>
            </w:r>
          </w:p>
        </w:tc>
        <w:tc>
          <w:tcPr>
            <w:tcW w:type="dxa" w:w="2083"/>
            <w:tcBorders>
              <w:top w:val="single" w:color="000000" w:sz="4"/>
              <w:left w:val="none" w:color="000000" w:sz="4"/>
              <w:bottom w:val="single" w:color="000000" w:sz="4"/>
              <w:right w:val="single" w:color="000000" w:sz="4"/>
            </w:tcBorders>
            <w:vAlign w:val="top"/>
          </w:tcPr>
          <w:p>
            <w:pPr>
              <w:jc w:val="center"/>
            </w:pPr>
            <w:r>
              <w:rPr>
                <w:sz w:val="24"/>
              </w:rPr>
              <w:t>品牌</w:t>
            </w:r>
            <w:r>
              <w:rPr>
                <w:sz w:val="24"/>
              </w:rPr>
              <w:t>/型号/规格</w:t>
            </w:r>
          </w:p>
        </w:tc>
        <w:tc>
          <w:tcPr>
            <w:tcW w:type="dxa" w:w="659"/>
            <w:tcBorders>
              <w:top w:val="single" w:color="000000" w:sz="4"/>
              <w:left w:val="none" w:color="000000" w:sz="4"/>
              <w:bottom w:val="single" w:color="000000" w:sz="4"/>
              <w:right w:val="single" w:color="000000" w:sz="4"/>
            </w:tcBorders>
            <w:vAlign w:val="top"/>
          </w:tcPr>
          <w:p>
            <w:pPr>
              <w:jc w:val="center"/>
            </w:pPr>
            <w:r>
              <w:rPr>
                <w:sz w:val="24"/>
              </w:rPr>
              <w:t>单位</w:t>
            </w:r>
          </w:p>
        </w:tc>
        <w:tc>
          <w:tcPr>
            <w:tcW w:type="dxa" w:w="676"/>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242"/>
            <w:tcBorders>
              <w:top w:val="single" w:color="000000" w:sz="4"/>
              <w:left w:val="none" w:color="000000" w:sz="4"/>
              <w:bottom w:val="single" w:color="000000" w:sz="4"/>
              <w:right w:val="single" w:color="000000" w:sz="4"/>
            </w:tcBorders>
            <w:vAlign w:val="top"/>
          </w:tcPr>
          <w:p>
            <w:pPr>
              <w:jc w:val="center"/>
            </w:pPr>
            <w:r>
              <w:rPr>
                <w:sz w:val="24"/>
              </w:rPr>
              <w:t>单价（元）</w:t>
            </w:r>
          </w:p>
        </w:tc>
        <w:tc>
          <w:tcPr>
            <w:tcW w:type="dxa" w:w="1144"/>
            <w:tcBorders>
              <w:top w:val="single" w:color="000000" w:sz="4"/>
              <w:left w:val="none" w:color="000000" w:sz="4"/>
              <w:bottom w:val="single" w:color="000000" w:sz="4"/>
              <w:right w:val="single" w:color="000000" w:sz="4"/>
            </w:tcBorders>
            <w:vAlign w:val="top"/>
          </w:tcPr>
          <w:p>
            <w:pPr>
              <w:jc w:val="center"/>
            </w:pPr>
            <w:r>
              <w:rPr>
                <w:sz w:val="24"/>
              </w:rPr>
              <w:t>总价（元）</w:t>
            </w:r>
          </w:p>
        </w:tc>
      </w:tr>
      <w:tr>
        <w:tc>
          <w:tcPr>
            <w:tcW w:type="dxa" w:w="6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44"/>
            <w:tcBorders>
              <w:top w:val="none" w:color="000000" w:sz="4"/>
              <w:left w:val="none" w:color="000000" w:sz="4"/>
              <w:bottom w:val="single" w:color="000000" w:sz="4"/>
              <w:right w:val="single" w:color="000000" w:sz="4"/>
            </w:tcBorders>
            <w:vAlign w:val="top"/>
          </w:tcPr>
          <w:p>
            <w:pPr>
              <w:jc w:val="both"/>
            </w:pPr>
          </w:p>
        </w:tc>
        <w:tc>
          <w:tcPr>
            <w:tcW w:type="dxa" w:w="2083"/>
            <w:tcBorders>
              <w:top w:val="none" w:color="000000" w:sz="4"/>
              <w:left w:val="none" w:color="000000" w:sz="4"/>
              <w:bottom w:val="single" w:color="000000" w:sz="4"/>
              <w:right w:val="single" w:color="000000" w:sz="4"/>
            </w:tcBorders>
            <w:vAlign w:val="top"/>
          </w:tcPr>
          <w:p>
            <w:pPr>
              <w:jc w:val="both"/>
            </w:pPr>
            <w:r>
              <w:rPr>
                <w:sz w:val="21"/>
              </w:rPr>
              <w:t xml:space="preserve"> </w:t>
            </w:r>
          </w:p>
          <w:p>
            <w:pPr>
              <w:jc w:val="both"/>
            </w:pPr>
          </w:p>
        </w:tc>
        <w:tc>
          <w:tcPr>
            <w:tcW w:type="dxa" w:w="659"/>
            <w:tcBorders>
              <w:top w:val="none" w:color="000000" w:sz="4"/>
              <w:left w:val="none" w:color="000000" w:sz="4"/>
              <w:bottom w:val="single" w:color="000000" w:sz="4"/>
              <w:right w:val="single" w:color="000000" w:sz="4"/>
            </w:tcBorders>
            <w:vAlign w:val="top"/>
          </w:tcPr>
          <w:p>
            <w:pPr>
              <w:jc w:val="both"/>
            </w:pPr>
          </w:p>
        </w:tc>
        <w:tc>
          <w:tcPr>
            <w:tcW w:type="dxa" w:w="676"/>
            <w:tcBorders>
              <w:top w:val="none" w:color="000000" w:sz="4"/>
              <w:left w:val="none" w:color="000000" w:sz="4"/>
              <w:bottom w:val="single" w:color="000000" w:sz="4"/>
              <w:right w:val="single" w:color="000000" w:sz="4"/>
            </w:tcBorders>
            <w:vAlign w:val="top"/>
          </w:tcPr>
          <w:p>
            <w:pPr>
              <w:jc w:val="both"/>
            </w:pPr>
          </w:p>
        </w:tc>
        <w:tc>
          <w:tcPr>
            <w:tcW w:type="dxa" w:w="1242"/>
            <w:tcBorders>
              <w:top w:val="none" w:color="000000" w:sz="4"/>
              <w:left w:val="none" w:color="000000" w:sz="4"/>
              <w:bottom w:val="single" w:color="000000" w:sz="4"/>
              <w:right w:val="single" w:color="000000" w:sz="4"/>
            </w:tcBorders>
            <w:vAlign w:val="top"/>
          </w:tcPr>
          <w:p>
            <w:pPr>
              <w:jc w:val="both"/>
            </w:pPr>
          </w:p>
        </w:tc>
        <w:tc>
          <w:tcPr>
            <w:tcW w:type="dxa" w:w="1144"/>
            <w:tcBorders>
              <w:top w:val="none" w:color="000000" w:sz="4"/>
              <w:left w:val="none" w:color="000000" w:sz="4"/>
              <w:bottom w:val="single" w:color="000000" w:sz="4"/>
              <w:right w:val="single" w:color="000000" w:sz="4"/>
            </w:tcBorders>
            <w:vAlign w:val="top"/>
          </w:tcPr>
          <w:p>
            <w:pPr>
              <w:jc w:val="both"/>
            </w:pPr>
          </w:p>
        </w:tc>
      </w:tr>
      <w:tr>
        <w:tc>
          <w:tcPr>
            <w:tcW w:type="dxa" w:w="653"/>
            <w:tcBorders>
              <w:top w:val="none" w:color="000000" w:sz="4"/>
              <w:left w:val="single" w:color="000000" w:sz="4"/>
              <w:bottom w:val="single" w:color="000000" w:sz="4"/>
              <w:right w:val="single" w:color="000000" w:sz="4"/>
            </w:tcBorders>
            <w:vAlign w:val="top"/>
          </w:tcPr>
          <w:p>
            <w:pPr>
              <w:jc w:val="both"/>
            </w:pPr>
          </w:p>
        </w:tc>
        <w:tc>
          <w:tcPr>
            <w:tcW w:type="dxa" w:w="1844"/>
            <w:tcBorders>
              <w:top w:val="none" w:color="000000" w:sz="4"/>
              <w:left w:val="none" w:color="000000" w:sz="4"/>
              <w:bottom w:val="single" w:color="000000" w:sz="4"/>
              <w:right w:val="single" w:color="000000" w:sz="4"/>
            </w:tcBorders>
            <w:vAlign w:val="top"/>
          </w:tcPr>
          <w:p>
            <w:pPr>
              <w:jc w:val="both"/>
            </w:pPr>
          </w:p>
        </w:tc>
        <w:tc>
          <w:tcPr>
            <w:tcW w:type="dxa" w:w="2083"/>
            <w:tcBorders>
              <w:top w:val="none" w:color="000000" w:sz="4"/>
              <w:left w:val="none" w:color="000000" w:sz="4"/>
              <w:bottom w:val="single" w:color="000000" w:sz="4"/>
              <w:right w:val="single" w:color="000000" w:sz="4"/>
            </w:tcBorders>
            <w:vAlign w:val="top"/>
          </w:tcPr>
          <w:p>
            <w:pPr>
              <w:jc w:val="both"/>
            </w:pPr>
          </w:p>
        </w:tc>
        <w:tc>
          <w:tcPr>
            <w:tcW w:type="dxa" w:w="659"/>
            <w:tcBorders>
              <w:top w:val="none" w:color="000000" w:sz="4"/>
              <w:left w:val="none" w:color="000000" w:sz="4"/>
              <w:bottom w:val="single" w:color="000000" w:sz="4"/>
              <w:right w:val="single" w:color="000000" w:sz="4"/>
            </w:tcBorders>
            <w:vAlign w:val="top"/>
          </w:tcPr>
          <w:p>
            <w:pPr>
              <w:jc w:val="both"/>
            </w:pPr>
            <w:r>
              <w:rPr>
                <w:sz w:val="21"/>
              </w:rPr>
              <w:t xml:space="preserve"> </w:t>
            </w:r>
          </w:p>
          <w:p>
            <w:pPr>
              <w:jc w:val="both"/>
            </w:pPr>
          </w:p>
        </w:tc>
        <w:tc>
          <w:tcPr>
            <w:tcW w:type="dxa" w:w="676"/>
            <w:tcBorders>
              <w:top w:val="none" w:color="000000" w:sz="4"/>
              <w:left w:val="none" w:color="000000" w:sz="4"/>
              <w:bottom w:val="single" w:color="000000" w:sz="4"/>
              <w:right w:val="single" w:color="000000" w:sz="4"/>
            </w:tcBorders>
            <w:vAlign w:val="top"/>
          </w:tcPr>
          <w:p>
            <w:pPr>
              <w:jc w:val="both"/>
            </w:pPr>
          </w:p>
        </w:tc>
        <w:tc>
          <w:tcPr>
            <w:tcW w:type="dxa" w:w="1242"/>
            <w:tcBorders>
              <w:top w:val="none" w:color="000000" w:sz="4"/>
              <w:left w:val="none" w:color="000000" w:sz="4"/>
              <w:bottom w:val="single" w:color="000000" w:sz="4"/>
              <w:right w:val="single" w:color="000000" w:sz="4"/>
            </w:tcBorders>
            <w:vAlign w:val="top"/>
          </w:tcPr>
          <w:p>
            <w:pPr>
              <w:jc w:val="both"/>
            </w:pPr>
          </w:p>
        </w:tc>
        <w:tc>
          <w:tcPr>
            <w:tcW w:type="dxa" w:w="1144"/>
            <w:tcBorders>
              <w:top w:val="none" w:color="000000" w:sz="4"/>
              <w:left w:val="none" w:color="000000" w:sz="4"/>
              <w:bottom w:val="single" w:color="000000" w:sz="4"/>
              <w:right w:val="single" w:color="000000" w:sz="4"/>
            </w:tcBorders>
            <w:vAlign w:val="top"/>
          </w:tcPr>
          <w:p>
            <w:pPr>
              <w:jc w:val="both"/>
            </w:pPr>
          </w:p>
        </w:tc>
      </w:tr>
      <w:tr>
        <w:tc>
          <w:tcPr>
            <w:tcW w:type="dxa" w:w="8301"/>
            <w:gridSpan w:val="7"/>
            <w:tcBorders>
              <w:top w:val="none" w:color="000000" w:sz="4"/>
              <w:left w:val="single" w:color="000000" w:sz="4"/>
              <w:bottom w:val="single" w:color="000000" w:sz="4"/>
              <w:right w:val="single" w:color="000000" w:sz="4"/>
            </w:tcBorders>
            <w:vAlign w:val="top"/>
          </w:tcPr>
          <w:p>
            <w:pPr>
              <w:jc w:val="center"/>
            </w:pPr>
            <w:r>
              <w:rPr>
                <w:b/>
                <w:sz w:val="24"/>
              </w:rPr>
              <w:t>总金额（人民币）：</w:t>
            </w:r>
            <w:r>
              <w:rPr>
                <w:b/>
                <w:sz w:val="24"/>
              </w:rPr>
              <w:t xml:space="preserve">  </w:t>
            </w:r>
            <w:r>
              <w:rPr>
                <w:sz w:val="24"/>
              </w:rPr>
              <w:t>万</w:t>
            </w:r>
            <w:r>
              <w:rPr>
                <w:sz w:val="24"/>
              </w:rPr>
              <w:t xml:space="preserve"> </w:t>
            </w:r>
            <w:r>
              <w:rPr>
                <w:sz w:val="24"/>
              </w:rPr>
              <w:t>仟</w:t>
            </w:r>
            <w:r>
              <w:rPr>
                <w:sz w:val="24"/>
              </w:rPr>
              <w:t xml:space="preserve"> </w:t>
            </w:r>
            <w:r>
              <w:rPr>
                <w:sz w:val="24"/>
              </w:rPr>
              <w:t>佰</w:t>
            </w:r>
            <w:r>
              <w:rPr>
                <w:sz w:val="24"/>
              </w:rPr>
              <w:t xml:space="preserve"> </w:t>
            </w:r>
            <w:r>
              <w:rPr>
                <w:sz w:val="24"/>
              </w:rPr>
              <w:t>拾</w:t>
            </w:r>
            <w:r>
              <w:rPr>
                <w:sz w:val="24"/>
              </w:rPr>
              <w:t xml:space="preserve"> </w:t>
            </w:r>
            <w:r>
              <w:rPr>
                <w:sz w:val="24"/>
              </w:rPr>
              <w:t>元</w:t>
            </w:r>
            <w:r>
              <w:rPr>
                <w:sz w:val="24"/>
              </w:rPr>
              <w:t xml:space="preserve"> </w:t>
            </w:r>
            <w:r>
              <w:rPr>
                <w:sz w:val="24"/>
              </w:rPr>
              <w:t>角</w:t>
            </w:r>
            <w:r>
              <w:rPr>
                <w:sz w:val="24"/>
              </w:rPr>
              <w:t xml:space="preserve"> </w:t>
            </w:r>
            <w:r>
              <w:rPr>
                <w:sz w:val="24"/>
              </w:rPr>
              <w:t>分（</w:t>
            </w:r>
            <w:r>
              <w:rPr>
                <w:sz w:val="24"/>
              </w:rPr>
              <w:t>¥          ）</w:t>
            </w:r>
          </w:p>
        </w:tc>
      </w:tr>
    </w:tbl>
    <w:p>
      <w:pPr>
        <w:jc w:val="both"/>
      </w:pPr>
      <w:r>
        <w:rPr>
          <w:sz w:val="21"/>
        </w:rPr>
        <w:t xml:space="preserve"> </w:t>
      </w:r>
    </w:p>
    <w:p>
      <w:pPr>
        <w:ind w:firstLine="420"/>
        <w:jc w:val="both"/>
      </w:pPr>
      <w:r>
        <w:rPr>
          <w:sz w:val="21"/>
        </w:rPr>
        <w:t>1.上述合同价款为包干总价，该包干总价为乙方按照合同约定完成合同全部义务后所适用的总价格，包括但不限于购买设备物资的费用、运输费、保险费、装卸费、配套资料费、安装调试费用、验收时的试剂耗材、强制性第三方监督检验机构的验收检验费、培训费用以及售后服务费用等完成本项目所需的全部费用。除本合同明确约定的费用外，甲方无需支付任何额外费用和承担任何额外义务。上述合同价款等各项内容在本合同履行过程中保持不变，经甲乙双方协商一致以书面形式予以变更的除外。</w:t>
      </w:r>
    </w:p>
    <w:p>
      <w:pPr>
        <w:ind w:firstLine="420"/>
        <w:jc w:val="both"/>
      </w:pPr>
      <w:r>
        <w:rPr>
          <w:sz w:val="21"/>
        </w:rPr>
        <w:t>2.在实际合同履行过程中，如果乙方未完全履行合同义务或履行的合同义务不符合约定的，则未履行或履行不符合合同约定的内容所对应的价款由甲方直接从上述约定的包干价中扣除。</w:t>
      </w:r>
    </w:p>
    <w:p>
      <w:pPr>
        <w:ind w:firstLine="422"/>
        <w:jc w:val="both"/>
      </w:pPr>
      <w:r>
        <w:rPr>
          <w:b/>
          <w:sz w:val="21"/>
        </w:rPr>
        <w:t>二、质量要求</w:t>
      </w:r>
    </w:p>
    <w:p>
      <w:pPr>
        <w:ind w:firstLine="420"/>
        <w:jc w:val="both"/>
      </w:pPr>
      <w:r>
        <w:rPr>
          <w:sz w:val="21"/>
        </w:rPr>
        <w:t>1.乙方按照本合同、项目招标文件的要求及投标文件的承诺向甲方交付合格设备，并保证甲方对交付的设备拥有完全、合法的所有权与处置权。</w:t>
      </w:r>
    </w:p>
    <w:p>
      <w:pPr>
        <w:ind w:firstLine="420"/>
        <w:jc w:val="both"/>
      </w:pPr>
      <w:r>
        <w:rPr>
          <w:sz w:val="21"/>
        </w:rPr>
        <w:t>2.乙方交付的设备物资应符合现行适用的相关法律、法规以及相应的国家标准或行业标准等，如各标准不一致，以对甲方最有利的标准为准。</w:t>
      </w:r>
    </w:p>
    <w:p>
      <w:pPr>
        <w:ind w:firstLine="420"/>
        <w:jc w:val="both"/>
      </w:pPr>
      <w:r>
        <w:rPr>
          <w:sz w:val="21"/>
        </w:rPr>
        <w:t>3.乙方交付的设备物资必须是全新产品、表面无划损、破损、无任何缺陷及隐患，必须具备出厂合格证，且进货渠道合法，在中国境内可依常规安全合法使用。</w:t>
      </w:r>
    </w:p>
    <w:p>
      <w:pPr>
        <w:ind w:firstLine="422"/>
        <w:jc w:val="both"/>
      </w:pPr>
      <w:r>
        <w:rPr>
          <w:b/>
          <w:sz w:val="21"/>
        </w:rPr>
        <w:t>三、交付及验收</w:t>
      </w:r>
    </w:p>
    <w:p>
      <w:pPr>
        <w:ind w:firstLine="420"/>
        <w:jc w:val="both"/>
      </w:pPr>
      <w:r>
        <w:rPr>
          <w:sz w:val="21"/>
        </w:rPr>
        <w:t>1.交货时间和地点：签订合同后</w:t>
      </w:r>
      <w:r>
        <w:rPr>
          <w:sz w:val="21"/>
          <w:u w:val="single"/>
        </w:rPr>
        <w:t xml:space="preserve">    </w:t>
      </w:r>
      <w:r>
        <w:rPr>
          <w:sz w:val="21"/>
        </w:rPr>
        <w:t>个工作日内送到甲方指定地点（</w:t>
      </w:r>
      <w:r>
        <w:rPr>
          <w:sz w:val="21"/>
          <w:u w:val="single"/>
        </w:rPr>
        <w:t xml:space="preserve">       </w:t>
      </w:r>
      <w:r>
        <w:rPr>
          <w:sz w:val="21"/>
        </w:rPr>
        <w:t>校区</w:t>
      </w:r>
      <w:r>
        <w:rPr>
          <w:sz w:val="21"/>
          <w:u w:val="single"/>
        </w:rPr>
        <w:t xml:space="preserve">          </w:t>
      </w:r>
      <w:r>
        <w:rPr>
          <w:sz w:val="21"/>
        </w:rPr>
        <w:t>楼</w:t>
      </w:r>
      <w:r>
        <w:rPr>
          <w:sz w:val="21"/>
          <w:u w:val="single"/>
        </w:rPr>
        <w:t xml:space="preserve">     </w:t>
      </w:r>
      <w:r>
        <w:rPr>
          <w:sz w:val="21"/>
        </w:rPr>
        <w:t>房），乙方应在交货前两日内通知甲方到货日期。</w:t>
      </w:r>
    </w:p>
    <w:p>
      <w:pPr>
        <w:ind w:firstLine="420"/>
        <w:jc w:val="both"/>
      </w:pPr>
      <w:r>
        <w:rPr>
          <w:sz w:val="21"/>
        </w:rPr>
        <w:t>2.乙方应保证设备物资的包装符合运输的要求，足以保护设备物资在运输过程中不受锈蚀、损坏或灭失。如果设备物资在运输和安装过程中因事故造成设备物资短缺、损坏，乙方应及时安排换装，换货的相关费用由乙方承担。</w:t>
      </w:r>
    </w:p>
    <w:p>
      <w:pPr>
        <w:ind w:firstLine="420"/>
        <w:jc w:val="both"/>
      </w:pPr>
      <w:r>
        <w:rPr>
          <w:sz w:val="21"/>
        </w:rPr>
        <w:t>3.乙方应当保证设备的各部件、备品备件、合格证、操作使用说明、保修单、发票和产品软件等必要物品随设备一并交付甲方,并负责设备物资的安装调试及相关免费技术培训。</w:t>
      </w:r>
    </w:p>
    <w:p>
      <w:pPr>
        <w:ind w:firstLine="420"/>
        <w:jc w:val="both"/>
      </w:pPr>
      <w:r>
        <w:rPr>
          <w:sz w:val="21"/>
        </w:rPr>
        <w:t>4.设备物资送达指定地点时，由双方代表共同开箱验货,经确认后签署国产设备物资开箱验货情况表。在开箱验货中如发现包装破损、设备数量不符、技术资料不全等不符合合同约定的情况，甲方有权拒收，乙方应于5日内重新提供符合合同约定的设备物资，否则，视为乙方逾期交货。如果重新交付的设备仍与合同约定不符，甲方有权解除合同。</w:t>
      </w:r>
    </w:p>
    <w:p>
      <w:pPr>
        <w:ind w:firstLine="420"/>
        <w:jc w:val="both"/>
      </w:pPr>
      <w:r>
        <w:rPr>
          <w:sz w:val="21"/>
        </w:rPr>
        <w:t>5. 需要安装调试的设备物资，乙方应于开箱验货合格后5日内进行设备安装调试、技术指标和性能测试及整机运行测试。安装调试完成后双方填写安装调试登记表。</w:t>
      </w:r>
    </w:p>
    <w:p>
      <w:pPr>
        <w:ind w:firstLine="420"/>
        <w:jc w:val="both"/>
      </w:pPr>
      <w:r>
        <w:rPr>
          <w:sz w:val="21"/>
        </w:rPr>
        <w:t>6.设备安装调试完成后，乙方认为已经达到验收条件并准备齐验收所需文件后，向甲方提出验收申请，甲方认为乙方满足验收条件后组织验收。</w:t>
      </w:r>
    </w:p>
    <w:p>
      <w:pPr>
        <w:ind w:firstLine="420"/>
        <w:jc w:val="both"/>
      </w:pPr>
      <w:r>
        <w:rPr>
          <w:sz w:val="21"/>
        </w:rPr>
        <w:t>7.设备物资验收由甲方聘请专家组和乙方联合进行，验收时间由甲方确定。乙方未派员参加的，视为认可验收结果。</w:t>
      </w:r>
    </w:p>
    <w:p>
      <w:pPr>
        <w:ind w:firstLine="420"/>
        <w:jc w:val="both"/>
      </w:pPr>
      <w:r>
        <w:rPr>
          <w:sz w:val="21"/>
        </w:rPr>
        <w:t>8.设备物资的验收标准按照本合同及招投标文件中列明的技术参数、规格、性能指标等执行。</w:t>
      </w:r>
    </w:p>
    <w:p>
      <w:pPr>
        <w:ind w:firstLine="420"/>
        <w:jc w:val="both"/>
      </w:pPr>
      <w:r>
        <w:rPr>
          <w:sz w:val="21"/>
        </w:rPr>
        <w:t>9.验收不合格，甲方有权要求乙方重新提供设备，或有权解除合同。乙方应在甲方指定的期限内重新提供设备，并承担因此而发生的全部费用，赔偿由此给甲方造成的损失。</w:t>
      </w:r>
    </w:p>
    <w:p>
      <w:pPr>
        <w:ind w:firstLine="420"/>
        <w:jc w:val="both"/>
      </w:pPr>
      <w:r>
        <w:rPr>
          <w:sz w:val="21"/>
        </w:rPr>
        <w:t>10.如乙方对验收结果有异议，可提请甲方所在地商检部门进行复检。商检部门的检验结果表明设备物资不符合合同约定的，因复检发生的费用由乙方承担；检验结果表明设备物资符合合同约定的，因复检发生的费用由甲方承担。</w:t>
      </w:r>
    </w:p>
    <w:p>
      <w:pPr>
        <w:ind w:firstLine="420"/>
        <w:jc w:val="both"/>
      </w:pPr>
      <w:r>
        <w:rPr>
          <w:b/>
          <w:sz w:val="21"/>
        </w:rPr>
        <w:t>四、付款方式</w:t>
      </w:r>
    </w:p>
    <w:p>
      <w:pPr>
        <w:ind w:firstLine="420"/>
        <w:jc w:val="both"/>
      </w:pPr>
      <w:r>
        <w:rPr>
          <w:sz w:val="21"/>
        </w:rPr>
        <w:t>鉴于乙方为：中小企业（</w:t>
      </w:r>
      <w:r>
        <w:rPr>
          <w:sz w:val="21"/>
        </w:rPr>
        <w:t xml:space="preserve"> </w:t>
      </w:r>
      <w:r>
        <w:rPr>
          <w:sz w:val="21"/>
        </w:rPr>
        <w:t>）非中小企业（</w:t>
      </w:r>
      <w:r>
        <w:rPr>
          <w:sz w:val="21"/>
        </w:rPr>
        <w:t xml:space="preserve"> </w:t>
      </w:r>
      <w:r>
        <w:rPr>
          <w:sz w:val="21"/>
        </w:rPr>
        <w:t>），付款方式按以下第（</w:t>
      </w:r>
      <w:r>
        <w:rPr>
          <w:sz w:val="21"/>
        </w:rPr>
        <w:t xml:space="preserve"> </w:t>
      </w:r>
      <w:r>
        <w:rPr>
          <w:sz w:val="21"/>
        </w:rPr>
        <w:t>）种执行。</w:t>
      </w:r>
    </w:p>
    <w:p>
      <w:pPr>
        <w:ind w:firstLine="420"/>
        <w:jc w:val="both"/>
      </w:pPr>
      <w:r>
        <w:rPr>
          <w:sz w:val="21"/>
        </w:rPr>
        <w:t>1.</w:t>
      </w:r>
      <w:r>
        <w:rPr>
          <w:sz w:val="21"/>
        </w:rPr>
        <w:t>如乙方为中小企业：</w:t>
      </w:r>
      <w:r>
        <w:br/>
      </w:r>
      <w:r>
        <w:rPr>
          <w:sz w:val="21"/>
        </w:rPr>
        <w:t xml:space="preserve">    </w:t>
      </w:r>
      <w:r>
        <w:rPr>
          <w:sz w:val="21"/>
        </w:rPr>
        <w:t>（</w:t>
      </w:r>
      <w:r>
        <w:rPr>
          <w:sz w:val="21"/>
        </w:rPr>
        <w:t>1）合同签订且收到履约保证金后5个工作日内甲方向乙方支付合同金额的30%（支付方式含银行转账、支票、银行承兑汇票、商业承兑汇票等形式）。</w:t>
      </w:r>
      <w:r>
        <w:br/>
      </w:r>
      <w:r>
        <w:rPr>
          <w:sz w:val="21"/>
        </w:rPr>
        <w:t xml:space="preserve">    </w:t>
      </w:r>
      <w:r>
        <w:rPr>
          <w:sz w:val="21"/>
        </w:rPr>
        <w:t>（</w:t>
      </w:r>
      <w:r>
        <w:rPr>
          <w:sz w:val="21"/>
        </w:rPr>
        <w:t>2）所有货物验收合格且收到发票后15日内甲方向乙方支付至合同总价的100%（支付方式含银行转账、支票、银行承兑汇票、商业承兑汇票等形式）。</w:t>
      </w:r>
      <w:r>
        <w:br/>
      </w:r>
      <w:r>
        <w:rPr>
          <w:sz w:val="21"/>
        </w:rPr>
        <w:t xml:space="preserve">    </w:t>
      </w:r>
      <w:r>
        <w:rPr>
          <w:sz w:val="21"/>
        </w:rPr>
        <w:t>2．如乙方为非中小企业：</w:t>
      </w:r>
      <w:r>
        <w:br/>
      </w:r>
      <w:r>
        <w:rPr>
          <w:sz w:val="21"/>
        </w:rPr>
        <w:t xml:space="preserve">    </w:t>
      </w:r>
      <w:r>
        <w:rPr>
          <w:sz w:val="21"/>
        </w:rPr>
        <w:t>所有货物验收合格且收到发票后</w:t>
      </w:r>
      <w:r>
        <w:rPr>
          <w:sz w:val="21"/>
        </w:rPr>
        <w:t>15日内甲方向乙方支付合同总价的100%（支付方式含银行转账、支票、银行承兑汇票、商业承兑汇票等形式）。</w:t>
      </w:r>
    </w:p>
    <w:p>
      <w:pPr>
        <w:ind w:firstLine="420"/>
        <w:jc w:val="both"/>
      </w:pPr>
      <w:r>
        <w:rPr>
          <w:sz w:val="21"/>
        </w:rPr>
        <w:t>3.甲方在上述期限内，按广东省财政厅规定的支付手续将付款的申请文件递出，即完成付款义务。但可以协助乙方查询政府审核和支付的进度。</w:t>
      </w:r>
    </w:p>
    <w:p>
      <w:pPr>
        <w:ind w:firstLine="420"/>
        <w:jc w:val="both"/>
      </w:pPr>
      <w:r>
        <w:rPr>
          <w:sz w:val="21"/>
        </w:rPr>
        <w:t>4．履约保证金提交：</w:t>
      </w:r>
    </w:p>
    <w:p>
      <w:pPr>
        <w:ind w:firstLine="420"/>
        <w:jc w:val="both"/>
      </w:pPr>
      <w:r>
        <w:rPr>
          <w:sz w:val="21"/>
        </w:rPr>
        <w:t>履约金额为合同金额的</w:t>
      </w:r>
      <w:r>
        <w:rPr>
          <w:sz w:val="21"/>
        </w:rPr>
        <w:t>5</w:t>
      </w:r>
      <w:r>
        <w:rPr>
          <w:sz w:val="21"/>
        </w:rPr>
        <w:t>%，乙方应在合同签订后5日内递交履约保证金。乙方可根据自身实际自主选择以转账、支票、汇票、本票、保函、现金等形式向甲方缴纳履约保证金，但采用保函形式递交履约保证金的，须是无条件保函。</w:t>
      </w:r>
    </w:p>
    <w:p>
      <w:pPr>
        <w:ind w:firstLine="420"/>
        <w:jc w:val="both"/>
      </w:pPr>
      <w:r>
        <w:rPr>
          <w:sz w:val="21"/>
        </w:rPr>
        <w:t>5．履约保证金退还：</w:t>
      </w:r>
    </w:p>
    <w:p>
      <w:pPr>
        <w:ind w:firstLine="420"/>
        <w:jc w:val="both"/>
      </w:pPr>
      <w:r>
        <w:rPr>
          <w:sz w:val="21"/>
        </w:rPr>
        <w:t>若</w:t>
      </w:r>
      <w:r>
        <w:rPr>
          <w:sz w:val="21"/>
        </w:rPr>
        <w:t>乙方</w:t>
      </w:r>
      <w:r>
        <w:rPr>
          <w:sz w:val="21"/>
        </w:rPr>
        <w:t>没有违约行</w:t>
      </w:r>
      <w:r>
        <w:rPr>
          <w:sz w:val="21"/>
        </w:rPr>
        <w:t>为，履约保证金在验收合格后</w:t>
      </w:r>
      <w:r>
        <w:rPr>
          <w:sz w:val="21"/>
        </w:rPr>
        <w:t>，乙方向甲方申请退还履约保证金，甲方于接到申请后</w:t>
      </w:r>
      <w:r>
        <w:rPr>
          <w:sz w:val="21"/>
        </w:rPr>
        <w:t>15个工作日内将履约保证金无息退回乙方。</w:t>
      </w:r>
    </w:p>
    <w:p>
      <w:pPr>
        <w:ind w:firstLine="420"/>
        <w:jc w:val="both"/>
      </w:pPr>
      <w:r>
        <w:rPr>
          <w:sz w:val="21"/>
        </w:rPr>
        <w:t>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59"/>
        <w:gridCol w:w="6445"/>
      </w:tblGrid>
      <w:tr>
        <w:tc>
          <w:tcPr>
            <w:tcW w:type="dxa" w:w="1859"/>
            <w:tcBorders>
              <w:top w:val="single" w:color="000000" w:sz="4"/>
              <w:left w:val="single" w:color="000000" w:sz="4"/>
              <w:bottom w:val="single" w:color="000000" w:sz="4"/>
              <w:right w:val="single" w:color="000000" w:sz="4"/>
            </w:tcBorders>
            <w:vAlign w:val="top"/>
          </w:tcPr>
          <w:p>
            <w:pPr>
              <w:jc w:val="both"/>
            </w:pPr>
            <w:r>
              <w:rPr>
                <w:sz w:val="24"/>
              </w:rPr>
              <w:t>单位名称</w:t>
            </w:r>
          </w:p>
        </w:tc>
        <w:tc>
          <w:tcPr>
            <w:tcW w:type="dxa" w:w="6445"/>
            <w:tcBorders>
              <w:top w:val="single" w:color="000000" w:sz="4"/>
              <w:left w:val="none" w:color="000000" w:sz="4"/>
              <w:bottom w:val="single" w:color="000000" w:sz="4"/>
              <w:right w:val="single" w:color="000000" w:sz="4"/>
            </w:tcBorders>
            <w:vAlign w:val="top"/>
          </w:tcPr>
          <w:p>
            <w:pPr>
              <w:jc w:val="both"/>
            </w:pPr>
            <w:r>
              <w:rPr>
                <w:sz w:val="24"/>
              </w:rPr>
              <w:t>广州中医药大学（广州中医药研究院）</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纳税人识别号</w:t>
            </w:r>
          </w:p>
        </w:tc>
        <w:tc>
          <w:tcPr>
            <w:tcW w:type="dxa" w:w="6445"/>
            <w:tcBorders>
              <w:top w:val="none" w:color="000000" w:sz="4"/>
              <w:left w:val="none" w:color="000000" w:sz="4"/>
              <w:bottom w:val="single" w:color="000000" w:sz="4"/>
              <w:right w:val="single" w:color="000000" w:sz="4"/>
            </w:tcBorders>
            <w:vAlign w:val="top"/>
          </w:tcPr>
          <w:p>
            <w:pPr>
              <w:jc w:val="both"/>
            </w:pPr>
            <w:r>
              <w:rPr>
                <w:sz w:val="24"/>
              </w:rPr>
              <w:t>12440000455860373F</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地址</w:t>
            </w:r>
          </w:p>
        </w:tc>
        <w:tc>
          <w:tcPr>
            <w:tcW w:type="dxa" w:w="6445"/>
            <w:tcBorders>
              <w:top w:val="none" w:color="000000" w:sz="4"/>
              <w:left w:val="none" w:color="000000" w:sz="4"/>
              <w:bottom w:val="single" w:color="000000" w:sz="4"/>
              <w:right w:val="single" w:color="000000" w:sz="4"/>
            </w:tcBorders>
            <w:vAlign w:val="top"/>
          </w:tcPr>
          <w:p>
            <w:pPr>
              <w:jc w:val="both"/>
            </w:pPr>
            <w:r>
              <w:rPr>
                <w:sz w:val="24"/>
              </w:rPr>
              <w:t>广州市机场路</w:t>
            </w:r>
            <w:r>
              <w:rPr>
                <w:sz w:val="24"/>
              </w:rPr>
              <w:t>12号</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电话号码</w:t>
            </w:r>
          </w:p>
        </w:tc>
        <w:tc>
          <w:tcPr>
            <w:tcW w:type="dxa" w:w="6445"/>
            <w:tcBorders>
              <w:top w:val="none" w:color="000000" w:sz="4"/>
              <w:left w:val="none" w:color="000000" w:sz="4"/>
              <w:bottom w:val="single" w:color="000000" w:sz="4"/>
              <w:right w:val="single" w:color="000000" w:sz="4"/>
            </w:tcBorders>
            <w:vAlign w:val="top"/>
          </w:tcPr>
          <w:p>
            <w:pPr>
              <w:jc w:val="both"/>
            </w:pPr>
            <w:r>
              <w:rPr>
                <w:sz w:val="24"/>
              </w:rPr>
              <w:t>020-36585216</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w:t>
            </w:r>
          </w:p>
        </w:tc>
        <w:tc>
          <w:tcPr>
            <w:tcW w:type="dxa" w:w="6445"/>
            <w:tcBorders>
              <w:top w:val="none" w:color="000000" w:sz="4"/>
              <w:left w:val="none" w:color="000000" w:sz="4"/>
              <w:bottom w:val="single" w:color="000000" w:sz="4"/>
              <w:right w:val="single" w:color="000000" w:sz="4"/>
            </w:tcBorders>
            <w:vAlign w:val="top"/>
          </w:tcPr>
          <w:p>
            <w:pPr>
              <w:jc w:val="both"/>
            </w:pPr>
            <w:r>
              <w:rPr>
                <w:sz w:val="24"/>
              </w:rPr>
              <w:t>中国建设银行广州大学城新天地支行</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开户行账号</w:t>
            </w:r>
          </w:p>
        </w:tc>
        <w:tc>
          <w:tcPr>
            <w:tcW w:type="dxa" w:w="6445"/>
            <w:tcBorders>
              <w:top w:val="none" w:color="000000" w:sz="4"/>
              <w:left w:val="none" w:color="000000" w:sz="4"/>
              <w:bottom w:val="single" w:color="000000" w:sz="4"/>
              <w:right w:val="single" w:color="000000" w:sz="4"/>
            </w:tcBorders>
            <w:vAlign w:val="top"/>
          </w:tcPr>
          <w:p>
            <w:pPr>
              <w:jc w:val="both"/>
            </w:pPr>
            <w:r>
              <w:rPr>
                <w:sz w:val="24"/>
              </w:rPr>
              <w:t>44050153004900000813</w:t>
            </w:r>
          </w:p>
        </w:tc>
      </w:tr>
    </w:tbl>
    <w:p>
      <w:pPr>
        <w:jc w:val="both"/>
      </w:pPr>
      <w:r>
        <w:rPr>
          <w:sz w:val="21"/>
        </w:rPr>
        <w:t xml:space="preserve"> </w:t>
      </w:r>
    </w:p>
    <w:p>
      <w:pPr>
        <w:ind w:firstLine="480"/>
        <w:jc w:val="both"/>
      </w:pPr>
      <w:r>
        <w:rPr>
          <w:sz w:val="24"/>
        </w:rPr>
        <w:t>备注：开增值税专用发票。</w:t>
      </w:r>
    </w:p>
    <w:p>
      <w:pPr>
        <w:ind w:firstLine="420"/>
        <w:jc w:val="both"/>
      </w:pPr>
      <w:r>
        <w:rPr>
          <w:sz w:val="21"/>
        </w:rPr>
        <w:t>向甲方支付履约保证金的信息：</w:t>
      </w:r>
    </w:p>
    <w:tbl>
      <w:tblPr>
        <w:tblW w:w="0" w:type="auto"/>
        <w:tblBorders>
          <w:top w:val="none" w:color="000000" w:sz="4"/>
          <w:left w:val="none" w:color="000000" w:sz="4"/>
          <w:bottom w:val="none" w:color="000000" w:sz="4"/>
          <w:right w:val="none" w:color="000000" w:sz="4"/>
          <w:insideH w:val="none"/>
          <w:insideV w:val="none"/>
        </w:tblBorders>
      </w:tblPr>
      <w:tblGrid>
        <w:gridCol w:w="1859"/>
        <w:gridCol w:w="6445"/>
      </w:tblGrid>
      <w:tr>
        <w:tc>
          <w:tcPr>
            <w:tcW w:type="dxa" w:w="1859"/>
            <w:tcBorders>
              <w:top w:val="single" w:color="000000" w:sz="4"/>
              <w:left w:val="single" w:color="000000" w:sz="4"/>
              <w:bottom w:val="single" w:color="000000" w:sz="4"/>
              <w:right w:val="single" w:color="000000" w:sz="4"/>
            </w:tcBorders>
            <w:vAlign w:val="top"/>
          </w:tcPr>
          <w:p>
            <w:pPr>
              <w:jc w:val="both"/>
            </w:pPr>
            <w:r>
              <w:rPr>
                <w:sz w:val="24"/>
              </w:rPr>
              <w:t>单位名称</w:t>
            </w:r>
          </w:p>
        </w:tc>
        <w:tc>
          <w:tcPr>
            <w:tcW w:type="dxa" w:w="6445"/>
            <w:tcBorders>
              <w:top w:val="single" w:color="000000" w:sz="4"/>
              <w:left w:val="none" w:color="000000" w:sz="4"/>
              <w:bottom w:val="single" w:color="000000" w:sz="4"/>
              <w:right w:val="single" w:color="000000" w:sz="4"/>
            </w:tcBorders>
            <w:vAlign w:val="top"/>
          </w:tcPr>
          <w:p>
            <w:pPr>
              <w:jc w:val="both"/>
            </w:pPr>
            <w:r>
              <w:rPr>
                <w:sz w:val="24"/>
              </w:rPr>
              <w:t>广州中医药大学</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联行号</w:t>
            </w:r>
          </w:p>
        </w:tc>
        <w:tc>
          <w:tcPr>
            <w:tcW w:type="dxa" w:w="6445"/>
            <w:tcBorders>
              <w:top w:val="none" w:color="000000" w:sz="4"/>
              <w:left w:val="none" w:color="000000" w:sz="4"/>
              <w:bottom w:val="single" w:color="000000" w:sz="4"/>
              <w:right w:val="single" w:color="000000" w:sz="4"/>
            </w:tcBorders>
            <w:vAlign w:val="top"/>
          </w:tcPr>
          <w:p>
            <w:pPr>
              <w:jc w:val="both"/>
            </w:pPr>
            <w:r>
              <w:rPr>
                <w:sz w:val="24"/>
              </w:rPr>
              <w:t>105581018018</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w:t>
            </w:r>
          </w:p>
        </w:tc>
        <w:tc>
          <w:tcPr>
            <w:tcW w:type="dxa" w:w="6445"/>
            <w:tcBorders>
              <w:top w:val="none" w:color="000000" w:sz="4"/>
              <w:left w:val="none" w:color="000000" w:sz="4"/>
              <w:bottom w:val="single" w:color="000000" w:sz="4"/>
              <w:right w:val="single" w:color="000000" w:sz="4"/>
            </w:tcBorders>
            <w:vAlign w:val="top"/>
          </w:tcPr>
          <w:p>
            <w:pPr>
              <w:jc w:val="both"/>
            </w:pPr>
            <w:r>
              <w:rPr>
                <w:sz w:val="24"/>
              </w:rPr>
              <w:t>中国建设银行广州大学城新天地支行</w:t>
            </w: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开户行账号</w:t>
            </w:r>
          </w:p>
        </w:tc>
        <w:tc>
          <w:tcPr>
            <w:tcW w:type="dxa" w:w="6445"/>
            <w:tcBorders>
              <w:top w:val="none" w:color="000000" w:sz="4"/>
              <w:left w:val="none" w:color="000000" w:sz="4"/>
              <w:bottom w:val="single" w:color="000000" w:sz="4"/>
              <w:right w:val="single" w:color="000000" w:sz="4"/>
            </w:tcBorders>
            <w:vAlign w:val="top"/>
          </w:tcPr>
          <w:p>
            <w:pPr>
              <w:jc w:val="both"/>
            </w:pPr>
            <w:r>
              <w:rPr>
                <w:sz w:val="24"/>
              </w:rPr>
              <w:t>44050153004900000813</w:t>
            </w:r>
          </w:p>
        </w:tc>
      </w:tr>
    </w:tbl>
    <w:p>
      <w:pPr>
        <w:jc w:val="both"/>
      </w:pPr>
      <w:r>
        <w:rPr>
          <w:sz w:val="21"/>
        </w:rPr>
        <w:t xml:space="preserve"> </w:t>
      </w:r>
      <w:r>
        <w:rPr>
          <w:sz w:val="21"/>
        </w:rPr>
        <w:t>向乙方支付的账户信息：</w:t>
      </w:r>
    </w:p>
    <w:tbl>
      <w:tblPr>
        <w:tblW w:w="0" w:type="auto"/>
        <w:tblBorders>
          <w:top w:val="none" w:color="000000" w:sz="4"/>
          <w:left w:val="none" w:color="000000" w:sz="4"/>
          <w:bottom w:val="none" w:color="000000" w:sz="4"/>
          <w:right w:val="none" w:color="000000" w:sz="4"/>
          <w:insideH w:val="none"/>
          <w:insideV w:val="none"/>
        </w:tblBorders>
      </w:tblPr>
      <w:tblGrid>
        <w:gridCol w:w="1859"/>
        <w:gridCol w:w="6445"/>
      </w:tblGrid>
      <w:tr>
        <w:tc>
          <w:tcPr>
            <w:tcW w:type="dxa" w:w="1859"/>
            <w:tcBorders>
              <w:top w:val="single" w:color="000000" w:sz="4"/>
              <w:left w:val="single" w:color="000000" w:sz="4"/>
              <w:bottom w:val="single" w:color="000000" w:sz="4"/>
              <w:right w:val="single" w:color="000000" w:sz="4"/>
            </w:tcBorders>
            <w:vAlign w:val="top"/>
          </w:tcPr>
          <w:p>
            <w:pPr>
              <w:jc w:val="both"/>
            </w:pPr>
            <w:r>
              <w:rPr>
                <w:sz w:val="24"/>
              </w:rPr>
              <w:t>单位名称</w:t>
            </w:r>
          </w:p>
        </w:tc>
        <w:tc>
          <w:tcPr>
            <w:tcW w:type="dxa" w:w="6445"/>
            <w:tcBorders>
              <w:top w:val="single" w:color="000000" w:sz="4"/>
              <w:left w:val="none" w:color="000000" w:sz="4"/>
              <w:bottom w:val="single" w:color="000000" w:sz="4"/>
              <w:right w:val="single" w:color="000000" w:sz="4"/>
            </w:tcBorders>
            <w:vAlign w:val="top"/>
          </w:tcPr>
          <w:p>
            <w:pPr>
              <w:jc w:val="both"/>
            </w:pP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纳税人识别号</w:t>
            </w:r>
          </w:p>
        </w:tc>
        <w:tc>
          <w:tcPr>
            <w:tcW w:type="dxa" w:w="6445"/>
            <w:tcBorders>
              <w:top w:val="none" w:color="000000" w:sz="4"/>
              <w:left w:val="none" w:color="000000" w:sz="4"/>
              <w:bottom w:val="single" w:color="000000" w:sz="4"/>
              <w:right w:val="single" w:color="000000" w:sz="4"/>
            </w:tcBorders>
            <w:vAlign w:val="top"/>
          </w:tcPr>
          <w:p>
            <w:pPr>
              <w:jc w:val="both"/>
            </w:pP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w:t>
            </w:r>
          </w:p>
        </w:tc>
        <w:tc>
          <w:tcPr>
            <w:tcW w:type="dxa" w:w="6445"/>
            <w:tcBorders>
              <w:top w:val="none" w:color="000000" w:sz="4"/>
              <w:left w:val="none" w:color="000000" w:sz="4"/>
              <w:bottom w:val="single" w:color="000000" w:sz="4"/>
              <w:right w:val="single" w:color="000000" w:sz="4"/>
            </w:tcBorders>
            <w:vAlign w:val="top"/>
          </w:tcPr>
          <w:p>
            <w:pPr>
              <w:jc w:val="both"/>
            </w:pPr>
          </w:p>
        </w:tc>
      </w:tr>
      <w:tr>
        <w:tc>
          <w:tcPr>
            <w:tcW w:type="dxa" w:w="1859"/>
            <w:tcBorders>
              <w:top w:val="none" w:color="000000" w:sz="4"/>
              <w:left w:val="single" w:color="000000" w:sz="4"/>
              <w:bottom w:val="single" w:color="000000" w:sz="4"/>
              <w:right w:val="single" w:color="000000" w:sz="4"/>
            </w:tcBorders>
            <w:vAlign w:val="top"/>
          </w:tcPr>
          <w:p>
            <w:pPr>
              <w:jc w:val="both"/>
            </w:pPr>
            <w:r>
              <w:rPr>
                <w:sz w:val="24"/>
              </w:rPr>
              <w:t>开户行账号</w:t>
            </w:r>
          </w:p>
        </w:tc>
        <w:tc>
          <w:tcPr>
            <w:tcW w:type="dxa" w:w="6445"/>
            <w:tcBorders>
              <w:top w:val="none" w:color="000000" w:sz="4"/>
              <w:left w:val="none" w:color="000000" w:sz="4"/>
              <w:bottom w:val="single" w:color="000000" w:sz="4"/>
              <w:right w:val="single" w:color="000000" w:sz="4"/>
            </w:tcBorders>
            <w:vAlign w:val="top"/>
          </w:tcPr>
          <w:p>
            <w:pPr>
              <w:jc w:val="both"/>
            </w:pPr>
          </w:p>
        </w:tc>
      </w:tr>
    </w:tbl>
    <w:p>
      <w:pPr>
        <w:jc w:val="both"/>
      </w:pPr>
      <w:r>
        <w:rPr>
          <w:sz w:val="21"/>
        </w:rPr>
        <w:t xml:space="preserve"> </w:t>
      </w:r>
    </w:p>
    <w:p>
      <w:pPr>
        <w:ind w:firstLine="422"/>
        <w:jc w:val="both"/>
      </w:pPr>
      <w:r>
        <w:rPr>
          <w:b/>
          <w:sz w:val="21"/>
        </w:rPr>
        <w:t>五、售后服务</w:t>
      </w:r>
    </w:p>
    <w:p>
      <w:pPr>
        <w:ind w:firstLine="420"/>
        <w:jc w:val="both"/>
      </w:pPr>
      <w:r>
        <w:rPr>
          <w:sz w:val="21"/>
        </w:rPr>
        <w:t>1.保修期限：乙方承诺本合同项下设备物资的免费保修期为___年，保修承担方为________________________（保修承担方承诺函为本合同附件，乙方同意与实际保修方共同无限承担连带责任）。保修期限自货物通过甲方组织的验收之日起算。在保修期内，如货物非因甲方原因而出现的质量问题由乙方负责保修、包换或包退，并承担修理、调换或退货的实际费用。乙方不能修复、调换或不能退货的，应退回相应货款，并承担相应的违约责任。</w:t>
      </w:r>
    </w:p>
    <w:p>
      <w:pPr>
        <w:ind w:firstLine="420"/>
        <w:jc w:val="both"/>
      </w:pPr>
      <w:r>
        <w:rPr>
          <w:sz w:val="21"/>
        </w:rPr>
        <w:t>2.对甲方的服务通知，乙方在接报后12小时内到达现场处理。若在</w:t>
      </w:r>
      <w:r>
        <w:rPr>
          <w:sz w:val="21"/>
          <w:u w:val="single"/>
        </w:rPr>
        <w:t xml:space="preserve">   </w:t>
      </w:r>
      <w:r>
        <w:rPr>
          <w:sz w:val="21"/>
        </w:rPr>
        <w:t>48小时内仍未能有效解决，乙方应免费提供主要参数不低于原设备的替代设备并保证其正常运行。</w:t>
      </w:r>
    </w:p>
    <w:p>
      <w:pPr>
        <w:ind w:firstLine="420"/>
        <w:jc w:val="both"/>
      </w:pPr>
      <w:r>
        <w:rPr>
          <w:sz w:val="21"/>
        </w:rPr>
        <w:t>3.免费保修期满后，如有零部件出现故障，且属于寿命异常问题（明显短于该零部件正常寿命）的，由乙方负责免费更换及维修。</w:t>
      </w:r>
    </w:p>
    <w:p>
      <w:pPr>
        <w:ind w:firstLine="420"/>
        <w:jc w:val="both"/>
      </w:pPr>
      <w:r>
        <w:rPr>
          <w:sz w:val="21"/>
        </w:rPr>
        <w:t>4.免费保修期满后，设备物资维修服务及配件费用享受市价的八折优惠。</w:t>
      </w:r>
    </w:p>
    <w:p>
      <w:pPr>
        <w:ind w:firstLine="422"/>
        <w:jc w:val="both"/>
      </w:pPr>
      <w:r>
        <w:rPr>
          <w:b/>
          <w:sz w:val="21"/>
        </w:rPr>
        <w:t>六、风险承担和不可抗力</w:t>
      </w:r>
    </w:p>
    <w:p>
      <w:pPr>
        <w:ind w:firstLine="420"/>
        <w:jc w:val="both"/>
      </w:pPr>
      <w:r>
        <w:rPr>
          <w:sz w:val="21"/>
        </w:rPr>
        <w:t>1.设备物资毁损、灭失的风险与后果，在设备物资经甲方验收合格以前由乙方承担，在设备物资经甲方验收合格以后由甲方承担。</w:t>
      </w:r>
    </w:p>
    <w:p>
      <w:pPr>
        <w:ind w:firstLine="420"/>
        <w:jc w:val="both"/>
      </w:pPr>
      <w:r>
        <w:rPr>
          <w:sz w:val="21"/>
        </w:rPr>
        <w:t>2.甲方因设备物资质量不符合约定而拒绝接受设备物资或解除合同的，设备物资毁损、灭失的风险与后果由乙方承担。</w:t>
      </w:r>
    </w:p>
    <w:p>
      <w:pPr>
        <w:ind w:firstLine="420"/>
        <w:jc w:val="left"/>
      </w:pPr>
      <w:r>
        <w:rPr>
          <w:sz w:val="21"/>
        </w:rPr>
        <w:t>3.由乙方承担设备物资毁损、灭失风险的，如设备物资毁损或灭失的，乙方应于7日内重新提供符合合同规定的设备物资，否则，视为乙方逾期交货。</w:t>
      </w:r>
    </w:p>
    <w:p>
      <w:pPr>
        <w:ind w:firstLine="420"/>
        <w:jc w:val="left"/>
      </w:pPr>
      <w:r>
        <w:rPr>
          <w:sz w:val="21"/>
        </w:rPr>
        <w:t>4.设备物资毁损、灭失的风险由甲方承担的，不影响因乙方履行其他合同义务不符合约定的，甲方要求其承担违约责任的权利。</w:t>
      </w:r>
    </w:p>
    <w:p>
      <w:pPr>
        <w:ind w:firstLine="420"/>
        <w:jc w:val="both"/>
      </w:pPr>
      <w:r>
        <w:rPr>
          <w:sz w:val="21"/>
        </w:rPr>
        <w:t>5.不可抗力：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15日内将有关机构出具的不可抗力事件的证明寄交对方。未提供以上证明的，不能免除违约责任。</w:t>
      </w:r>
    </w:p>
    <w:p>
      <w:pPr>
        <w:ind w:firstLine="422"/>
        <w:jc w:val="both"/>
      </w:pPr>
      <w:r>
        <w:rPr>
          <w:b/>
          <w:sz w:val="21"/>
        </w:rPr>
        <w:t>七、知识产权和保密责任</w:t>
      </w:r>
    </w:p>
    <w:p>
      <w:pPr>
        <w:ind w:firstLine="420"/>
        <w:jc w:val="both"/>
      </w:pPr>
      <w:r>
        <w:rPr>
          <w:sz w:val="21"/>
        </w:rPr>
        <w:t>1.乙方保证其交付的设备物资无任何专利权、著作权、商标权及其他知识产权方面的限制，不侵犯任何专利、商标、企业或贸易名称、版权、肖像权、技术秘密、商业秘密或其他任何权益。</w:t>
      </w:r>
    </w:p>
    <w:p>
      <w:pPr>
        <w:ind w:firstLine="420"/>
        <w:jc w:val="both"/>
      </w:pPr>
      <w:r>
        <w:rPr>
          <w:sz w:val="21"/>
        </w:rPr>
        <w:t>2.甲方使用该设备物资或设备物资的任何一部分时，免受第三方提出的侵犯其著作权、专利权、商标权或其他知识产权的起诉。如发生此类纠纷，由乙方承担因此给甲方造成的一切损失（包括但不限于律师费、诉讼费、保全费、担保费、交通费、差旅费、鉴定费等），且甲方有权暂停向乙方支付合同款项，直至纠纷处理完毕。</w:t>
      </w:r>
    </w:p>
    <w:p>
      <w:pPr>
        <w:ind w:firstLine="420"/>
        <w:jc w:val="both"/>
      </w:pPr>
      <w:r>
        <w:rPr>
          <w:sz w:val="21"/>
        </w:rPr>
        <w:t>3.同产品被认定侵犯知识产权，或者使用、销售、许诺销售、进口或出口合同产品被禁止，乙方应当采取相应的补救措施，自担费用立即为甲方获得相关权利使得甲方能够继续合法使用和销售合同产品；或用具有同等功能和效果的其他非侵权产品替代该合同产品；乙方对前述补救措施均无法实现的，乙方立即退还合同产品的价款。甲方可退还合同产品，因退还合同产品产生的费用由乙方承担。</w:t>
      </w:r>
    </w:p>
    <w:p>
      <w:pPr>
        <w:ind w:firstLine="420"/>
        <w:jc w:val="both"/>
      </w:pPr>
      <w:r>
        <w:rPr>
          <w:sz w:val="21"/>
        </w:rPr>
        <w:t>4.乙方为执行本合同而提供的技术资料、软件的使用权归甲方所有。</w:t>
      </w:r>
    </w:p>
    <w:p>
      <w:pPr>
        <w:ind w:firstLine="422"/>
        <w:jc w:val="both"/>
      </w:pPr>
      <w:r>
        <w:rPr>
          <w:b/>
          <w:sz w:val="21"/>
        </w:rPr>
        <w:t>八、违约责任</w:t>
      </w:r>
    </w:p>
    <w:p>
      <w:pPr>
        <w:ind w:firstLine="420"/>
        <w:jc w:val="left"/>
      </w:pPr>
      <w:r>
        <w:rPr>
          <w:sz w:val="21"/>
        </w:rPr>
        <w:t>1.甲方逾期支付货款，经乙方催告后无正当理由仍不支付的，自催告后每逾期一日，应按逾期付款金额每日5‰向乙方支付违约金。</w:t>
      </w:r>
    </w:p>
    <w:p>
      <w:pPr>
        <w:ind w:firstLine="420"/>
        <w:jc w:val="left"/>
      </w:pPr>
      <w:r>
        <w:rPr>
          <w:sz w:val="21"/>
        </w:rPr>
        <w:t>2.验收不合格，且乙方不重新提供设备物资的，乙方需向甲方支付合同总金额5%的违约金。如甲方同意更换的，乙方应于5日内重新提供符合合同约定的货物，乙方在征得甲方同意的时间内未能调换的，按逾期交货处理，逾期时点自最初约定的交付日期起计。</w:t>
      </w:r>
    </w:p>
    <w:p>
      <w:pPr>
        <w:ind w:firstLine="420"/>
        <w:jc w:val="left"/>
      </w:pPr>
      <w:r>
        <w:rPr>
          <w:sz w:val="21"/>
        </w:rPr>
        <w:t>3.乙方逾期交付设备物资的，则每逾期一天，按合同总额的5‰向甲方支付违约金，甲方有权直接从应付给乙方的合同款项中扣除该违约金；甲方有权要求乙方继续向甲方交付直至符合要求。</w:t>
      </w:r>
    </w:p>
    <w:p>
      <w:pPr>
        <w:ind w:firstLine="420"/>
        <w:jc w:val="both"/>
      </w:pPr>
      <w:r>
        <w:rPr>
          <w:sz w:val="21"/>
        </w:rPr>
        <w:t>4.若乙方未按本合同的约定提供保修服务，甲方有权自行委托第三方提供甲方所需要的技术支持和售后服务，由此造成的包括但不限于第三方维保费用、甲方其他经济损失等均由乙方承担赔偿。</w:t>
      </w:r>
    </w:p>
    <w:p>
      <w:pPr>
        <w:ind w:firstLine="420"/>
        <w:jc w:val="both"/>
      </w:pPr>
      <w:r>
        <w:rPr>
          <w:sz w:val="21"/>
        </w:rPr>
        <w:t>5.有以下情形之一的，甲方有权解除合同，乙方需退还甲方已支付的所有款项，并按合同总金额的10%向甲方支付违约金，违约金不足以弥补甲方损失的，乙方应另行赔偿，具体情形如下：</w:t>
      </w:r>
    </w:p>
    <w:p>
      <w:pPr>
        <w:ind w:firstLine="420"/>
        <w:jc w:val="left"/>
      </w:pPr>
      <w:r>
        <w:rPr>
          <w:sz w:val="21"/>
        </w:rPr>
        <w:t>（</w:t>
      </w:r>
      <w:r>
        <w:rPr>
          <w:sz w:val="21"/>
        </w:rPr>
        <w:t>1）乙方交付设备(物资)存在侵犯他人知识产权、肖像权、技术秘密、商业秘密或其他任何权益的；</w:t>
      </w:r>
    </w:p>
    <w:p>
      <w:pPr>
        <w:ind w:firstLine="420"/>
        <w:jc w:val="left"/>
      </w:pPr>
      <w:r>
        <w:rPr>
          <w:sz w:val="21"/>
        </w:rPr>
        <w:t>（</w:t>
      </w:r>
      <w:r>
        <w:rPr>
          <w:sz w:val="21"/>
        </w:rPr>
        <w:t>2）乙方履行义务不符合约定，经甲方提出后在合理期限内仍未改正的；</w:t>
      </w:r>
    </w:p>
    <w:p>
      <w:pPr>
        <w:ind w:firstLine="420"/>
        <w:jc w:val="left"/>
      </w:pPr>
      <w:r>
        <w:rPr>
          <w:sz w:val="21"/>
        </w:rPr>
        <w:t>（</w:t>
      </w:r>
      <w:r>
        <w:rPr>
          <w:sz w:val="21"/>
        </w:rPr>
        <w:t>3）未经甲方书面同意，乙方将本合同项下的权利或义务转让，或将本合同项下服务转包或分包的；</w:t>
      </w:r>
    </w:p>
    <w:p>
      <w:pPr>
        <w:ind w:firstLine="420"/>
        <w:jc w:val="left"/>
      </w:pPr>
      <w:r>
        <w:rPr>
          <w:sz w:val="21"/>
        </w:rPr>
        <w:t>（</w:t>
      </w:r>
      <w:r>
        <w:rPr>
          <w:sz w:val="21"/>
        </w:rPr>
        <w:t>4）乙方逾期交货超过10日的；</w:t>
      </w:r>
    </w:p>
    <w:p>
      <w:pPr>
        <w:ind w:firstLine="420"/>
        <w:jc w:val="left"/>
      </w:pPr>
      <w:r>
        <w:rPr>
          <w:sz w:val="21"/>
        </w:rPr>
        <w:t>（</w:t>
      </w:r>
      <w:r>
        <w:rPr>
          <w:sz w:val="21"/>
        </w:rPr>
        <w:t>5 ）法律规定的其他合同解除情形。</w:t>
      </w:r>
    </w:p>
    <w:p>
      <w:pPr>
        <w:ind w:firstLine="420"/>
        <w:jc w:val="left"/>
      </w:pPr>
      <w:r>
        <w:rPr>
          <w:sz w:val="21"/>
        </w:rPr>
        <w:t>6.本合同所称之损失包括直接经济损失和合同履行后可以获得的利益及合理的调查费、评估费、公证费、诉讼费、交通费、律师费、保全费等相关法律费用。</w:t>
      </w:r>
    </w:p>
    <w:p>
      <w:pPr>
        <w:jc w:val="both"/>
      </w:pPr>
      <w:r>
        <w:rPr>
          <w:b/>
          <w:sz w:val="21"/>
        </w:rPr>
        <w:t>八、解决争议方法</w:t>
      </w:r>
    </w:p>
    <w:p>
      <w:pPr>
        <w:ind w:firstLine="420"/>
        <w:jc w:val="left"/>
      </w:pPr>
      <w:r>
        <w:rPr>
          <w:sz w:val="21"/>
        </w:rPr>
        <w:t>本合同的成立、有效性、解释、履行、签署、修订和终止以及争议的解决均应适用中华人民共和国法律。本合同发生争议，由双方协商或调解解决，协商或调解不成时双方同意向甲方所在地人民法院起诉。诉讼进行过程中，除双方有争议的部分外，本合同其他部分仍然有效，各方应继续履行。</w:t>
      </w:r>
    </w:p>
    <w:p>
      <w:pPr>
        <w:ind w:firstLine="422"/>
        <w:jc w:val="both"/>
      </w:pPr>
      <w:r>
        <w:rPr>
          <w:b/>
          <w:sz w:val="21"/>
        </w:rPr>
        <w:t>九、其他</w:t>
      </w:r>
    </w:p>
    <w:p>
      <w:pPr>
        <w:ind w:firstLine="420"/>
        <w:jc w:val="left"/>
      </w:pPr>
      <w:r>
        <w:rPr>
          <w:sz w:val="21"/>
        </w:rPr>
        <w:t>1.合同的附件及本项目的招投标文件、补充协议均为本合同的组成部份，与合同具有同等效力。</w:t>
      </w:r>
    </w:p>
    <w:p>
      <w:pPr>
        <w:ind w:firstLine="420"/>
        <w:jc w:val="left"/>
      </w:pPr>
      <w:r>
        <w:rPr>
          <w:sz w:val="21"/>
        </w:rPr>
        <w:t>2.本合同自签订（甲乙双方授权代表共同签字、盖章）之日起生效，共一式六份，均为正本，具有同等法律效力，乙方一份、甲方五份。</w:t>
      </w:r>
    </w:p>
    <w:p>
      <w:pPr>
        <w:ind w:firstLine="420"/>
        <w:jc w:val="left"/>
      </w:pPr>
      <w:r>
        <w:rPr>
          <w:sz w:val="21"/>
        </w:rPr>
        <w:t>3.本合同未尽事宜，由双方协商解决。如需对本合同及其附件作修改或补充，双方应签订补充合同，如补充合同与本合同存在不一致之处，以补充合同为准。</w:t>
      </w:r>
    </w:p>
    <w:p>
      <w:pPr>
        <w:ind w:firstLine="630"/>
        <w:jc w:val="both"/>
      </w:pPr>
      <w:r>
        <w:rPr>
          <w:sz w:val="21"/>
        </w:rPr>
        <w:t>附件：</w:t>
      </w:r>
    </w:p>
    <w:p>
      <w:pPr>
        <w:ind w:firstLine="630"/>
        <w:jc w:val="both"/>
      </w:pPr>
      <w:r>
        <w:rPr>
          <w:sz w:val="21"/>
        </w:rPr>
        <w:t>1.设备物资技术参数</w:t>
      </w:r>
    </w:p>
    <w:p>
      <w:pPr>
        <w:ind w:firstLine="630"/>
        <w:jc w:val="both"/>
      </w:pPr>
      <w:r>
        <w:rPr>
          <w:sz w:val="21"/>
        </w:rPr>
        <w:t>2.乙方项目负责人授权委托书</w:t>
      </w:r>
    </w:p>
    <w:p>
      <w:pPr>
        <w:ind w:firstLine="630"/>
        <w:jc w:val="both"/>
      </w:pPr>
      <w:r>
        <w:rPr>
          <w:sz w:val="21"/>
        </w:rPr>
        <w:t>3.保修承担方承诺函</w:t>
      </w:r>
    </w:p>
    <w:p>
      <w:pPr>
        <w:jc w:val="both"/>
      </w:pPr>
      <w:r>
        <w:rPr>
          <w:sz w:val="21"/>
        </w:rPr>
        <w:t xml:space="preserve">        </w:t>
      </w:r>
    </w:p>
    <w:p>
      <w:pPr>
        <w:jc w:val="both"/>
      </w:pPr>
      <w:r>
        <w:rPr>
          <w:sz w:val="21"/>
        </w:rPr>
        <w:t>甲方（盖章）：广州中医药大学</w:t>
      </w:r>
      <w:r>
        <w:rPr>
          <w:sz w:val="21"/>
        </w:rPr>
        <w:t xml:space="preserve">                       </w:t>
      </w:r>
      <w:r>
        <w:rPr>
          <w:sz w:val="21"/>
        </w:rPr>
        <w:t>乙方（盖章）：</w:t>
      </w:r>
    </w:p>
    <w:p>
      <w:pPr>
        <w:jc w:val="both"/>
      </w:pPr>
      <w:r>
        <w:rPr>
          <w:sz w:val="21"/>
        </w:rPr>
        <w:t>法定代表人：</w:t>
      </w:r>
      <w:r>
        <w:rPr>
          <w:sz w:val="21"/>
        </w:rPr>
        <w:t xml:space="preserve">                                     </w:t>
      </w:r>
      <w:r>
        <w:rPr>
          <w:sz w:val="21"/>
        </w:rPr>
        <w:t>法定代表人：</w:t>
      </w:r>
    </w:p>
    <w:p>
      <w:pPr>
        <w:jc w:val="both"/>
      </w:pPr>
      <w:r>
        <w:rPr>
          <w:sz w:val="21"/>
        </w:rPr>
        <w:t>委托代理人：</w:t>
      </w:r>
      <w:r>
        <w:rPr>
          <w:sz w:val="21"/>
        </w:rPr>
        <w:t xml:space="preserve">                                     </w:t>
      </w:r>
      <w:r>
        <w:rPr>
          <w:sz w:val="21"/>
        </w:rPr>
        <w:t>委托代理人：</w:t>
      </w:r>
    </w:p>
    <w:p>
      <w:pPr>
        <w:jc w:val="both"/>
      </w:pPr>
      <w:r>
        <w:rPr>
          <w:sz w:val="21"/>
        </w:rPr>
        <w:t>联系电话：</w:t>
      </w:r>
      <w:r>
        <w:rPr>
          <w:sz w:val="21"/>
        </w:rPr>
        <w:t xml:space="preserve">                                      </w:t>
      </w:r>
      <w:r>
        <w:rPr>
          <w:sz w:val="21"/>
        </w:rPr>
        <w:t>联系电话：</w:t>
      </w:r>
    </w:p>
    <w:p>
      <w:pPr>
        <w:jc w:val="both"/>
      </w:pPr>
      <w:r>
        <w:rPr>
          <w:sz w:val="21"/>
        </w:rPr>
        <w:t>电子邮箱：</w:t>
      </w:r>
      <w:r>
        <w:rPr>
          <w:sz w:val="21"/>
        </w:rPr>
        <w:t xml:space="preserve">                                      </w:t>
      </w:r>
      <w:r>
        <w:rPr>
          <w:sz w:val="21"/>
        </w:rPr>
        <w:t>电子邮箱：</w:t>
      </w:r>
    </w:p>
    <w:p>
      <w:pPr>
        <w:jc w:val="both"/>
      </w:pPr>
      <w:r>
        <w:rPr>
          <w:sz w:val="21"/>
        </w:rPr>
        <w:t>日期：</w:t>
      </w:r>
      <w:r>
        <w:rPr>
          <w:sz w:val="21"/>
        </w:rPr>
        <w:t xml:space="preserve">  </w:t>
      </w:r>
      <w:r>
        <w:rPr>
          <w:sz w:val="21"/>
        </w:rPr>
        <w:t>年</w:t>
      </w:r>
      <w:r>
        <w:rPr>
          <w:sz w:val="21"/>
        </w:rPr>
        <w:t>月</w:t>
      </w:r>
      <w:r>
        <w:rPr>
          <w:sz w:val="21"/>
        </w:rPr>
        <w:t>日</w:t>
      </w:r>
      <w:r>
        <w:rPr>
          <w:sz w:val="21"/>
        </w:rPr>
        <w:t xml:space="preserve">                                 </w:t>
      </w:r>
      <w:r>
        <w:rPr>
          <w:sz w:val="21"/>
        </w:rPr>
        <w:t>日期：</w:t>
      </w:r>
      <w:r>
        <w:rPr>
          <w:sz w:val="21"/>
        </w:rPr>
        <w:t xml:space="preserve">  </w:t>
      </w:r>
      <w:r>
        <w:rPr>
          <w:sz w:val="21"/>
        </w:rPr>
        <w:t>年</w:t>
      </w:r>
      <w:r>
        <w:rPr>
          <w:sz w:val="21"/>
        </w:rPr>
        <w:t>月</w:t>
      </w:r>
      <w:r>
        <w:rPr>
          <w:sz w:val="21"/>
        </w:rPr>
        <w:t>日</w:t>
      </w:r>
    </w:p>
    <w:p>
      <w:pPr>
        <w:jc w:val="both"/>
      </w:pPr>
      <w:r>
        <w:rPr>
          <w:sz w:val="21"/>
        </w:rPr>
        <w:t xml:space="preserve"> </w:t>
      </w:r>
    </w:p>
    <w:p>
      <w:pPr>
        <w:jc w:val="both"/>
      </w:pPr>
    </w:p>
    <w:p>
      <w:pPr>
        <w:jc w:val="both"/>
      </w:pPr>
      <w:r>
        <w:rPr>
          <w:sz w:val="21"/>
        </w:rPr>
        <w:t>附件</w:t>
      </w:r>
      <w:r>
        <w:rPr>
          <w:sz w:val="21"/>
        </w:rPr>
        <w:t>1.设备技术参数模版（模版）</w:t>
      </w:r>
    </w:p>
    <w:tbl>
      <w:tblPr>
        <w:tblW w:w="0" w:type="auto"/>
        <w:tblBorders>
          <w:top w:val="none" w:color="000000" w:sz="4"/>
          <w:left w:val="none" w:color="000000" w:sz="4"/>
          <w:bottom w:val="none" w:color="000000" w:sz="4"/>
          <w:right w:val="none" w:color="000000" w:sz="4"/>
          <w:insideH w:val="none"/>
          <w:insideV w:val="none"/>
        </w:tblBorders>
      </w:tblPr>
      <w:tblGrid>
        <w:gridCol w:w="714"/>
        <w:gridCol w:w="2120"/>
        <w:gridCol w:w="3389"/>
        <w:gridCol w:w="2080"/>
      </w:tblGrid>
      <w:tr>
        <w:tc>
          <w:tcPr>
            <w:tcW w:type="dxa" w:w="71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120"/>
            <w:tcBorders>
              <w:top w:val="single" w:color="000000" w:sz="4"/>
              <w:left w:val="none" w:color="000000" w:sz="4"/>
              <w:bottom w:val="single" w:color="000000" w:sz="4"/>
              <w:right w:val="single" w:color="000000" w:sz="4"/>
            </w:tcBorders>
            <w:vAlign w:val="top"/>
          </w:tcPr>
          <w:p>
            <w:pPr>
              <w:ind w:firstLine="420"/>
              <w:jc w:val="both"/>
            </w:pPr>
            <w:r>
              <w:rPr>
                <w:sz w:val="21"/>
              </w:rPr>
              <w:t>设备名称</w:t>
            </w:r>
          </w:p>
        </w:tc>
        <w:tc>
          <w:tcPr>
            <w:tcW w:type="dxa" w:w="3389"/>
            <w:tcBorders>
              <w:top w:val="single" w:color="000000" w:sz="4"/>
              <w:left w:val="none" w:color="000000" w:sz="4"/>
              <w:bottom w:val="single" w:color="000000" w:sz="4"/>
              <w:right w:val="single" w:color="000000" w:sz="4"/>
            </w:tcBorders>
            <w:vAlign w:val="top"/>
          </w:tcPr>
          <w:p>
            <w:pPr>
              <w:ind w:firstLine="420"/>
              <w:jc w:val="both"/>
            </w:pPr>
            <w:r>
              <w:rPr>
                <w:sz w:val="21"/>
              </w:rPr>
              <w:t>主要技术参数</w:t>
            </w:r>
          </w:p>
        </w:tc>
        <w:tc>
          <w:tcPr>
            <w:tcW w:type="dxa" w:w="2080"/>
            <w:tcBorders>
              <w:top w:val="single" w:color="000000" w:sz="4"/>
              <w:left w:val="none" w:color="000000" w:sz="4"/>
              <w:bottom w:val="single" w:color="000000" w:sz="4"/>
              <w:right w:val="single" w:color="000000" w:sz="4"/>
            </w:tcBorders>
            <w:vAlign w:val="top"/>
          </w:tcPr>
          <w:p>
            <w:pPr>
              <w:ind w:firstLine="420"/>
              <w:jc w:val="both"/>
            </w:pPr>
            <w:r>
              <w:rPr>
                <w:sz w:val="21"/>
              </w:rPr>
              <w:t>配置清单</w:t>
            </w:r>
          </w:p>
        </w:tc>
      </w:tr>
      <w:tr>
        <w:tc>
          <w:tcPr>
            <w:tcW w:type="dxa" w:w="714"/>
            <w:tcBorders>
              <w:top w:val="none" w:color="000000" w:sz="4"/>
              <w:left w:val="single" w:color="000000" w:sz="4"/>
              <w:bottom w:val="single" w:color="000000" w:sz="4"/>
              <w:right w:val="single" w:color="000000" w:sz="4"/>
            </w:tcBorders>
            <w:vAlign w:val="top"/>
          </w:tcPr>
          <w:p>
            <w:pPr>
              <w:ind w:firstLine="422"/>
              <w:jc w:val="both"/>
            </w:pPr>
          </w:p>
        </w:tc>
        <w:tc>
          <w:tcPr>
            <w:tcW w:type="dxa" w:w="2120"/>
            <w:tcBorders>
              <w:top w:val="none" w:color="000000" w:sz="4"/>
              <w:left w:val="none" w:color="000000" w:sz="4"/>
              <w:bottom w:val="single" w:color="000000" w:sz="4"/>
              <w:right w:val="single" w:color="000000" w:sz="4"/>
            </w:tcBorders>
            <w:vAlign w:val="top"/>
          </w:tcPr>
          <w:p>
            <w:pPr>
              <w:jc w:val="both"/>
            </w:pPr>
            <w:r>
              <w:rPr>
                <w:sz w:val="21"/>
              </w:rPr>
              <w:t xml:space="preserve"> </w:t>
            </w:r>
          </w:p>
          <w:p>
            <w:pPr>
              <w:ind w:firstLine="422"/>
              <w:jc w:val="both"/>
            </w:pPr>
          </w:p>
        </w:tc>
        <w:tc>
          <w:tcPr>
            <w:tcW w:type="dxa" w:w="3389"/>
            <w:tcBorders>
              <w:top w:val="none" w:color="000000" w:sz="4"/>
              <w:left w:val="none" w:color="000000" w:sz="4"/>
              <w:bottom w:val="single" w:color="000000" w:sz="4"/>
              <w:right w:val="single" w:color="000000" w:sz="4"/>
            </w:tcBorders>
            <w:vAlign w:val="top"/>
          </w:tcPr>
          <w:p>
            <w:pPr>
              <w:ind w:firstLine="422"/>
              <w:jc w:val="both"/>
            </w:pPr>
          </w:p>
        </w:tc>
        <w:tc>
          <w:tcPr>
            <w:tcW w:type="dxa" w:w="2080"/>
            <w:tcBorders>
              <w:top w:val="none" w:color="000000" w:sz="4"/>
              <w:left w:val="none" w:color="000000" w:sz="4"/>
              <w:bottom w:val="single" w:color="000000" w:sz="4"/>
              <w:right w:val="single" w:color="000000" w:sz="4"/>
            </w:tcBorders>
            <w:vAlign w:val="top"/>
          </w:tcPr>
          <w:p>
            <w:pPr>
              <w:ind w:firstLine="422"/>
              <w:jc w:val="both"/>
            </w:pPr>
          </w:p>
        </w:tc>
      </w:tr>
      <w:tr>
        <w:tc>
          <w:tcPr>
            <w:tcW w:type="dxa" w:w="714"/>
            <w:tcBorders>
              <w:top w:val="none" w:color="000000" w:sz="4"/>
              <w:left w:val="single" w:color="000000" w:sz="4"/>
              <w:bottom w:val="single" w:color="000000" w:sz="4"/>
              <w:right w:val="single" w:color="000000" w:sz="4"/>
            </w:tcBorders>
            <w:vAlign w:val="top"/>
          </w:tcPr>
          <w:p>
            <w:pPr>
              <w:ind w:firstLine="422"/>
              <w:jc w:val="both"/>
            </w:pPr>
          </w:p>
        </w:tc>
        <w:tc>
          <w:tcPr>
            <w:tcW w:type="dxa" w:w="2120"/>
            <w:tcBorders>
              <w:top w:val="none" w:color="000000" w:sz="4"/>
              <w:left w:val="none" w:color="000000" w:sz="4"/>
              <w:bottom w:val="single" w:color="000000" w:sz="4"/>
              <w:right w:val="single" w:color="000000" w:sz="4"/>
            </w:tcBorders>
            <w:vAlign w:val="top"/>
          </w:tcPr>
          <w:p>
            <w:pPr>
              <w:ind w:firstLine="422"/>
              <w:jc w:val="both"/>
            </w:pPr>
          </w:p>
        </w:tc>
        <w:tc>
          <w:tcPr>
            <w:tcW w:type="dxa" w:w="3389"/>
            <w:tcBorders>
              <w:top w:val="none" w:color="000000" w:sz="4"/>
              <w:left w:val="none" w:color="000000" w:sz="4"/>
              <w:bottom w:val="single" w:color="000000" w:sz="4"/>
              <w:right w:val="single" w:color="000000" w:sz="4"/>
            </w:tcBorders>
            <w:vAlign w:val="top"/>
          </w:tcPr>
          <w:p>
            <w:pPr>
              <w:jc w:val="both"/>
            </w:pPr>
            <w:r>
              <w:rPr>
                <w:sz w:val="21"/>
              </w:rPr>
              <w:t xml:space="preserve"> </w:t>
            </w:r>
          </w:p>
          <w:p>
            <w:pPr>
              <w:ind w:firstLine="422"/>
              <w:jc w:val="both"/>
            </w:pPr>
          </w:p>
        </w:tc>
        <w:tc>
          <w:tcPr>
            <w:tcW w:type="dxa" w:w="2080"/>
            <w:tcBorders>
              <w:top w:val="none" w:color="000000" w:sz="4"/>
              <w:left w:val="none" w:color="000000" w:sz="4"/>
              <w:bottom w:val="single" w:color="000000" w:sz="4"/>
              <w:right w:val="single" w:color="000000" w:sz="4"/>
            </w:tcBorders>
            <w:vAlign w:val="top"/>
          </w:tcPr>
          <w:p>
            <w:pPr>
              <w:ind w:firstLine="422"/>
              <w:jc w:val="both"/>
            </w:pPr>
          </w:p>
        </w:tc>
      </w:tr>
    </w:tbl>
    <w:p>
      <w:r>
        <w:rPr/>
        <w:t xml:space="preserve"> </w:t>
      </w:r>
    </w:p>
    <w:p>
      <w:pPr>
        <w:jc w:val="both"/>
      </w:pPr>
      <w:r>
        <w:rPr>
          <w:sz w:val="21"/>
        </w:rPr>
        <w:t>附件</w:t>
      </w:r>
      <w:r>
        <w:rPr>
          <w:sz w:val="21"/>
        </w:rPr>
        <w:t>3.保修承担方承诺函模版（模版）</w:t>
      </w:r>
    </w:p>
    <w:p>
      <w:pPr>
        <w:jc w:val="center"/>
      </w:pPr>
      <w:r>
        <w:rPr/>
        <w:t xml:space="preserve"> </w:t>
      </w:r>
    </w:p>
    <w:p>
      <w:pPr>
        <w:jc w:val="center"/>
      </w:pPr>
      <w:r>
        <w:rPr>
          <w:sz w:val="21"/>
        </w:rPr>
        <w:t>保修承诺函</w:t>
      </w:r>
    </w:p>
    <w:p>
      <w:pPr>
        <w:jc w:val="center"/>
      </w:pPr>
      <w:r>
        <w:rPr/>
        <w:t xml:space="preserve"> </w:t>
      </w:r>
    </w:p>
    <w:p>
      <w:pPr>
        <w:ind w:firstLine="420"/>
        <w:jc w:val="both"/>
      </w:pPr>
      <w:r>
        <w:rPr>
          <w:sz w:val="21"/>
        </w:rPr>
        <w:t>广州中医药大学：</w:t>
      </w:r>
    </w:p>
    <w:p>
      <w:pPr>
        <w:ind w:firstLine="420"/>
        <w:jc w:val="both"/>
      </w:pPr>
      <w:r>
        <w:rPr>
          <w:sz w:val="21"/>
        </w:rPr>
        <w:t>根据贵单位</w:t>
      </w:r>
      <w:r>
        <w:rPr>
          <w:sz w:val="21"/>
          <w:u w:val="single"/>
        </w:rPr>
        <w:t xml:space="preserve">                    </w:t>
      </w:r>
      <w:r>
        <w:rPr>
          <w:sz w:val="21"/>
        </w:rPr>
        <w:t>项目（招标编号：</w:t>
      </w:r>
      <w:r>
        <w:rPr>
          <w:sz w:val="21"/>
          <w:u w:val="single"/>
        </w:rPr>
        <w:t xml:space="preserve">                 </w:t>
      </w:r>
      <w:r>
        <w:rPr>
          <w:sz w:val="21"/>
        </w:rPr>
        <w:t>）的招标文件及合同约定，由</w:t>
      </w:r>
      <w:r>
        <w:rPr>
          <w:sz w:val="21"/>
          <w:u w:val="single"/>
        </w:rPr>
        <w:t xml:space="preserve">               </w:t>
      </w:r>
      <w:r>
        <w:rPr>
          <w:sz w:val="21"/>
        </w:rPr>
        <w:t>公司、</w:t>
      </w:r>
      <w:r>
        <w:rPr>
          <w:sz w:val="21"/>
          <w:u w:val="single"/>
        </w:rPr>
        <w:t xml:space="preserve">              </w:t>
      </w:r>
      <w:r>
        <w:rPr>
          <w:sz w:val="21"/>
        </w:rPr>
        <w:t>公司对该项目设备的保修做出如下承诺：</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645"/>
        <w:gridCol w:w="2050"/>
        <w:gridCol w:w="1233"/>
        <w:gridCol w:w="1233"/>
        <w:gridCol w:w="3142"/>
      </w:tblGrid>
      <w:tr>
        <w:tc>
          <w:tcPr>
            <w:tcW w:type="dxa" w:w="64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2050"/>
            <w:tcBorders>
              <w:top w:val="single" w:color="000000" w:sz="4"/>
              <w:left w:val="none" w:color="000000" w:sz="4"/>
              <w:bottom w:val="single" w:color="000000" w:sz="4"/>
              <w:right w:val="single" w:color="000000" w:sz="4"/>
            </w:tcBorders>
            <w:vAlign w:val="top"/>
          </w:tcPr>
          <w:p>
            <w:pPr>
              <w:jc w:val="both"/>
            </w:pPr>
            <w:r>
              <w:rPr>
                <w:sz w:val="21"/>
              </w:rPr>
              <w:t>设备或主要配件名称</w:t>
            </w:r>
          </w:p>
        </w:tc>
        <w:tc>
          <w:tcPr>
            <w:tcW w:type="dxa" w:w="1233"/>
            <w:tcBorders>
              <w:top w:val="single" w:color="000000" w:sz="4"/>
              <w:left w:val="none" w:color="000000" w:sz="4"/>
              <w:bottom w:val="single" w:color="000000" w:sz="4"/>
              <w:right w:val="single" w:color="000000" w:sz="4"/>
            </w:tcBorders>
            <w:vAlign w:val="top"/>
          </w:tcPr>
          <w:p>
            <w:pPr>
              <w:jc w:val="both"/>
            </w:pPr>
            <w:r>
              <w:rPr>
                <w:sz w:val="21"/>
              </w:rPr>
              <w:t>免费保修期</w:t>
            </w:r>
          </w:p>
        </w:tc>
        <w:tc>
          <w:tcPr>
            <w:tcW w:type="dxa" w:w="1233"/>
            <w:tcBorders>
              <w:top w:val="single" w:color="000000" w:sz="4"/>
              <w:left w:val="none" w:color="000000" w:sz="4"/>
              <w:bottom w:val="single" w:color="000000" w:sz="4"/>
              <w:right w:val="single" w:color="000000" w:sz="4"/>
            </w:tcBorders>
            <w:vAlign w:val="top"/>
          </w:tcPr>
          <w:p>
            <w:pPr>
              <w:jc w:val="both"/>
            </w:pPr>
            <w:r>
              <w:rPr>
                <w:sz w:val="21"/>
              </w:rPr>
              <w:t>市场价格</w:t>
            </w:r>
          </w:p>
        </w:tc>
        <w:tc>
          <w:tcPr>
            <w:tcW w:type="dxa" w:w="3142"/>
            <w:tcBorders>
              <w:top w:val="single" w:color="000000" w:sz="4"/>
              <w:left w:val="none" w:color="000000" w:sz="4"/>
              <w:bottom w:val="single" w:color="000000" w:sz="4"/>
              <w:right w:val="single" w:color="000000" w:sz="4"/>
            </w:tcBorders>
            <w:vAlign w:val="top"/>
          </w:tcPr>
          <w:p>
            <w:pPr>
              <w:jc w:val="both"/>
            </w:pPr>
            <w:r>
              <w:rPr>
                <w:sz w:val="21"/>
              </w:rPr>
              <w:t>售后网点及电话</w:t>
            </w:r>
          </w:p>
        </w:tc>
      </w:tr>
      <w:tr>
        <w:tc>
          <w:tcPr>
            <w:tcW w:type="dxa" w:w="645"/>
            <w:tcBorders>
              <w:top w:val="none" w:color="000000" w:sz="4"/>
              <w:left w:val="single" w:color="000000" w:sz="4"/>
              <w:bottom w:val="single" w:color="000000" w:sz="4"/>
              <w:right w:val="single" w:color="000000" w:sz="4"/>
            </w:tcBorders>
            <w:vAlign w:val="top"/>
          </w:tcPr>
          <w:p>
            <w:pPr>
              <w:ind w:firstLine="420"/>
              <w:jc w:val="both"/>
            </w:pPr>
          </w:p>
        </w:tc>
        <w:tc>
          <w:tcPr>
            <w:tcW w:type="dxa" w:w="2050"/>
            <w:tcBorders>
              <w:top w:val="none" w:color="000000" w:sz="4"/>
              <w:left w:val="none" w:color="000000" w:sz="4"/>
              <w:bottom w:val="single" w:color="000000" w:sz="4"/>
              <w:right w:val="single" w:color="000000" w:sz="4"/>
            </w:tcBorders>
            <w:vAlign w:val="top"/>
          </w:tcPr>
          <w:p>
            <w:pPr>
              <w:jc w:val="both"/>
            </w:pPr>
            <w:r>
              <w:rPr>
                <w:sz w:val="21"/>
              </w:rPr>
              <w:t xml:space="preserve"> </w:t>
            </w:r>
          </w:p>
          <w:p>
            <w:pPr>
              <w:ind w:firstLine="420"/>
              <w:jc w:val="both"/>
            </w:pPr>
          </w:p>
        </w:tc>
        <w:tc>
          <w:tcPr>
            <w:tcW w:type="dxa" w:w="1233"/>
            <w:tcBorders>
              <w:top w:val="none" w:color="000000" w:sz="4"/>
              <w:left w:val="none" w:color="000000" w:sz="4"/>
              <w:bottom w:val="single" w:color="000000" w:sz="4"/>
              <w:right w:val="single" w:color="000000" w:sz="4"/>
            </w:tcBorders>
            <w:vAlign w:val="top"/>
          </w:tcPr>
          <w:p>
            <w:pPr>
              <w:ind w:firstLine="420"/>
              <w:jc w:val="both"/>
            </w:pPr>
          </w:p>
        </w:tc>
        <w:tc>
          <w:tcPr>
            <w:tcW w:type="dxa" w:w="1233"/>
            <w:tcBorders>
              <w:top w:val="none" w:color="000000" w:sz="4"/>
              <w:left w:val="none" w:color="000000" w:sz="4"/>
              <w:bottom w:val="single" w:color="000000" w:sz="4"/>
              <w:right w:val="single" w:color="000000" w:sz="4"/>
            </w:tcBorders>
            <w:vAlign w:val="top"/>
          </w:tcPr>
          <w:p>
            <w:pPr>
              <w:ind w:firstLine="420"/>
              <w:jc w:val="both"/>
            </w:pPr>
          </w:p>
        </w:tc>
        <w:tc>
          <w:tcPr>
            <w:tcW w:type="dxa" w:w="3142"/>
            <w:tcBorders>
              <w:top w:val="none" w:color="000000" w:sz="4"/>
              <w:left w:val="none" w:color="000000" w:sz="4"/>
              <w:bottom w:val="single" w:color="000000" w:sz="4"/>
              <w:right w:val="single" w:color="000000" w:sz="4"/>
            </w:tcBorders>
            <w:vAlign w:val="top"/>
          </w:tcPr>
          <w:p>
            <w:pPr>
              <w:ind w:firstLine="420"/>
              <w:jc w:val="both"/>
            </w:pPr>
          </w:p>
        </w:tc>
      </w:tr>
      <w:tr>
        <w:tc>
          <w:tcPr>
            <w:tcW w:type="dxa" w:w="645"/>
            <w:tcBorders>
              <w:top w:val="none" w:color="000000" w:sz="4"/>
              <w:left w:val="single" w:color="000000" w:sz="4"/>
              <w:bottom w:val="single" w:color="000000" w:sz="4"/>
              <w:right w:val="single" w:color="000000" w:sz="4"/>
            </w:tcBorders>
            <w:vAlign w:val="top"/>
          </w:tcPr>
          <w:p>
            <w:pPr>
              <w:ind w:firstLine="420"/>
              <w:jc w:val="both"/>
            </w:pPr>
          </w:p>
        </w:tc>
        <w:tc>
          <w:tcPr>
            <w:tcW w:type="dxa" w:w="2050"/>
            <w:tcBorders>
              <w:top w:val="none" w:color="000000" w:sz="4"/>
              <w:left w:val="none" w:color="000000" w:sz="4"/>
              <w:bottom w:val="single" w:color="000000" w:sz="4"/>
              <w:right w:val="single" w:color="000000" w:sz="4"/>
            </w:tcBorders>
            <w:vAlign w:val="top"/>
          </w:tcPr>
          <w:p>
            <w:pPr>
              <w:ind w:firstLine="420"/>
              <w:jc w:val="both"/>
            </w:pPr>
          </w:p>
        </w:tc>
        <w:tc>
          <w:tcPr>
            <w:tcW w:type="dxa" w:w="1233"/>
            <w:tcBorders>
              <w:top w:val="none" w:color="000000" w:sz="4"/>
              <w:left w:val="none" w:color="000000" w:sz="4"/>
              <w:bottom w:val="single" w:color="000000" w:sz="4"/>
              <w:right w:val="single" w:color="000000" w:sz="4"/>
            </w:tcBorders>
            <w:vAlign w:val="top"/>
          </w:tcPr>
          <w:p>
            <w:pPr>
              <w:jc w:val="both"/>
            </w:pPr>
            <w:r>
              <w:rPr>
                <w:sz w:val="21"/>
              </w:rPr>
              <w:t xml:space="preserve"> </w:t>
            </w:r>
          </w:p>
          <w:p>
            <w:pPr>
              <w:ind w:firstLine="420"/>
              <w:jc w:val="both"/>
            </w:pPr>
          </w:p>
        </w:tc>
        <w:tc>
          <w:tcPr>
            <w:tcW w:type="dxa" w:w="1233"/>
            <w:tcBorders>
              <w:top w:val="none" w:color="000000" w:sz="4"/>
              <w:left w:val="none" w:color="000000" w:sz="4"/>
              <w:bottom w:val="single" w:color="000000" w:sz="4"/>
              <w:right w:val="single" w:color="000000" w:sz="4"/>
            </w:tcBorders>
            <w:vAlign w:val="top"/>
          </w:tcPr>
          <w:p>
            <w:pPr>
              <w:ind w:firstLine="420"/>
              <w:jc w:val="both"/>
            </w:pPr>
          </w:p>
        </w:tc>
        <w:tc>
          <w:tcPr>
            <w:tcW w:type="dxa" w:w="3142"/>
            <w:tcBorders>
              <w:top w:val="none" w:color="000000" w:sz="4"/>
              <w:left w:val="none" w:color="000000" w:sz="4"/>
              <w:bottom w:val="single" w:color="000000" w:sz="4"/>
              <w:right w:val="single" w:color="000000" w:sz="4"/>
            </w:tcBorders>
            <w:vAlign w:val="top"/>
          </w:tcPr>
          <w:p>
            <w:pPr>
              <w:ind w:firstLine="420"/>
              <w:jc w:val="both"/>
            </w:pPr>
          </w:p>
        </w:tc>
      </w:tr>
      <w:tr>
        <w:tc>
          <w:tcPr>
            <w:tcW w:type="dxa" w:w="645"/>
            <w:tcBorders>
              <w:top w:val="none" w:color="000000" w:sz="4"/>
              <w:left w:val="single" w:color="000000" w:sz="4"/>
              <w:bottom w:val="single" w:color="000000" w:sz="4"/>
              <w:right w:val="single" w:color="000000" w:sz="4"/>
            </w:tcBorders>
            <w:vAlign w:val="top"/>
          </w:tcPr>
          <w:p>
            <w:pPr>
              <w:ind w:firstLine="420"/>
              <w:jc w:val="both"/>
            </w:pPr>
          </w:p>
        </w:tc>
        <w:tc>
          <w:tcPr>
            <w:tcW w:type="dxa" w:w="2050"/>
            <w:tcBorders>
              <w:top w:val="none" w:color="000000" w:sz="4"/>
              <w:left w:val="none" w:color="000000" w:sz="4"/>
              <w:bottom w:val="single" w:color="000000" w:sz="4"/>
              <w:right w:val="single" w:color="000000" w:sz="4"/>
            </w:tcBorders>
            <w:vAlign w:val="top"/>
          </w:tcPr>
          <w:p>
            <w:pPr>
              <w:ind w:firstLine="420"/>
              <w:jc w:val="both"/>
            </w:pPr>
          </w:p>
        </w:tc>
        <w:tc>
          <w:tcPr>
            <w:tcW w:type="dxa" w:w="1233"/>
            <w:tcBorders>
              <w:top w:val="none" w:color="000000" w:sz="4"/>
              <w:left w:val="none" w:color="000000" w:sz="4"/>
              <w:bottom w:val="single" w:color="000000" w:sz="4"/>
              <w:right w:val="single" w:color="000000" w:sz="4"/>
            </w:tcBorders>
            <w:vAlign w:val="top"/>
          </w:tcPr>
          <w:p>
            <w:pPr>
              <w:jc w:val="both"/>
            </w:pPr>
            <w:r>
              <w:rPr>
                <w:sz w:val="21"/>
              </w:rPr>
              <w:t xml:space="preserve"> </w:t>
            </w:r>
          </w:p>
          <w:p>
            <w:pPr>
              <w:ind w:firstLine="420"/>
              <w:jc w:val="both"/>
            </w:pPr>
          </w:p>
        </w:tc>
        <w:tc>
          <w:tcPr>
            <w:tcW w:type="dxa" w:w="1233"/>
            <w:tcBorders>
              <w:top w:val="none" w:color="000000" w:sz="4"/>
              <w:left w:val="none" w:color="000000" w:sz="4"/>
              <w:bottom w:val="single" w:color="000000" w:sz="4"/>
              <w:right w:val="single" w:color="000000" w:sz="4"/>
            </w:tcBorders>
            <w:vAlign w:val="top"/>
          </w:tcPr>
          <w:p>
            <w:pPr>
              <w:ind w:firstLine="420"/>
              <w:jc w:val="both"/>
            </w:pPr>
          </w:p>
        </w:tc>
        <w:tc>
          <w:tcPr>
            <w:tcW w:type="dxa" w:w="3142"/>
            <w:tcBorders>
              <w:top w:val="none" w:color="000000" w:sz="4"/>
              <w:left w:val="none" w:color="000000" w:sz="4"/>
              <w:bottom w:val="single" w:color="000000" w:sz="4"/>
              <w:right w:val="single" w:color="000000" w:sz="4"/>
            </w:tcBorders>
            <w:vAlign w:val="top"/>
          </w:tcPr>
          <w:p>
            <w:pPr>
              <w:ind w:firstLine="420"/>
              <w:jc w:val="both"/>
            </w:pPr>
          </w:p>
        </w:tc>
      </w:tr>
    </w:tbl>
    <w:p>
      <w:pPr>
        <w:ind w:firstLine="420"/>
        <w:jc w:val="both"/>
      </w:pPr>
    </w:p>
    <w:p>
      <w:pPr>
        <w:ind w:firstLine="420"/>
        <w:jc w:val="center"/>
      </w:pPr>
      <w:r>
        <w:rPr>
          <w:sz w:val="21"/>
        </w:rPr>
        <w:t>保修承担方：（盖章）</w:t>
      </w:r>
    </w:p>
    <w:p>
      <w:pPr>
        <w:ind w:firstLine="3780"/>
        <w:jc w:val="both"/>
      </w:pPr>
      <w:r>
        <w:rPr>
          <w:sz w:val="21"/>
        </w:rPr>
        <w:t>乙</w:t>
      </w:r>
      <w:r>
        <w:rPr>
          <w:sz w:val="21"/>
        </w:rPr>
        <w:t>方：（盖章）</w:t>
      </w:r>
    </w:p>
    <w:p>
      <w:pPr>
        <w:ind w:firstLine="3360"/>
        <w:jc w:val="both"/>
      </w:pPr>
      <w:r>
        <w:rPr>
          <w:sz w:val="21"/>
        </w:rPr>
        <w:t>日</w:t>
      </w:r>
      <w:r>
        <w:rPr>
          <w:sz w:val="21"/>
        </w:rPr>
        <w:t>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440001-2023-23236</w:t>
      </w:r>
    </w:p>
    <w:p>
      <w:pPr>
        <w:jc w:val="center"/>
      </w:pPr>
      <w:r>
        <w:rPr>
          <w:b/>
          <w:sz w:val="24"/>
        </w:rPr>
        <w:t>采购项目编号：</w:t>
      </w:r>
      <w:r>
        <w:rPr>
          <w:b/>
          <w:sz w:val="24"/>
        </w:rPr>
        <w:t>GZGK23P033A0O90Z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眼视光学教学实验室二期建设（二）(二次)</w:t>
      </w:r>
      <w:r>
        <w:rPr>
          <w:u w:val="single"/>
        </w:rPr>
        <w:t>”</w:t>
      </w:r>
      <w:r>
        <w:rPr/>
        <w:t>项目的招标[采购项目编号为：</w:t>
      </w:r>
      <w:r>
        <w:rPr>
          <w:u w:val="single"/>
        </w:rPr>
        <w:t>GZGK23P033A0O90Z</w:t>
      </w:r>
      <w:r>
        <w:rPr/>
        <w:t>]，我方愿参与投标。</w:t>
      </w:r>
    </w:p>
    <w:p>
      <w:pPr>
        <w:ind w:firstLine="480"/>
      </w:pPr>
      <w:r>
        <w:rPr/>
        <w:t>我方确认收到贵方提供的</w:t>
      </w:r>
      <w:r>
        <w:rPr>
          <w:u w:val="single"/>
        </w:rPr>
        <w:t>“</w:t>
      </w:r>
      <w:r>
        <w:rPr>
          <w:u w:val="single"/>
        </w:rPr>
        <w:t>眼视光学教学实验室二期建设（二）(二次)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眼视光学教学实验室二期建设（二）(二次)</w:t>
      </w:r>
      <w:r>
        <w:rPr/>
        <w:t>”项目采购[采购项目编号为</w:t>
      </w:r>
      <w:r>
        <w:rPr/>
        <w:t>GZGK23P033A0O90Z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广州中医药大学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眼视光学教学实验室二期建设（二）(二次)</w:t>
      </w:r>
      <w:r>
        <w:rPr/>
        <w:t>招标中获中标（采购项目编号：</w:t>
      </w:r>
      <w:r>
        <w:rPr/>
        <w:t>GZGK23P033A0O90Z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眼视光学教学实验室二期建设（二）(二次)</w:t>
      </w:r>
      <w:r>
        <w:rPr/>
        <w:t>”项目（采购项目编号：</w:t>
      </w:r>
      <w:r>
        <w:rPr/>
        <w:t>GZGK23P033A0O90Z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