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竞争性谈判文件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440601-2022-06164</w:t>
      </w:r>
    </w:p>
    <w:p>
      <w:pPr>
        <w:jc w:val="center"/>
      </w:pPr>
      <w:r>
        <w:rPr>
          <w:b/>
          <w:sz w:val="24"/>
        </w:rPr>
        <w:t>采购项目编号：</w:t>
      </w:r>
      <w:r>
        <w:rPr>
          <w:b/>
          <w:sz w:val="24"/>
        </w:rPr>
        <w:t>XH2022CB-11-002（内部编号：GZGK22D259B0914T）</w:t>
      </w:r>
    </w:p>
    <w:p>
      <w:pPr>
        <w:jc w:val="center"/>
      </w:pPr>
      <w:r>
        <w:rPr>
          <w:b/>
          <w:sz w:val="24"/>
        </w:rPr>
        <w:t>项目名称：</w:t>
      </w:r>
      <w:r>
        <w:rPr>
          <w:b/>
          <w:sz w:val="24"/>
        </w:rPr>
        <w:t>甲类园区二次配电工程</w:t>
      </w:r>
    </w:p>
    <w:p>
      <w:pPr>
        <w:jc w:val="center"/>
      </w:pPr>
      <w:r>
        <w:rPr>
          <w:b/>
          <w:sz w:val="24"/>
        </w:rPr>
        <w:t>采购人：</w:t>
      </w:r>
      <w:r>
        <w:rPr>
          <w:b/>
          <w:sz w:val="24"/>
        </w:rPr>
        <w:t>佛山仙湖实验室</w:t>
      </w:r>
    </w:p>
    <w:p>
      <w:pPr>
        <w:jc w:val="center"/>
      </w:pPr>
      <w:r>
        <w:rPr>
          <w:b/>
          <w:sz w:val="24"/>
        </w:rPr>
        <w:t>采购代理机构：</w:t>
      </w:r>
      <w:r>
        <w:rPr>
          <w:b/>
          <w:sz w:val="24"/>
        </w:rPr>
        <w:t>广州市国科招标代理有限公司</w:t>
      </w:r>
    </w:p>
    <w:p>
      <w:pPr>
        <w:ind w:firstLine="480"/>
      </w:pPr>
    </w:p>
    <w:p>
      <w:r>
        <w:rPr/>
        <w:t xml:space="preserve"> </w:t>
      </w:r>
    </w:p>
    <w:p/>
    <w:p>
      <w:r>
        <w:rPr>
          <w:b/>
          <w:sz w:val="36"/>
        </w:rPr>
        <w:t>第一章 谈判邀请</w:t>
      </w:r>
    </w:p>
    <w:p>
      <w:pPr>
        <w:ind w:firstLine="480"/>
      </w:pPr>
      <w:r>
        <w:rPr/>
        <w:t>广州市国科招标代理有限公司</w:t>
      </w:r>
      <w:r>
        <w:rPr/>
        <w:t>受</w:t>
      </w:r>
      <w:r>
        <w:rPr/>
        <w:t>佛山仙湖实验室</w:t>
      </w:r>
      <w:r>
        <w:rPr/>
        <w:t>的委托，采用</w:t>
      </w:r>
      <w:r>
        <w:rPr/>
        <w:t>竞争性谈判</w:t>
      </w:r>
      <w:r>
        <w:rPr/>
        <w:t>方式组织采购</w:t>
      </w:r>
      <w:r>
        <w:rPr/>
        <w:t>甲类园区二次配电工程</w:t>
      </w:r>
      <w:r>
        <w:rPr/>
        <w:t>。欢迎符合资格条件的供应商参加。</w:t>
      </w:r>
    </w:p>
    <w:p>
      <w:r>
        <w:rPr>
          <w:b/>
          <w:sz w:val="28"/>
        </w:rPr>
        <w:t>一.项目概述</w:t>
      </w:r>
    </w:p>
    <w:p>
      <w:r>
        <w:rPr>
          <w:b/>
          <w:sz w:val="24"/>
        </w:rPr>
        <w:t>1.名称与编号</w:t>
      </w:r>
    </w:p>
    <w:p>
      <w:pPr>
        <w:ind w:firstLine="480"/>
      </w:pPr>
      <w:r>
        <w:rPr/>
        <w:t>项目名称：</w:t>
      </w:r>
      <w:r>
        <w:rPr/>
        <w:t>甲类园区二次配电工程</w:t>
      </w:r>
    </w:p>
    <w:p>
      <w:pPr>
        <w:ind w:firstLine="480"/>
      </w:pPr>
      <w:r>
        <w:rPr/>
        <w:t>采购计划编号：</w:t>
      </w:r>
      <w:r>
        <w:rPr/>
        <w:t>440601-2022-06164</w:t>
      </w:r>
    </w:p>
    <w:p>
      <w:pPr>
        <w:ind w:firstLine="480"/>
      </w:pPr>
      <w:r>
        <w:rPr/>
        <w:t>采购项目编号：</w:t>
      </w:r>
      <w:r>
        <w:rPr/>
        <w:t>XH2022CB-11-002（内部编号：GZGK22D259B0914T）</w:t>
      </w:r>
    </w:p>
    <w:p>
      <w:pPr>
        <w:ind w:firstLine="480"/>
      </w:pPr>
      <w:r>
        <w:rPr/>
        <w:t>采购方式：</w:t>
      </w:r>
      <w:r>
        <w:rPr/>
        <w:t>竞争性谈判</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采购包1(甲类园区二次配电工程):</w:t>
      </w:r>
    </w:p>
    <w:p>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其他电力系统安装</w:t>
            </w:r>
          </w:p>
        </w:tc>
        <w:tc>
          <w:tcPr>
            <w:tcW w:type="dxa" w:w="2136"/>
          </w:tcPr>
          <w:p>
            <w:r>
              <w:rPr/>
              <w:t>甲类园区二次配电工程</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2）有依法缴纳税收和社会保障资金的良好记录：提供响应截止日前6个月内任意1个月依法缴纳税收和社会保障资金的相关材料。如依法免税或不需要缴纳社会保障资金的，提供相应证明材料。</w:t>
      </w:r>
    </w:p>
    <w:p/>
    <w:p>
      <w:r>
        <w:rPr/>
        <w:t>3）具有良好的商业信誉和健全的财务会计制度：提供2021年度财务状况报告复印件或银行出具的资信证明复印件(新成立公司不足一年提供成立至今的月或季度财务报表复印件）或基本开户行出具的资信证明）。</w:t>
      </w:r>
    </w:p>
    <w:p/>
    <w:p>
      <w:r>
        <w:rPr/>
        <w:t>4）履行合同所必需的设备和专业技术能力：提供书面承诺声明函（格式自拟）</w:t>
      </w:r>
    </w:p>
    <w:p/>
    <w:p>
      <w:r>
        <w:rPr/>
        <w:t>5）参加采购活动前3年内，在经营活动中没有重大违法记录：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采购包1（甲类园区二次配电工程）：</w:t>
      </w:r>
      <w:r>
        <w:rPr/>
        <w:t>参与的供应商（联合体）工程的施工单位全部为符合政策要求的中小企业。</w:t>
      </w:r>
    </w:p>
    <w:p/>
    <w:p>
      <w:r>
        <w:rPr>
          <w:b/>
          <w:sz w:val="24"/>
        </w:rPr>
        <w:t>3.本项目特定的资格要求：</w:t>
      </w:r>
    </w:p>
    <w:p>
      <w:pPr>
        <w:ind w:firstLine="480"/>
      </w:pPr>
    </w:p>
    <w:p/>
    <w:p>
      <w:r>
        <w:rPr/>
        <w:t>采购包1（甲类园区二次配电工程）：</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为本项目提供整体设计、规范编制或者项目管理、监理、检测等服务的供应商，不得再参与本项目响应。 响应承诺函相关承诺要求内容。</w:t>
      </w:r>
    </w:p>
    <w:p/>
    <w:p>
      <w:r>
        <w:rPr/>
        <w:t>3)已获取本项目采购文件。</w:t>
      </w:r>
    </w:p>
    <w:p/>
    <w:p>
      <w:r>
        <w:rPr>
          <w:b/>
          <w:sz w:val="28"/>
        </w:rPr>
        <w:t>三.获取谈判文件</w:t>
      </w:r>
    </w:p>
    <w:p>
      <w:pPr>
        <w:ind w:firstLine="480"/>
      </w:pPr>
      <w:r>
        <w:rPr/>
        <w:t>时间：详见谈判公告及其变更公告（如有）</w:t>
      </w:r>
    </w:p>
    <w:p>
      <w:pPr>
        <w:ind w:firstLine="480"/>
      </w:pPr>
      <w:r>
        <w:rPr/>
        <w:t>地点：详见谈判公告及其变更公告（如有）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提交响应文件截止时间和开启时间：详见谈判公告及其变更公告（如有）（自响应文件开始发出之日起至响应供应商提交响应文件截止之日止，不得少于3日）</w:t>
      </w:r>
    </w:p>
    <w:p>
      <w:pPr>
        <w:ind w:firstLine="480"/>
      </w:pPr>
      <w:r>
        <w:rPr/>
        <w:t>地点：详见谈判公告及其变更公告（如有）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佛山仙湖实验室</w:t>
      </w:r>
    </w:p>
    <w:p>
      <w:pPr>
        <w:ind w:firstLine="480"/>
      </w:pPr>
      <w:r>
        <w:rPr/>
        <w:t>地址：</w:t>
      </w:r>
      <w:r>
        <w:rPr/>
        <w:t>广东省佛山市南海区丹灶镇仙湖度假区阳明路1号</w:t>
      </w:r>
    </w:p>
    <w:p>
      <w:pPr>
        <w:ind w:firstLine="480"/>
      </w:pPr>
      <w:r>
        <w:rPr/>
        <w:t>联系方式：</w:t>
      </w:r>
      <w:r>
        <w:rPr/>
        <w:t>0757-81229095</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r>
        <w:rPr>
          <w:b/>
          <w:sz w:val="36"/>
        </w:rPr>
        <w:t>第二章 采购需求</w:t>
      </w:r>
    </w:p>
    <w:p>
      <w:r>
        <w:rPr>
          <w:b/>
          <w:sz w:val="28"/>
        </w:rPr>
        <w:t>一、项目概况：</w:t>
      </w:r>
    </w:p>
    <w:p>
      <w:pPr>
        <w:ind w:firstLine="480"/>
      </w:pPr>
    </w:p>
    <w:p/>
    <w:p>
      <w:r>
        <w:rPr/>
        <w:t>（一）项目编号：XH2022CB-11-002（内部编号：GZGK22D259B0914T）</w:t>
      </w:r>
      <w:r>
        <w:br/>
      </w:r>
      <w:r>
        <w:rPr/>
        <w:t>（二）项目名称：甲类园区二次配电工程</w:t>
      </w:r>
      <w:r>
        <w:br/>
      </w:r>
      <w:r>
        <w:rPr/>
        <w:t>（三）总体要求说明：</w:t>
      </w:r>
      <w:r>
        <w:br/>
      </w:r>
      <w:r>
        <w:rPr/>
        <w:t>1、响应供应商须对本项目的采购标的进行整体响应，任何只对采购标的其中一部分内容进行的响应都被视为无效响应。</w:t>
      </w:r>
      <w:r>
        <w:br/>
      </w:r>
      <w:r>
        <w:rPr/>
        <w:t>2、用户需求书中标有“★”号条款为实质性条款，有任何一条负偏离则导致无效响应。</w:t>
      </w:r>
      <w:r>
        <w:br/>
      </w:r>
      <w:r>
        <w:rPr/>
        <w:t>3、用户需求书中标有“▲”号条款为重要技术参数，但不作为无效响应条款。</w:t>
      </w:r>
      <w:r>
        <w:br/>
      </w:r>
      <w:r>
        <w:rPr/>
        <w:t>4、响应报价（总价）中不得包含谈判文件要求以外的内容，否则，在评审时不予核减。若响应报价有缺漏项的，缺漏项部分的价格视为已包含在响应报价中，成交后不作任何调整。</w:t>
      </w:r>
      <w:r>
        <w:br/>
      </w:r>
      <w:r>
        <w:rPr/>
        <w:t>5、响应供应商没有在响应文件中注明偏离（文字说明或在响应表注明）的参数、配置、条款视为被响应供应商完全接受。</w:t>
      </w:r>
      <w:r>
        <w:br/>
      </w:r>
      <w:r>
        <w:rPr/>
        <w:t>6、响应供应商应保证，采购人在中华人民共和国使用该货物或货物的任何一部分时，免受第三方提出的侵犯其专利权、商标权、著作权或其它知识产权的起诉。</w:t>
      </w:r>
      <w:r>
        <w:br/>
      </w:r>
      <w:r>
        <w:rPr/>
        <w:t>7、涉及到软件产品的，必须采购和使用正版软件，项目中涉及计算机办公产品的，必须预装正版操作系统软件。</w:t>
      </w:r>
      <w:r>
        <w:br/>
      </w:r>
      <w:r>
        <w:rPr/>
        <w:t>8、不允许成交供应商转包、分包项目内容。</w:t>
      </w:r>
      <w:r>
        <w:br/>
      </w:r>
      <w:r>
        <w:rPr/>
        <w:t>9、小型和微型企业、监狱企业和残疾人福利性单位必须按照投标须知的内容提供相应的资料。</w:t>
      </w:r>
      <w:r>
        <w:br/>
      </w:r>
      <w:r>
        <w:rPr/>
        <w:t>10、需落实政府采购政策为：促进中小企业发展政策、支持监狱企业发展政策、支持残疾人福利性单位发展政策、优先采购节能产品、环境标志产品相关政策等。</w:t>
      </w:r>
      <w:r>
        <w:br/>
      </w:r>
      <w:r>
        <w:rPr/>
        <w:t>（四）其他说明：</w:t>
      </w:r>
      <w:r>
        <w:br/>
      </w:r>
      <w:r>
        <w:rPr/>
        <w:t>1、本项目开标方式为远程开标。参与全流程云平台采购项目的供应商登录云平台通过“新供应商开标大厅”进行签到及响应文件的解密，签到需在开标时间前30分钟内完成，不需要委派代表前往开标现场。</w:t>
      </w:r>
      <w:r>
        <w:br/>
      </w:r>
      <w:r>
        <w:rPr/>
        <w:t>但为了保证开标程序顺利、高效地完成，在疫情防控政策允许的前提下，响应供应商亦可委派代表携带CA-key、存储有非加密响应文件的U盘及纸质响应文件前往开标现场进行签到、解密。供应商递交投标资料的法定代表人或授权代表须凭“健康码”绿码到达开标现场递交投标资料，否则采购人与采购代理机构有权拒绝接收其响应资料,由此产生的后果由供应商自行承担。</w:t>
      </w:r>
      <w:r>
        <w:br/>
      </w:r>
      <w:r>
        <w:rPr/>
        <w:t>2、纸质响应文件邮寄地址（邮寄地址：佛山市禅城区季华二路佛山国家火炬创新创业园火炬大楼5楼501室，收件人及电话：详见项目公告的项目联系人）。响应供应商如选择邮寄响应文件，请提前安排时间邮寄，务必保证响应文件于提交响应文件截止时间前到达上述地址（以签收时间为准），并及时将快递单号发送至招标代理机构邮箱：gzgk@gzgkbidding.com。</w:t>
      </w:r>
      <w:r>
        <w:br/>
      </w:r>
      <w:r>
        <w:rPr/>
        <w:t>3、采用竞争性谈判、竞争性谈判或单一来源采购方式的项目，进入评标阶段时，如需进行谈判或磋商的，供应商登录云平台通过“等候大厅”对专家发起的谈判或磋商进行响应。</w:t>
      </w:r>
      <w:r>
        <w:br/>
      </w:r>
      <w:r>
        <w:rPr/>
        <w:t>4、上述流程中供应商电脑需提前安装CA签章客户端，并运行CA证书。</w:t>
      </w:r>
      <w:r>
        <w:br/>
      </w:r>
      <w:r>
        <w:rPr/>
        <w:t>5、请各响应供应商在编制响应文件时注意，涉及到签字或签章的地方，请按要求签字或签章后再上传系统。响应文件加密前请注意所有需要签字、签章、盖章的地方是否齐全无缺漏。请保管好CA证书的密码，如遗忘，请及时重置，以免影响响应文件的解密。</w:t>
      </w:r>
      <w:r>
        <w:br/>
      </w:r>
      <w:r>
        <w:rPr/>
        <w:t>（五）响应报价说明：</w:t>
      </w:r>
      <w:r>
        <w:br/>
      </w:r>
      <w:r>
        <w:rPr/>
        <w:t>★响应货币为人民币报价。本项目为固定总价包干，响应报价应包括但不限于：响应报价项目之所有权与风险正式转移采购人之前发生的全部成本、各税种或税项下的税款；设计、图纸、制造、供货、运输、卸车、保险、安装、调试、验收、试运行、现场服务、随机零配件、标配工具、培训、质量保证期服务、各类技术资料等费用。</w:t>
      </w:r>
      <w:r>
        <w:br/>
      </w:r>
      <w:r>
        <w:rPr/>
        <w:t>（六）项目概况</w:t>
      </w:r>
      <w:r>
        <w:br/>
      </w:r>
      <w:r>
        <w:rPr/>
        <w:t>1、项目需实现的功能或目标</w:t>
      </w:r>
      <w:r>
        <w:br/>
      </w:r>
      <w:r>
        <w:rPr/>
        <w:t>此项目为燃料电池测试二次供电解决方案的项目，是实施燃料电池测试作业的必要基础设施，为各个质子交换膜燃料电池电堆与系統（含车用）的测试台架提供进行测试所需要的二次配电。</w:t>
      </w:r>
      <w:r>
        <w:br/>
      </w:r>
      <w:r>
        <w:rPr/>
        <w:t>2、项目范围/内容</w:t>
      </w:r>
      <w:r>
        <w:br/>
      </w:r>
      <w:r>
        <w:rPr/>
        <w:t>燃料电池测试台架二次配电系统及配套设备。</w:t>
      </w:r>
    </w:p>
    <w:tbl>
      <w:tblPr>
        <w:tblW w:w="0" w:type="auto"/>
        <w:tblBorders>
          <w:top w:val="none" w:color="000000" w:sz="4"/>
          <w:left w:val="none" w:color="000000" w:sz="4"/>
          <w:bottom w:val="none" w:color="000000" w:sz="4"/>
          <w:right w:val="none" w:color="000000" w:sz="4"/>
          <w:insideH w:val="none"/>
          <w:insideV w:val="none"/>
        </w:tblBorders>
      </w:tblPr>
      <w:tblGrid>
        <w:gridCol w:w="652"/>
        <w:gridCol w:w="1781"/>
        <w:gridCol w:w="5859"/>
      </w:tblGrid>
      <w:tr>
        <w:tc>
          <w:tcPr>
            <w:tcW w:type="dxa" w:w="652"/>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781"/>
            <w:tcBorders>
              <w:top w:val="single" w:color="000000" w:sz="4"/>
              <w:left w:val="single" w:color="000000" w:sz="4"/>
              <w:bottom w:val="single" w:color="000000" w:sz="4"/>
              <w:right w:val="single" w:color="000000" w:sz="4"/>
            </w:tcBorders>
            <w:vAlign w:val="top"/>
          </w:tcPr>
          <w:p>
            <w:pPr>
              <w:jc w:val="center"/>
            </w:pPr>
            <w:r>
              <w:rPr>
                <w:b/>
                <w:color w:val="000000"/>
                <w:sz w:val="21"/>
              </w:rPr>
              <w:t>功能</w:t>
            </w:r>
          </w:p>
        </w:tc>
        <w:tc>
          <w:tcPr>
            <w:tcW w:type="dxa" w:w="5859"/>
            <w:tcBorders>
              <w:top w:val="single" w:color="000000" w:sz="4"/>
              <w:left w:val="single" w:color="000000" w:sz="4"/>
              <w:bottom w:val="single" w:color="000000" w:sz="4"/>
              <w:right w:val="single" w:color="000000" w:sz="4"/>
            </w:tcBorders>
            <w:vAlign w:val="top"/>
          </w:tcPr>
          <w:p>
            <w:pPr>
              <w:jc w:val="center"/>
            </w:pPr>
            <w:r>
              <w:rPr>
                <w:b/>
                <w:color w:val="000000"/>
                <w:sz w:val="21"/>
              </w:rPr>
              <w:t>要求</w:t>
            </w:r>
          </w:p>
        </w:tc>
      </w:tr>
      <w:tr>
        <w:tc>
          <w:tcPr>
            <w:tcW w:type="dxa" w:w="65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781"/>
            <w:tcBorders>
              <w:top w:val="none" w:color="000000" w:sz="4"/>
              <w:left w:val="single" w:color="000000" w:sz="4"/>
              <w:bottom w:val="single" w:color="000000" w:sz="4"/>
              <w:right w:val="single" w:color="000000" w:sz="4"/>
            </w:tcBorders>
            <w:vAlign w:val="top"/>
          </w:tcPr>
          <w:p>
            <w:pPr>
              <w:jc w:val="center"/>
            </w:pPr>
            <w:r>
              <w:rPr>
                <w:color w:val="000000"/>
                <w:sz w:val="21"/>
              </w:rPr>
              <w:t>二次配电供给</w:t>
            </w:r>
          </w:p>
        </w:tc>
        <w:tc>
          <w:tcPr>
            <w:tcW w:type="dxa" w:w="5859"/>
            <w:tcBorders>
              <w:top w:val="none" w:color="000000" w:sz="4"/>
              <w:left w:val="single" w:color="000000" w:sz="4"/>
              <w:bottom w:val="single" w:color="000000" w:sz="4"/>
              <w:right w:val="single" w:color="000000" w:sz="4"/>
            </w:tcBorders>
            <w:vAlign w:val="top"/>
          </w:tcPr>
          <w:p>
            <w:r>
              <w:rPr>
                <w:color w:val="000000"/>
                <w:sz w:val="21"/>
              </w:rPr>
              <w:t>为燃料电池测试台架提供二次配电，应满足不同燃料电池测试台架测试设备需求。</w:t>
            </w:r>
          </w:p>
        </w:tc>
      </w:tr>
      <w:tr>
        <w:tc>
          <w:tcPr>
            <w:tcW w:type="dxa" w:w="65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781"/>
            <w:tcBorders>
              <w:top w:val="none" w:color="000000" w:sz="4"/>
              <w:left w:val="single" w:color="000000" w:sz="4"/>
              <w:bottom w:val="single" w:color="000000" w:sz="4"/>
              <w:right w:val="single" w:color="000000" w:sz="4"/>
            </w:tcBorders>
            <w:vAlign w:val="top"/>
          </w:tcPr>
          <w:p>
            <w:pPr>
              <w:jc w:val="center"/>
            </w:pPr>
            <w:r>
              <w:rPr>
                <w:color w:val="000000"/>
                <w:sz w:val="21"/>
              </w:rPr>
              <w:t>二次配电供给</w:t>
            </w:r>
          </w:p>
        </w:tc>
        <w:tc>
          <w:tcPr>
            <w:tcW w:type="dxa" w:w="5859"/>
            <w:tcBorders>
              <w:top w:val="none" w:color="000000" w:sz="4"/>
              <w:left w:val="single" w:color="000000" w:sz="4"/>
              <w:bottom w:val="single" w:color="000000" w:sz="4"/>
              <w:right w:val="single" w:color="000000" w:sz="4"/>
            </w:tcBorders>
            <w:vAlign w:val="top"/>
          </w:tcPr>
          <w:p>
            <w:pPr>
              <w:jc w:val="both"/>
            </w:pPr>
            <w:r>
              <w:rPr>
                <w:color w:val="000000"/>
                <w:sz w:val="21"/>
              </w:rPr>
              <w:t>为电堆测试台架提供二次配电、应满足不同电堆测试台测试设备需求。</w:t>
            </w:r>
          </w:p>
        </w:tc>
      </w:tr>
      <w:tr>
        <w:tc>
          <w:tcPr>
            <w:tcW w:type="dxa" w:w="65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781"/>
            <w:tcBorders>
              <w:top w:val="none" w:color="000000" w:sz="4"/>
              <w:left w:val="single" w:color="000000" w:sz="4"/>
              <w:bottom w:val="single" w:color="000000" w:sz="4"/>
              <w:right w:val="single" w:color="000000" w:sz="4"/>
            </w:tcBorders>
            <w:vAlign w:val="top"/>
          </w:tcPr>
          <w:p>
            <w:pPr>
              <w:jc w:val="center"/>
            </w:pPr>
            <w:r>
              <w:rPr>
                <w:color w:val="000000"/>
                <w:sz w:val="21"/>
              </w:rPr>
              <w:t>二次配电供给</w:t>
            </w:r>
          </w:p>
        </w:tc>
        <w:tc>
          <w:tcPr>
            <w:tcW w:type="dxa" w:w="5859"/>
            <w:tcBorders>
              <w:top w:val="none" w:color="000000" w:sz="4"/>
              <w:left w:val="single" w:color="000000" w:sz="4"/>
              <w:bottom w:val="single" w:color="000000" w:sz="4"/>
              <w:right w:val="single" w:color="000000" w:sz="4"/>
            </w:tcBorders>
            <w:vAlign w:val="top"/>
          </w:tcPr>
          <w:p>
            <w:pPr>
              <w:jc w:val="both"/>
            </w:pPr>
            <w:r>
              <w:rPr>
                <w:color w:val="000000"/>
                <w:sz w:val="21"/>
              </w:rPr>
              <w:t>为环境舱提供二次配电、应满足不同测试设备需求。</w:t>
            </w:r>
          </w:p>
        </w:tc>
      </w:tr>
    </w:tbl>
    <w:p>
      <w:r>
        <w:rPr/>
        <w:t xml:space="preserve"> 各位点位置见附件图纸；通过电缆、桥架等为测试间设备提供稳定动力配电。</w:t>
      </w:r>
    </w:p>
    <w:p>
      <w:r>
        <w:drawing>
          <wp:inline distT="0" distR="0" distB="0" distL="0">
            <wp:extent cx="5274310" cy="42767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4276725"/>
                    </a:xfrm>
                    <a:prstGeom prst="rect">
                      <a:avLst/>
                    </a:prstGeom>
                  </pic:spPr>
                </pic:pic>
              </a:graphicData>
            </a:graphic>
          </wp:inline>
        </w:drawing>
      </w:r>
    </w:p>
    <w:p>
      <w:r>
        <w:drawing>
          <wp:inline distT="0" distR="0" distB="0" distL="0">
            <wp:extent cx="5274310" cy="46291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5274310" cy="4629150"/>
                    </a:xfrm>
                    <a:prstGeom prst="rect">
                      <a:avLst/>
                    </a:prstGeom>
                  </pic:spPr>
                </pic:pic>
              </a:graphicData>
            </a:graphic>
          </wp:inline>
        </w:drawing>
      </w:r>
    </w:p>
    <w:p>
      <w:pPr>
        <w:jc w:val="both"/>
      </w:pPr>
      <w:r>
        <w:rPr>
          <w:sz w:val="21"/>
        </w:rPr>
        <w:t>注：两个区域的运行状态应与</w:t>
      </w:r>
      <w:r>
        <w:rPr>
          <w:sz w:val="21"/>
        </w:rPr>
        <w:t>BACXR-NET</w:t>
      </w:r>
      <w:r>
        <w:rPr>
          <w:sz w:val="21"/>
        </w:rPr>
        <w:t>网关连接，接入中央控制室。</w:t>
      </w:r>
    </w:p>
    <w:p>
      <w:r>
        <w:rPr/>
        <w:t>（七）技术要求</w:t>
      </w:r>
      <w:r>
        <w:br/>
      </w:r>
      <w:r>
        <w:rPr/>
        <w:t>1、电气部分</w:t>
      </w:r>
      <w:r>
        <w:br/>
      </w:r>
      <w:r>
        <w:rPr/>
        <w:t>为测试电堆提供二次配电系统，电缆设计符合设备使用要求。</w:t>
      </w:r>
      <w:r>
        <w:br/>
      </w:r>
      <w:r>
        <w:rPr/>
        <w:t>(1)桥架走向设计合理，电缆桥架的总平面布置应做到距离最短又满足施工安装、电缆敷设的要求。</w:t>
      </w:r>
      <w:r>
        <w:br/>
      </w:r>
      <w:r>
        <w:rPr/>
        <w:t>(2)电缆线径应能够满足图纸和使用要求。</w:t>
      </w:r>
      <w:r>
        <w:br/>
      </w:r>
      <w:r>
        <w:rPr/>
        <w:t>(3)电缆或导线在桥架内不应有接头,接头应设置在接线箱内。</w:t>
      </w:r>
      <w:r>
        <w:br/>
      </w:r>
      <w:r>
        <w:rPr/>
        <w:t>(4)由支、吊、托架支撑的托盘（槽）或梯架直线段、弯通非直线段组合而成，敷设电缆具有连续性的刚性结构系统，为电缆桥架。</w:t>
      </w:r>
      <w:r>
        <w:br/>
      </w:r>
      <w:r>
        <w:rPr/>
        <w:t>(5)金属电缆桥架及支架全长应不少于2处与接地（PE）相连接。</w:t>
      </w:r>
      <w:r>
        <w:br/>
      </w:r>
      <w:r>
        <w:rPr/>
        <w:t>(6)镀锌电缆桥架间连接板的两端不跨接接地线，但连接板两端不少于2个有防松螺帽或防松垫圈的连接固定螺栓。</w:t>
      </w:r>
      <w:r>
        <w:br/>
      </w:r>
      <w:r>
        <w:rPr/>
        <w:t>(7)电缆在桥架内的填充率，电力电缆不应大于40%；控制电缆不应大于50%。并应留有一定的备用空位，以便后续增添电缆用。</w:t>
      </w:r>
      <w:r>
        <w:br/>
      </w:r>
      <w:r>
        <w:rPr/>
        <w:t>2、电缆部分</w:t>
      </w:r>
      <w:r>
        <w:br/>
      </w:r>
      <w:r>
        <w:rPr/>
        <w:t>（1）电力电缆投入运行前应测量绝缘电阻：1KV 以下的使用1KV 摇表，其值不应小于10MΩ，1KV 以上使用2.5KV 摇表，3KV 及以下的电缆绝缘电阻值不小于200MΩ，6～10KV 电缆的绝缘电阻值不小于400MΩ，20～35KV 电缆的绝缘电阻值不小于600MΩ。</w:t>
      </w:r>
      <w:r>
        <w:br/>
      </w:r>
      <w:r>
        <w:rPr/>
        <w:t>（2）电力电缆相位的测定，利用兆欧表核对电缆线路相位。</w:t>
      </w:r>
      <w:r>
        <w:br/>
      </w:r>
      <w:r>
        <w:rPr/>
        <w:t>（3）所有连接需要用专用电气接头，保证涉氢甲类厂房内的连接可靠安全。</w:t>
      </w:r>
    </w:p>
    <w:tbl>
      <w:tblPr>
        <w:tblW w:w="0" w:type="auto"/>
        <w:tblInd w:type="dxa" w:w="195"/>
        <w:tblBorders>
          <w:top w:val="none" w:color="000000" w:sz="4"/>
          <w:left w:val="none" w:color="000000" w:sz="4"/>
          <w:bottom w:val="none" w:color="000000" w:sz="4"/>
          <w:right w:val="none" w:color="000000" w:sz="4"/>
          <w:insideH w:val="none"/>
          <w:insideV w:val="none"/>
        </w:tblBorders>
      </w:tblPr>
      <w:tblGrid>
        <w:gridCol w:w="3449"/>
        <w:gridCol w:w="4842"/>
      </w:tblGrid>
      <w:tr>
        <w:tc>
          <w:tcPr>
            <w:tcW w:type="dxa" w:w="3449"/>
            <w:tcBorders>
              <w:top w:val="single" w:color="000000" w:sz="4"/>
              <w:left w:val="single" w:color="000000" w:sz="4"/>
              <w:bottom w:val="single" w:color="000000" w:sz="4"/>
              <w:right w:val="single" w:color="000000" w:sz="4"/>
            </w:tcBorders>
            <w:vAlign w:val="top"/>
          </w:tcPr>
          <w:p>
            <w:pPr>
              <w:jc w:val="center"/>
            </w:pPr>
            <w:r>
              <w:rPr>
                <w:color w:val="000000"/>
                <w:sz w:val="21"/>
              </w:rPr>
              <w:t>产品性能要求</w:t>
            </w:r>
          </w:p>
        </w:tc>
        <w:tc>
          <w:tcPr>
            <w:tcW w:type="dxa" w:w="4842"/>
            <w:tcBorders>
              <w:top w:val="single" w:color="000000" w:sz="4"/>
              <w:left w:val="single" w:color="000000" w:sz="4"/>
              <w:bottom w:val="single" w:color="000000" w:sz="4"/>
              <w:right w:val="single" w:color="000000" w:sz="4"/>
            </w:tcBorders>
            <w:vAlign w:val="top"/>
          </w:tcPr>
          <w:p>
            <w:pPr>
              <w:jc w:val="left"/>
            </w:pPr>
            <w:r>
              <w:rPr>
                <w:sz w:val="21"/>
              </w:rPr>
              <w:t>电缆规格：</w:t>
            </w:r>
          </w:p>
          <w:p>
            <w:pPr>
              <w:jc w:val="left"/>
            </w:pPr>
            <w:r>
              <w:rPr>
                <w:sz w:val="21"/>
              </w:rPr>
              <w:t>YJV3*70+2*35</w:t>
            </w:r>
          </w:p>
          <w:p>
            <w:pPr>
              <w:jc w:val="left"/>
            </w:pPr>
            <w:r>
              <w:rPr>
                <w:sz w:val="21"/>
              </w:rPr>
              <w:t>YJV3*95+2*50</w:t>
            </w:r>
          </w:p>
          <w:p>
            <w:pPr>
              <w:jc w:val="left"/>
            </w:pPr>
            <w:r>
              <w:rPr>
                <w:sz w:val="21"/>
              </w:rPr>
              <w:t>YJV3*150+2*70</w:t>
            </w:r>
          </w:p>
          <w:p>
            <w:pPr>
              <w:jc w:val="left"/>
            </w:pPr>
            <w:r>
              <w:rPr>
                <w:sz w:val="21"/>
              </w:rPr>
              <w:t>YJV3*50+2*25</w:t>
            </w:r>
          </w:p>
          <w:p>
            <w:pPr>
              <w:jc w:val="left"/>
            </w:pPr>
            <w:r>
              <w:rPr>
                <w:sz w:val="21"/>
              </w:rPr>
              <w:t>YJV3*240+2*120</w:t>
            </w:r>
          </w:p>
          <w:p>
            <w:pPr>
              <w:jc w:val="left"/>
            </w:pPr>
            <w:r>
              <w:rPr>
                <w:sz w:val="21"/>
              </w:rPr>
              <w:t>YJV3*25+2*16</w:t>
            </w:r>
          </w:p>
          <w:p>
            <w:pPr>
              <w:jc w:val="left"/>
            </w:pPr>
            <w:r>
              <w:rPr>
                <w:sz w:val="21"/>
              </w:rPr>
              <w:t>YJV3*6+2*6</w:t>
            </w:r>
          </w:p>
          <w:p>
            <w:pPr>
              <w:jc w:val="left"/>
            </w:pPr>
            <w:r>
              <w:rPr>
                <w:sz w:val="21"/>
              </w:rPr>
              <w:t>YJV3*35</w:t>
            </w:r>
          </w:p>
          <w:p>
            <w:pPr>
              <w:jc w:val="left"/>
            </w:pPr>
            <w:r>
              <w:rPr>
                <w:sz w:val="21"/>
              </w:rPr>
              <w:t>YJV3*35+2*16</w:t>
            </w:r>
          </w:p>
          <w:p>
            <w:pPr>
              <w:jc w:val="left"/>
            </w:pPr>
            <w:r>
              <w:rPr>
                <w:sz w:val="21"/>
              </w:rPr>
              <w:t>YJV3*120+2*70</w:t>
            </w:r>
          </w:p>
          <w:p>
            <w:pPr>
              <w:jc w:val="left"/>
            </w:pPr>
            <w:r>
              <w:rPr>
                <w:sz w:val="21"/>
              </w:rPr>
              <w:t>YJV3*16+2*16</w:t>
            </w:r>
          </w:p>
          <w:p>
            <w:pPr>
              <w:jc w:val="left"/>
            </w:pPr>
            <w:r>
              <w:rPr>
                <w:sz w:val="21"/>
              </w:rPr>
              <w:t>桥架规格：</w:t>
            </w:r>
            <w:r>
              <w:rPr>
                <w:sz w:val="21"/>
              </w:rPr>
              <w:t>300*100等</w:t>
            </w:r>
          </w:p>
          <w:p>
            <w:pPr>
              <w:jc w:val="left"/>
            </w:pPr>
            <w:r>
              <w:rPr>
                <w:sz w:val="21"/>
              </w:rPr>
              <w:t>产品型号：</w:t>
            </w:r>
            <w:r>
              <w:rPr>
                <w:sz w:val="21"/>
              </w:rPr>
              <w:t>YJV</w:t>
            </w:r>
          </w:p>
          <w:p>
            <w:pPr>
              <w:jc w:val="left"/>
            </w:pPr>
            <w:r>
              <w:rPr>
                <w:sz w:val="21"/>
              </w:rPr>
              <w:t>额定电压：</w:t>
            </w:r>
            <w:r>
              <w:rPr>
                <w:sz w:val="21"/>
              </w:rPr>
              <w:t>0.6/1KV</w:t>
            </w:r>
          </w:p>
          <w:p>
            <w:pPr>
              <w:jc w:val="left"/>
            </w:pPr>
            <w:r>
              <w:rPr>
                <w:sz w:val="21"/>
              </w:rPr>
              <w:t>执行标准：</w:t>
            </w:r>
            <w:r>
              <w:rPr>
                <w:sz w:val="21"/>
              </w:rPr>
              <w:t>GB/T12706.1-2020</w:t>
            </w:r>
          </w:p>
        </w:tc>
      </w:tr>
    </w:tbl>
    <w:p>
      <w:r>
        <w:rPr/>
        <w:t xml:space="preserve"> （八）需执行国家相关标准、行业标准、地方标准或者其他标准、规范</w:t>
      </w:r>
    </w:p>
    <w:p>
      <w:r>
        <w:rPr/>
        <w:t xml:space="preserve"> </w:t>
      </w:r>
    </w:p>
    <w:p>
      <w:pPr>
        <w:jc w:val="both"/>
      </w:pPr>
      <w:r>
        <w:rPr>
          <w:b/>
          <w:color w:val="000000"/>
          <w:sz w:val="21"/>
        </w:rPr>
        <w:t>佛山仙湖实验室设备验收标准模板</w:t>
      </w:r>
    </w:p>
    <w:p>
      <w:pPr>
        <w:jc w:val="left"/>
      </w:pPr>
      <w:r>
        <w:rPr>
          <w:color w:val="000000"/>
          <w:sz w:val="21"/>
        </w:rPr>
        <w:t>项目名称：</w:t>
      </w:r>
      <w:r>
        <w:rPr>
          <w:sz w:val="21"/>
          <w:u w:val="single"/>
        </w:rPr>
        <w:t xml:space="preserve"> </w:t>
      </w:r>
      <w:r>
        <w:rPr>
          <w:color w:val="000000"/>
          <w:sz w:val="21"/>
          <w:u w:val="single"/>
        </w:rPr>
        <w:t>甲类园区二次配电工程</w:t>
      </w:r>
      <w:r>
        <w:rPr>
          <w:sz w:val="21"/>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127"/>
        <w:gridCol w:w="1726"/>
        <w:gridCol w:w="4453"/>
      </w:tblGrid>
      <w:tr>
        <w:tc>
          <w:tcPr>
            <w:tcW w:type="dxa" w:w="2127"/>
            <w:tcBorders>
              <w:top w:val="single" w:color="000000" w:sz="4"/>
              <w:left w:val="single" w:color="000000" w:sz="4"/>
              <w:bottom w:val="single" w:color="000000" w:sz="4"/>
              <w:right w:val="single" w:color="000000" w:sz="4"/>
            </w:tcBorders>
            <w:vAlign w:val="top"/>
          </w:tcPr>
          <w:p>
            <w:pPr>
              <w:jc w:val="center"/>
            </w:pPr>
            <w:r>
              <w:rPr>
                <w:color w:val="000000"/>
                <w:sz w:val="21"/>
              </w:rPr>
              <w:t>项目</w:t>
            </w:r>
          </w:p>
        </w:tc>
        <w:tc>
          <w:tcPr>
            <w:tcW w:type="dxa" w:w="1726"/>
            <w:tcBorders>
              <w:top w:val="single" w:color="000000" w:sz="4"/>
              <w:left w:val="single" w:color="000000" w:sz="4"/>
              <w:bottom w:val="single" w:color="000000" w:sz="4"/>
              <w:right w:val="single" w:color="000000" w:sz="4"/>
            </w:tcBorders>
            <w:vAlign w:val="top"/>
          </w:tcPr>
          <w:p>
            <w:pPr>
              <w:jc w:val="center"/>
            </w:pPr>
            <w:r>
              <w:rPr>
                <w:color w:val="000000"/>
                <w:sz w:val="21"/>
              </w:rPr>
              <w:t>验收内容</w:t>
            </w:r>
          </w:p>
        </w:tc>
        <w:tc>
          <w:tcPr>
            <w:tcW w:type="dxa" w:w="4453"/>
            <w:tcBorders>
              <w:top w:val="single" w:color="000000" w:sz="4"/>
              <w:left w:val="single" w:color="000000" w:sz="4"/>
              <w:bottom w:val="single" w:color="000000" w:sz="4"/>
              <w:right w:val="single" w:color="000000" w:sz="4"/>
            </w:tcBorders>
            <w:vAlign w:val="top"/>
          </w:tcPr>
          <w:p>
            <w:pPr>
              <w:jc w:val="center"/>
            </w:pPr>
            <w:r>
              <w:rPr>
                <w:color w:val="000000"/>
                <w:sz w:val="21"/>
              </w:rPr>
              <w:t>验收要求</w:t>
            </w:r>
          </w:p>
        </w:tc>
      </w:tr>
      <w:tr>
        <w:tc>
          <w:tcPr>
            <w:tcW w:type="dxa" w:w="2127"/>
            <w:vMerge w:val="restart"/>
            <w:tcBorders>
              <w:top w:val="none" w:color="000000" w:sz="4"/>
              <w:left w:val="single" w:color="000000" w:sz="4"/>
              <w:bottom w:val="single" w:color="000000" w:sz="4"/>
              <w:right w:val="single" w:color="000000" w:sz="4"/>
            </w:tcBorders>
            <w:vAlign w:val="top"/>
          </w:tcPr>
          <w:p>
            <w:pPr>
              <w:jc w:val="center"/>
            </w:pPr>
            <w:r>
              <w:rPr>
                <w:color w:val="000000"/>
                <w:sz w:val="21"/>
              </w:rPr>
              <w:t>开箱验收</w:t>
            </w:r>
          </w:p>
        </w:tc>
        <w:tc>
          <w:tcPr>
            <w:tcW w:type="dxa" w:w="1726"/>
            <w:tcBorders>
              <w:top w:val="none" w:color="000000" w:sz="4"/>
              <w:left w:val="single" w:color="000000" w:sz="4"/>
              <w:bottom w:val="single" w:color="000000" w:sz="4"/>
              <w:right w:val="single" w:color="000000" w:sz="4"/>
            </w:tcBorders>
            <w:vAlign w:val="top"/>
          </w:tcPr>
          <w:p>
            <w:pPr>
              <w:jc w:val="center"/>
            </w:pPr>
            <w:r>
              <w:rPr>
                <w:color w:val="000000"/>
                <w:sz w:val="21"/>
              </w:rPr>
              <w:t>包装外观</w:t>
            </w:r>
          </w:p>
        </w:tc>
        <w:tc>
          <w:tcPr>
            <w:tcW w:type="dxa" w:w="4453"/>
            <w:tcBorders>
              <w:top w:val="none" w:color="000000" w:sz="4"/>
              <w:left w:val="single" w:color="000000" w:sz="4"/>
              <w:bottom w:val="single" w:color="000000" w:sz="4"/>
              <w:right w:val="single" w:color="000000" w:sz="4"/>
            </w:tcBorders>
            <w:vAlign w:val="top"/>
          </w:tcPr>
          <w:p>
            <w:pPr>
              <w:jc w:val="center"/>
            </w:pPr>
            <w:r>
              <w:rPr>
                <w:color w:val="000000"/>
                <w:sz w:val="21"/>
              </w:rPr>
              <w:t>包装外壳需要完整、无碰撞、无明显破损</w:t>
            </w:r>
          </w:p>
        </w:tc>
      </w:tr>
      <w:tr>
        <w:tc>
          <w:tcPr>
            <w:tcW w:type="dxa" w:w="2127"/>
            <w:vMerge/>
            <w:tcBorders>
              <w:top w:val="none" w:color="000000" w:sz="4"/>
              <w:left w:val="single" w:color="000000" w:sz="4"/>
              <w:bottom w:val="single" w:color="000000" w:sz="4"/>
              <w:right w:val="single" w:color="000000" w:sz="4"/>
            </w:tcBorders>
          </w:tcPr>
          <w:p/>
        </w:tc>
        <w:tc>
          <w:tcPr>
            <w:tcW w:type="dxa" w:w="1726"/>
            <w:tcBorders>
              <w:top w:val="none" w:color="000000" w:sz="4"/>
              <w:left w:val="single" w:color="000000" w:sz="4"/>
              <w:bottom w:val="single" w:color="000000" w:sz="4"/>
              <w:right w:val="single" w:color="000000" w:sz="4"/>
            </w:tcBorders>
            <w:vAlign w:val="top"/>
          </w:tcPr>
          <w:p>
            <w:pPr>
              <w:jc w:val="center"/>
            </w:pPr>
            <w:r>
              <w:rPr>
                <w:color w:val="000000"/>
                <w:sz w:val="21"/>
              </w:rPr>
              <w:t>设备外观</w:t>
            </w:r>
          </w:p>
        </w:tc>
        <w:tc>
          <w:tcPr>
            <w:tcW w:type="dxa" w:w="4453"/>
            <w:tcBorders>
              <w:top w:val="none" w:color="000000" w:sz="4"/>
              <w:left w:val="single" w:color="000000" w:sz="4"/>
              <w:bottom w:val="single" w:color="000000" w:sz="4"/>
              <w:right w:val="single" w:color="000000" w:sz="4"/>
            </w:tcBorders>
            <w:vAlign w:val="top"/>
          </w:tcPr>
          <w:p>
            <w:pPr>
              <w:jc w:val="center"/>
            </w:pPr>
            <w:r>
              <w:rPr>
                <w:color w:val="000000"/>
                <w:sz w:val="21"/>
              </w:rPr>
              <w:t>设备外观无严重的碰撞及表面漆皮脱落、无锈蚀</w:t>
            </w:r>
          </w:p>
        </w:tc>
      </w:tr>
      <w:tr>
        <w:tc>
          <w:tcPr>
            <w:tcW w:type="dxa" w:w="2127"/>
            <w:vMerge/>
            <w:tcBorders>
              <w:top w:val="none" w:color="000000" w:sz="4"/>
              <w:left w:val="single" w:color="000000" w:sz="4"/>
              <w:bottom w:val="single" w:color="000000" w:sz="4"/>
              <w:right w:val="single" w:color="000000" w:sz="4"/>
            </w:tcBorders>
          </w:tcPr>
          <w:p/>
        </w:tc>
        <w:tc>
          <w:tcPr>
            <w:tcW w:type="dxa" w:w="1726"/>
            <w:tcBorders>
              <w:top w:val="none" w:color="000000" w:sz="4"/>
              <w:left w:val="single" w:color="000000" w:sz="4"/>
              <w:bottom w:val="single" w:color="000000" w:sz="4"/>
              <w:right w:val="single" w:color="000000" w:sz="4"/>
            </w:tcBorders>
            <w:vAlign w:val="top"/>
          </w:tcPr>
          <w:p>
            <w:pPr>
              <w:jc w:val="center"/>
            </w:pPr>
            <w:r>
              <w:rPr>
                <w:color w:val="000000"/>
                <w:sz w:val="21"/>
              </w:rPr>
              <w:t>随机资料</w:t>
            </w:r>
          </w:p>
        </w:tc>
        <w:tc>
          <w:tcPr>
            <w:tcW w:type="dxa" w:w="4453"/>
            <w:tcBorders>
              <w:top w:val="none" w:color="000000" w:sz="4"/>
              <w:left w:val="single" w:color="000000" w:sz="4"/>
              <w:bottom w:val="single" w:color="000000" w:sz="4"/>
              <w:right w:val="single" w:color="000000" w:sz="4"/>
            </w:tcBorders>
            <w:vAlign w:val="top"/>
          </w:tcPr>
          <w:p>
            <w:pPr>
              <w:jc w:val="center"/>
            </w:pPr>
            <w:r>
              <w:rPr>
                <w:color w:val="000000"/>
                <w:sz w:val="21"/>
              </w:rPr>
              <w:t>合格证</w:t>
            </w:r>
          </w:p>
        </w:tc>
      </w:tr>
      <w:tr>
        <w:tc>
          <w:tcPr>
            <w:tcW w:type="dxa" w:w="2127"/>
            <w:vMerge/>
            <w:tcBorders>
              <w:top w:val="none" w:color="000000" w:sz="4"/>
              <w:left w:val="single" w:color="000000" w:sz="4"/>
              <w:bottom w:val="single" w:color="000000" w:sz="4"/>
              <w:right w:val="single" w:color="000000" w:sz="4"/>
            </w:tcBorders>
          </w:tcPr>
          <w:p/>
        </w:tc>
        <w:tc>
          <w:tcPr>
            <w:tcW w:type="dxa" w:w="1726"/>
            <w:tcBorders>
              <w:top w:val="none" w:color="000000" w:sz="4"/>
              <w:left w:val="single" w:color="000000" w:sz="4"/>
              <w:bottom w:val="single" w:color="000000" w:sz="4"/>
              <w:right w:val="single" w:color="000000" w:sz="4"/>
            </w:tcBorders>
            <w:vAlign w:val="top"/>
          </w:tcPr>
          <w:p>
            <w:pPr>
              <w:jc w:val="center"/>
            </w:pPr>
            <w:r>
              <w:rPr>
                <w:color w:val="000000"/>
                <w:sz w:val="21"/>
              </w:rPr>
              <w:t>随机备件</w:t>
            </w:r>
          </w:p>
        </w:tc>
        <w:tc>
          <w:tcPr>
            <w:tcW w:type="dxa" w:w="4453"/>
            <w:tcBorders>
              <w:top w:val="none" w:color="000000" w:sz="4"/>
              <w:left w:val="single" w:color="000000" w:sz="4"/>
              <w:bottom w:val="single" w:color="000000" w:sz="4"/>
              <w:right w:val="single" w:color="000000" w:sz="4"/>
            </w:tcBorders>
            <w:vAlign w:val="top"/>
          </w:tcPr>
          <w:p>
            <w:pPr>
              <w:jc w:val="center"/>
            </w:pPr>
            <w:r>
              <w:rPr>
                <w:color w:val="000000"/>
                <w:sz w:val="21"/>
              </w:rPr>
              <w:t>装配工具应配备完全</w:t>
            </w:r>
          </w:p>
        </w:tc>
      </w:tr>
      <w:tr>
        <w:tc>
          <w:tcPr>
            <w:tcW w:type="dxa" w:w="2127"/>
            <w:vMerge w:val="restart"/>
            <w:tcBorders>
              <w:top w:val="none" w:color="000000" w:sz="4"/>
              <w:left w:val="single" w:color="000000" w:sz="4"/>
              <w:bottom w:val="single" w:color="000000" w:sz="4"/>
              <w:right w:val="single" w:color="000000" w:sz="4"/>
            </w:tcBorders>
            <w:vAlign w:val="top"/>
          </w:tcPr>
          <w:p>
            <w:pPr>
              <w:jc w:val="center"/>
            </w:pPr>
            <w:r>
              <w:rPr>
                <w:color w:val="000000"/>
                <w:sz w:val="21"/>
              </w:rPr>
              <w:t>试运行验收</w:t>
            </w:r>
          </w:p>
        </w:tc>
        <w:tc>
          <w:tcPr>
            <w:tcW w:type="dxa" w:w="1726"/>
            <w:tcBorders>
              <w:top w:val="none" w:color="000000" w:sz="4"/>
              <w:left w:val="single" w:color="000000" w:sz="4"/>
              <w:bottom w:val="single" w:color="000000" w:sz="4"/>
              <w:right w:val="single" w:color="000000" w:sz="4"/>
            </w:tcBorders>
            <w:vAlign w:val="top"/>
          </w:tcPr>
          <w:p>
            <w:pPr>
              <w:jc w:val="center"/>
            </w:pPr>
            <w:r>
              <w:rPr>
                <w:color w:val="000000"/>
                <w:sz w:val="21"/>
              </w:rPr>
              <w:t>运行状态</w:t>
            </w:r>
          </w:p>
        </w:tc>
        <w:tc>
          <w:tcPr>
            <w:tcW w:type="dxa" w:w="4453"/>
            <w:tcBorders>
              <w:top w:val="none" w:color="000000" w:sz="4"/>
              <w:left w:val="single" w:color="000000" w:sz="4"/>
              <w:bottom w:val="single" w:color="000000" w:sz="4"/>
              <w:right w:val="single" w:color="000000" w:sz="4"/>
            </w:tcBorders>
            <w:vAlign w:val="top"/>
          </w:tcPr>
          <w:p>
            <w:pPr>
              <w:jc w:val="center"/>
            </w:pPr>
            <w:r>
              <w:rPr>
                <w:color w:val="000000"/>
                <w:sz w:val="21"/>
              </w:rPr>
              <w:t>试运行期间，设备工作能力必须达到技术协议规定。</w:t>
            </w:r>
          </w:p>
        </w:tc>
      </w:tr>
      <w:tr>
        <w:tc>
          <w:tcPr>
            <w:tcW w:type="dxa" w:w="2127"/>
            <w:vMerge/>
            <w:tcBorders>
              <w:top w:val="none" w:color="000000" w:sz="4"/>
              <w:left w:val="single" w:color="000000" w:sz="4"/>
              <w:bottom w:val="single" w:color="000000" w:sz="4"/>
              <w:right w:val="single" w:color="000000" w:sz="4"/>
            </w:tcBorders>
          </w:tcPr>
          <w:p/>
        </w:tc>
        <w:tc>
          <w:tcPr>
            <w:tcW w:type="dxa" w:w="1726"/>
            <w:tcBorders>
              <w:top w:val="none" w:color="000000" w:sz="4"/>
              <w:left w:val="single" w:color="000000" w:sz="4"/>
              <w:bottom w:val="single" w:color="000000" w:sz="4"/>
              <w:right w:val="single" w:color="000000" w:sz="4"/>
            </w:tcBorders>
            <w:vAlign w:val="top"/>
          </w:tcPr>
          <w:p>
            <w:pPr>
              <w:jc w:val="center"/>
            </w:pPr>
            <w:r>
              <w:rPr>
                <w:color w:val="000000"/>
                <w:sz w:val="21"/>
              </w:rPr>
              <w:t>仪器仪表</w:t>
            </w:r>
          </w:p>
        </w:tc>
        <w:tc>
          <w:tcPr>
            <w:tcW w:type="dxa" w:w="4453"/>
            <w:tcBorders>
              <w:top w:val="none" w:color="000000" w:sz="4"/>
              <w:left w:val="single" w:color="000000" w:sz="4"/>
              <w:bottom w:val="single" w:color="000000" w:sz="4"/>
              <w:right w:val="single" w:color="000000" w:sz="4"/>
            </w:tcBorders>
            <w:vAlign w:val="top"/>
          </w:tcPr>
          <w:p>
            <w:pPr>
              <w:jc w:val="center"/>
            </w:pPr>
            <w:r>
              <w:rPr>
                <w:color w:val="000000"/>
                <w:sz w:val="21"/>
              </w:rPr>
              <w:t>符合采购文件要求</w:t>
            </w:r>
          </w:p>
        </w:tc>
      </w:tr>
      <w:tr>
        <w:tc>
          <w:tcPr>
            <w:tcW w:type="dxa" w:w="2127"/>
            <w:vMerge/>
            <w:tcBorders>
              <w:top w:val="none" w:color="000000" w:sz="4"/>
              <w:left w:val="single" w:color="000000" w:sz="4"/>
              <w:bottom w:val="single" w:color="000000" w:sz="4"/>
              <w:right w:val="single" w:color="000000" w:sz="4"/>
            </w:tcBorders>
          </w:tcPr>
          <w:p/>
        </w:tc>
        <w:tc>
          <w:tcPr>
            <w:tcW w:type="dxa" w:w="1726"/>
            <w:tcBorders>
              <w:top w:val="none" w:color="000000" w:sz="4"/>
              <w:left w:val="single" w:color="000000" w:sz="4"/>
              <w:bottom w:val="single" w:color="000000" w:sz="4"/>
              <w:right w:val="single" w:color="000000" w:sz="4"/>
            </w:tcBorders>
            <w:vAlign w:val="top"/>
          </w:tcPr>
          <w:p>
            <w:pPr>
              <w:jc w:val="center"/>
            </w:pPr>
            <w:r>
              <w:rPr>
                <w:color w:val="000000"/>
                <w:sz w:val="21"/>
              </w:rPr>
              <w:t>安全机制</w:t>
            </w:r>
          </w:p>
        </w:tc>
        <w:tc>
          <w:tcPr>
            <w:tcW w:type="dxa" w:w="4453"/>
            <w:tcBorders>
              <w:top w:val="none" w:color="000000" w:sz="4"/>
              <w:left w:val="single" w:color="000000" w:sz="4"/>
              <w:bottom w:val="single" w:color="000000" w:sz="4"/>
              <w:right w:val="single" w:color="000000" w:sz="4"/>
            </w:tcBorders>
            <w:vAlign w:val="top"/>
          </w:tcPr>
          <w:p>
            <w:pPr>
              <w:jc w:val="center"/>
            </w:pPr>
            <w:r>
              <w:rPr>
                <w:color w:val="000000"/>
                <w:sz w:val="21"/>
              </w:rPr>
              <w:t>设备的附属设备、安全附件、仪表等应齐全，运行正常，无其他技术隐患。</w:t>
            </w:r>
          </w:p>
        </w:tc>
      </w:tr>
      <w:tr>
        <w:tc>
          <w:tcPr>
            <w:tcW w:type="dxa" w:w="2127"/>
            <w:vMerge w:val="restart"/>
            <w:tcBorders>
              <w:top w:val="none" w:color="000000" w:sz="4"/>
              <w:left w:val="single" w:color="000000" w:sz="4"/>
              <w:bottom w:val="single" w:color="000000" w:sz="4"/>
              <w:right w:val="single" w:color="000000" w:sz="4"/>
            </w:tcBorders>
            <w:vAlign w:val="top"/>
          </w:tcPr>
          <w:p>
            <w:pPr>
              <w:jc w:val="center"/>
            </w:pPr>
            <w:r>
              <w:rPr>
                <w:color w:val="000000"/>
                <w:sz w:val="21"/>
              </w:rPr>
              <w:t>合同验收</w:t>
            </w:r>
          </w:p>
        </w:tc>
        <w:tc>
          <w:tcPr>
            <w:tcW w:type="dxa" w:w="1726"/>
            <w:tcBorders>
              <w:top w:val="none" w:color="000000" w:sz="4"/>
              <w:left w:val="single" w:color="000000" w:sz="4"/>
              <w:bottom w:val="single" w:color="000000" w:sz="4"/>
              <w:right w:val="single" w:color="000000" w:sz="4"/>
            </w:tcBorders>
            <w:vAlign w:val="top"/>
          </w:tcPr>
          <w:p>
            <w:pPr>
              <w:jc w:val="center"/>
            </w:pPr>
            <w:r>
              <w:rPr>
                <w:color w:val="000000"/>
                <w:sz w:val="21"/>
              </w:rPr>
              <w:t>性能验收</w:t>
            </w:r>
          </w:p>
        </w:tc>
        <w:tc>
          <w:tcPr>
            <w:tcW w:type="dxa" w:w="4453"/>
            <w:tcBorders>
              <w:top w:val="none" w:color="000000" w:sz="4"/>
              <w:left w:val="single" w:color="000000" w:sz="4"/>
              <w:bottom w:val="single" w:color="000000" w:sz="4"/>
              <w:right w:val="single" w:color="000000" w:sz="4"/>
            </w:tcBorders>
            <w:vAlign w:val="top"/>
          </w:tcPr>
          <w:p>
            <w:pPr>
              <w:jc w:val="center"/>
            </w:pPr>
            <w:r>
              <w:rPr>
                <w:color w:val="000000"/>
                <w:sz w:val="21"/>
              </w:rPr>
              <w:t>符合采购文件要求</w:t>
            </w:r>
          </w:p>
        </w:tc>
      </w:tr>
      <w:tr>
        <w:tc>
          <w:tcPr>
            <w:tcW w:type="dxa" w:w="2127"/>
            <w:vMerge/>
            <w:tcBorders>
              <w:top w:val="none" w:color="000000" w:sz="4"/>
              <w:left w:val="single" w:color="000000" w:sz="4"/>
              <w:bottom w:val="single" w:color="000000" w:sz="4"/>
              <w:right w:val="single" w:color="000000" w:sz="4"/>
            </w:tcBorders>
          </w:tcPr>
          <w:p/>
        </w:tc>
        <w:tc>
          <w:tcPr>
            <w:tcW w:type="dxa" w:w="1726"/>
            <w:tcBorders>
              <w:top w:val="none" w:color="000000" w:sz="4"/>
              <w:left w:val="single" w:color="000000" w:sz="4"/>
              <w:bottom w:val="single" w:color="000000" w:sz="4"/>
              <w:right w:val="single" w:color="000000" w:sz="4"/>
            </w:tcBorders>
            <w:vAlign w:val="top"/>
          </w:tcPr>
          <w:p>
            <w:pPr>
              <w:jc w:val="center"/>
            </w:pPr>
            <w:r>
              <w:rPr>
                <w:color w:val="000000"/>
                <w:sz w:val="21"/>
              </w:rPr>
              <w:t>重复性、负载验收</w:t>
            </w:r>
          </w:p>
        </w:tc>
        <w:tc>
          <w:tcPr>
            <w:tcW w:type="dxa" w:w="4453"/>
            <w:tcBorders>
              <w:top w:val="none" w:color="000000" w:sz="4"/>
              <w:left w:val="single" w:color="000000" w:sz="4"/>
              <w:bottom w:val="single" w:color="000000" w:sz="4"/>
              <w:right w:val="single" w:color="000000" w:sz="4"/>
            </w:tcBorders>
            <w:vAlign w:val="top"/>
          </w:tcPr>
          <w:p>
            <w:pPr>
              <w:jc w:val="center"/>
            </w:pPr>
            <w:r>
              <w:rPr>
                <w:color w:val="000000"/>
                <w:sz w:val="21"/>
              </w:rPr>
              <w:t>设备正常时候用</w:t>
            </w:r>
            <w:r>
              <w:rPr>
                <w:color w:val="000000"/>
                <w:sz w:val="21"/>
              </w:rPr>
              <w:t>10次，不出现任何测试失败，并且在测试过程中各参数都能准确无误。</w:t>
            </w:r>
          </w:p>
        </w:tc>
      </w:tr>
    </w:tbl>
    <w:p/>
    <w:p>
      <w:pPr>
        <w:ind w:firstLine="480"/>
      </w:pPr>
    </w:p>
    <w:p/>
    <w:p>
      <w:r>
        <w:rPr/>
        <w:t>采购包1（甲类园区二次配电工程）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合同签订之日起的 30 日内，将标的物运送至采购人指定的地点并安装、调试和试运行（费用包含在合同总价之中）。</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1期：支付比例100%,★合同款项支付阶段和比例如下： 1、合同签订生效之日起，且收到成交供应商提供30%增值税专用发票后10个工作日内采购人支付合同总价的30%；收款方、出具发票方必须与成交供应商名称一致。 2、所有设备安装调试完毕并由采购人总体验收合格之日起，且收到成交供应商提供70%增值税专用发票后10个工作日内采购人支付合同总价的67%；收款方、出具发票方必须与成交供应商名称一致。 3、成交供应商没有待解决的质量问题或质量问题已全部按质保期服务的规定妥善解决的，采购人在货物连续安全使用满十二个月后且收到成交供应商提供的书面《付款申请书》之日起的10个工作日内支付合同总价的3%。 4、成交供应商未按约定的时限向采购人提供有效、完整齐备的发票、票据、单证或凭证等文件的，则合同款之支付时间顺延且采购人不承担违约责任。</w:t>
            </w:r>
          </w:p>
        </w:tc>
      </w:tr>
      <w:tr>
        <w:tc>
          <w:tcPr>
            <w:tcW w:type="dxa" w:w="4153"/>
          </w:tcPr>
          <w:p>
            <w:r>
              <w:rPr/>
              <w:t>验收要求</w:t>
            </w:r>
          </w:p>
        </w:tc>
        <w:tc>
          <w:tcPr>
            <w:tcW w:type="dxa" w:w="4153"/>
          </w:tcPr>
          <w:p/>
          <w:p/>
          <w:p/>
          <w:p>
            <w:r>
              <w:rPr/>
              <w:t>1期：1、货物送到采购人指定地点后由采购人负责对货物的数量、型号、外观标识、包装、配套附件、技术资料文件等进行签收，签收成功后成交供应商对货物进行安装、调试和试运行。 2、试运行期期间内所产生的维修、调试、修复、复检、重新安装、差旅费等费用全部由成交供应商承担，成交供应商应当于安装、调试和试运行完成之次日（工作日），向采购人提交要求确认货物总体验收合格之书面申请。采购人应当在收到该书面申请后5个工作日内复核，并根据采购人验收制度和设备实际情况组织验收小组进行验收。符合约定的质量标准的，签发《验收报告》；否则《验收报告》不予签发。 3、如因质量发生争议，由双方共同委托佛山市市场监督管理部门或佛山市内具有法定资质的鉴定机构进行质量鉴定。其鉴定结论对双方均具有法律约束力。货物符合质量标准的，鉴定费由采购人承担；不符合的，鉴定费由成交供应商承担。 4、佛山仙湖实验室设备验收标准模板，详见项目概况“佛山仙湖实验室设备验收标准模板”</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★交货期，合同签订之日起的 30 日内，将标的物运送至采购人指定的地点并安装、调试和试运行（费用包含在合同总价之中）。</w:t>
            </w:r>
          </w:p>
          <w:p/>
          <w:p>
            <w:r>
              <w:rPr/>
              <w:t>包装与运输，（1）成交供应商应采取相应安全措施对货物进行包装和运输，确保货物安全无损地到达合同指定地点。 （2）包装箱及每一附件应注明货物名称、型号、件数、附件品名与数量，包装箱内应附有产品说明书、使用说明书或用户手册、质检合格证书、商检证明等。</w:t>
            </w:r>
          </w:p>
          <w:p/>
          <w:p>
            <w:r>
              <w:rPr/>
              <w:t>保险，货物从出厂运至采购人指定地点的保险费用须包含在响应报价中。</w:t>
            </w:r>
          </w:p>
          <w:p/>
          <w:p>
            <w:r>
              <w:rPr/>
              <w:t>安装与调试，（1）成交供应商应将货物送达并安装于采购人指定的地点或场所：佛山仙湖实验室。 （2）成交供应商应当派遣相应的专业技术人员进行安装、调试，应按图施工，并不得对采购人的既存权利造成损害。对采购人在安装、调试、交付过程中发生的生产安全事故，采购人不承担任何法律责任，全部由成交供应商负责。 （3）遵守国家或地方政府及有关部门对施工现场管理的规定，妥善保护好施工现场周围设备管线不受损坏。处理好由于施工带来的扰民问题。做好施工现场保卫和垃圾消纳等工作，并承担相应费用。</w:t>
            </w:r>
          </w:p>
          <w:p/>
          <w:p>
            <w:r>
              <w:rPr/>
              <w:t>★技术培训，有关技术培训或咨询服务的约定：培训主要内容包括但不限于以下： （1）二次配电系统的基本知识讲解； （2）二次配电系统的基础知识与结构； （3）进行各项目的调试，工程师指导采购人进行实际操作，并模拟采购人用户日常工作过程，进行实际样品的测量； （4）讲解系统的日常维护保养方法，介绍二次配电系统常见故障维修方法； （5）提供相应的培训材料，培训材料应当符合标准，用中文书写，包括本系统操作介绍、系统内相关设备操作规范等； （6）二次配电系统处理过程中的质量控制、操作规程、保养与管理、常见故障的排除、紧急情况的处理。 （7）现场培训时间不少于5个工作日，全部资料中文书写，直至采购人人员熟练掌握各项培训内容，令采购人能正常使用该设备。</w:t>
            </w:r>
          </w:p>
          <w:p/>
          <w:p>
            <w:r>
              <w:rPr/>
              <w:t>★质量保证期及售后服务，质量保证期：成交供应商提供所有物品（耗材除外）不少于一年保修期，保修期签发《验收报告》之日起算。（若国家/或生产厂家/或技术要求对本项目所涉及货物的质量保证期的规定高于本项目的要求，应按国家/或生产厂家/或技术要求的规定执行。具体由成交供应商在响应文件中响应提供） 1、成交供应商承诺所提供产品均为全新整机设备。保修期内，上门服务费由成交供应商承担，每年有专门售后工程师巡检并调试仪器。如货物非因采购人的人为原因而出现质量问题（包括但不限于由于产品设计、工艺、材质、配套件的缺陷或不符合本合同要求而造成的任何产品质量问题），成交供应商承诺包维修、包更换或退换、包安装、包调试、包正常运行（费用包含在合同总价之中）；如确属采购人人为原因损坏，成交供应商亦须无条件维修、更换或退换、安装、调试并确保正常运行，并承诺只收取成本费。维修时间不计入保修期内，保修期按照维修时间自动顺延。 2、保修期过后，成交供应商提供终身应用技术支持和维修服务。需要维修或维护的，成交供应商应派员检查与维修，并确保优质服务和质量合格且能正常运行。除收取更换耗材和配件费用外，其他全部不再另行收费，根据故障排查结果和维修方案提供最优惠价格。终身提供上门维修服务和维护（免收上门服务费），零配件及耗材优惠供应。 3、保修期（费用成交供应商负责）和有偿保修服务期内，成交供应商保证在接到故障电话后的4小时内响应采购人或采购人所属部门的要求，8小时内派员上门现场维护并在24小时内排除故障修复使用；如在规定时间内不能修复解决，则提供相同功能档次的货物设备作为代替使用，以确保货物能够满足采购人正常的需要。 4、设备涉及软件新版本发布时，永久软件升级及更新（采购人无须另行支付费用）。</w:t>
            </w:r>
          </w:p>
          <w:p/>
          <w:p>
            <w:r>
              <w:rPr/>
              <w:t>★涉氢厂房、燃料电池/电解测试系统配电工作经验，2020年1月1日至今成交供应商需具有涉氢厂房、燃料电池或电解测试系统的配电工作经验。（至少提供一项类似项目业绩证明材料，项目的合同（要点包括签约时间、项目名称、体现项目内容、金额和双方盖章）或中标（成交）通知书或验收证明文件复印件，未提供视为无效。）</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其他电力系统安装</w:t>
            </w:r>
          </w:p>
        </w:tc>
        <w:tc>
          <w:tcPr>
            <w:tcW w:type="dxa" w:w="933"/>
          </w:tcPr>
          <w:p>
            <w:pPr>
              <w:jc w:val="left"/>
            </w:pPr>
            <w:r>
              <w:rPr/>
              <w:t>甲类园区二次配电工程</w:t>
            </w:r>
          </w:p>
        </w:tc>
        <w:tc>
          <w:tcPr>
            <w:tcW w:type="dxa" w:w="933"/>
          </w:tcPr>
          <w:p>
            <w:pPr>
              <w:jc w:val="left"/>
            </w:pPr>
            <w:r>
              <w:rPr/>
              <w:t>项</w:t>
            </w:r>
          </w:p>
        </w:tc>
        <w:tc>
          <w:tcPr>
            <w:tcW w:type="dxa" w:w="933"/>
          </w:tcPr>
          <w:p>
            <w:pPr>
              <w:jc w:val="right"/>
            </w:pPr>
            <w:r>
              <w:rPr/>
              <w:t>1.00</w:t>
            </w:r>
          </w:p>
        </w:tc>
        <w:tc>
          <w:tcPr>
            <w:tcW w:type="dxa" w:w="933"/>
          </w:tcPr>
          <w:p>
            <w:pPr>
              <w:jc w:val="right"/>
            </w:pPr>
            <w:r>
              <w:rPr/>
              <w:t>2,000,000.00</w:t>
            </w:r>
          </w:p>
        </w:tc>
        <w:tc>
          <w:tcPr>
            <w:tcW w:type="dxa" w:w="933"/>
          </w:tcPr>
          <w:p>
            <w:pPr>
              <w:jc w:val="right"/>
            </w:pPr>
            <w:r>
              <w:rPr/>
              <w:t>2,000,000.00</w:t>
            </w:r>
          </w:p>
        </w:tc>
        <w:tc>
          <w:tcPr>
            <w:tcW w:type="dxa" w:w="840"/>
          </w:tcPr>
          <w:p>
            <w:r>
              <w:rPr/>
              <w:t>建筑业</w:t>
            </w:r>
          </w:p>
        </w:tc>
        <w:tc>
          <w:tcPr>
            <w:tcW w:type="dxa" w:w="933"/>
          </w:tcPr>
          <w:p>
            <w:r>
              <w:rPr/>
              <w:t>详见附表一</w:t>
            </w:r>
          </w:p>
        </w:tc>
      </w:tr>
    </w:tbl>
    <w:p/>
    <w:p>
      <w:r>
        <w:rPr>
          <w:b/>
        </w:rPr>
        <w:t>附表</w:t>
      </w:r>
      <w:r>
        <w:rPr>
          <w:b/>
        </w:rPr>
        <w:t>一</w:t>
      </w:r>
      <w:r>
        <w:rPr>
          <w:b/>
        </w:rPr>
        <w:t>：</w:t>
      </w:r>
      <w:r>
        <w:rPr>
          <w:b/>
        </w:rPr>
        <w:t>甲类园区二次配电工程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r>
        <w:rPr>
          <w:b/>
          <w:sz w:val="36"/>
        </w:rPr>
        <w:t>第三章 供应商须知</w:t>
      </w:r>
    </w:p>
    <w:p>
      <w:pPr>
        <w:ind w:firstLine="480"/>
      </w:pPr>
      <w:r>
        <w:rPr/>
        <w:t>供应商必须认真阅读谈判文件中所有的事项、格式、条款和采购需求等。供应商没有按照谈判文件要求提交全部资料，或者响应文件没有对谈判文件在各方面都做出实质性响应的可能导致其响应无效或被拒绝。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1.采购代理机构：本项目是指广州市国科招标代理有限公司，负责整个采购活动的组织，依法负责编制和发布谈判文件，对谈判文件拥有最终的解释权，不以任何身份出任谈判小组成员。</w:t>
      </w:r>
    </w:p>
    <w:p>
      <w:pPr>
        <w:ind w:firstLine="480"/>
      </w:pPr>
      <w:r>
        <w:rPr/>
        <w:t>2.采购人：本项目是指</w:t>
      </w:r>
      <w:r>
        <w:rPr/>
        <w:t>佛山仙湖实验室</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4.“谈判小组”是指根据《中华人民共和国政府采购法》等法律法规规定，由采购人代表和有关专家组成以确定成交供应商或者推荐成交候选供应商的临时组织。</w:t>
      </w:r>
    </w:p>
    <w:p>
      <w:pPr>
        <w:ind w:firstLine="480"/>
      </w:pPr>
      <w:r>
        <w:rPr/>
        <w:t>5.“成交供应商”是指经谈判小组评审确定的对谈判文件做出实质性响应，经采购人按照规定在谈判小组推荐的成交候选供应商中确定的或谈判小组受采购人委托直接确认的供应商。</w:t>
      </w:r>
    </w:p>
    <w:p>
      <w:pPr>
        <w:ind w:firstLine="480"/>
      </w:pPr>
      <w:r>
        <w:rPr/>
        <w:t>6.谈判文件：是指包括谈判公告和谈判文件及其补充、变更和澄清等一系列文件。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本表与谈判文件对应章节的内容若不一致，以本表为准。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p>
        </w:tc>
      </w:tr>
      <w:tr>
        <w:tc>
          <w:tcPr>
            <w:tcW w:type="dxa" w:w="1051"/>
          </w:tcPr>
          <w:p>
            <w:pPr>
              <w:jc w:val="center"/>
            </w:pPr>
            <w:r>
              <w:rPr/>
              <w:t>4</w:t>
            </w:r>
          </w:p>
        </w:tc>
        <w:tc>
          <w:tcPr>
            <w:tcW w:type="dxa" w:w="2252"/>
          </w:tcPr>
          <w:p>
            <w:r>
              <w:rPr/>
              <w:t>评审办法</w:t>
            </w:r>
          </w:p>
        </w:tc>
        <w:tc>
          <w:tcPr>
            <w:tcW w:type="dxa" w:w="5004"/>
          </w:tcPr>
          <w:p>
            <w:r>
              <w:rPr/>
              <w:t>采购包1：最低评标价法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Pr>
              <w:ind w:firstLine="480"/>
            </w:pPr>
          </w:p>
          <w:p>
            <w:pPr>
              <w:jc w:val="left"/>
            </w:pPr>
          </w:p>
          <w:p>
            <w:r>
              <w:rPr/>
              <w:t>采购包1：3家</w:t>
            </w:r>
          </w:p>
          <w:p/>
          <w:p>
            <w:pPr>
              <w:ind w:firstLine="480"/>
            </w:pPr>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14</w:t>
            </w:r>
          </w:p>
        </w:tc>
        <w:tc>
          <w:tcPr>
            <w:tcW w:type="dxa" w:w="2252"/>
          </w:tcPr>
          <w:p>
            <w:r>
              <w:rPr/>
              <w:t>兼投不兼中（兼投不兼中）规则</w:t>
            </w:r>
          </w:p>
        </w:tc>
        <w:tc>
          <w:tcPr>
            <w:tcW w:type="dxa" w:w="5004"/>
          </w:tcPr>
          <w:p>
            <w:r>
              <w:rPr/>
              <w:t>无：-</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的招标代理服务费收费标准以成交金额为计算基数参照国家计委颁布的（计价格【2002】1980号）及国家发改委颁布的（发改办价格【2003】857号）收取。招标代理服务费由成交供应商在领取《成交通知书》前一次性向采购代理机构缴纳。</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t>一、电子响应文件：</w:t>
            </w:r>
          </w:p>
          <w:p>
            <w:pPr>
              <w:ind w:firstLine="480"/>
            </w:pPr>
            <w:r>
              <w:rPr/>
              <w:t>（1）加密的电子响应文件 1 份（需在递交响应文件截止时间前成功上传至“云平台项目采购系统”），供应商应保证该优先步骤。</w:t>
            </w:r>
          </w:p>
          <w:p>
            <w:pPr>
              <w:ind w:firstLine="480"/>
            </w:pPr>
            <w:r>
              <w:rPr/>
              <w:t>（2）若现场无法使用系统进行电子开启/协商的，供应商须在开启现场递交非加密电子版响应文件U盘（或光盘）</w:t>
            </w:r>
            <w:r>
              <w:rPr/>
              <w:t>2</w:t>
            </w:r>
            <w:r>
              <w:rPr/>
              <w:t>份。供应商保证该后备步骤。</w:t>
            </w:r>
          </w:p>
          <w:p>
            <w:pPr>
              <w:ind w:firstLine="480"/>
            </w:pPr>
            <w:r>
              <w:rPr/>
              <w:t>二、纸质响应文件：</w:t>
            </w:r>
          </w:p>
          <w:p>
            <w:pPr>
              <w:ind w:firstLine="480"/>
            </w:pPr>
            <w:r>
              <w:rPr/>
              <w:t>（3）纸质响应文件正本</w:t>
            </w:r>
            <w:r>
              <w:rPr/>
              <w:t>1</w:t>
            </w:r>
            <w:r>
              <w:rPr/>
              <w:t>份，纸质响应文件副本</w:t>
            </w:r>
            <w:r>
              <w:rPr/>
              <w:t>3</w:t>
            </w:r>
            <w:r>
              <w:rPr/>
              <w:t>份。</w:t>
            </w:r>
          </w:p>
          <w:p>
            <w:pPr>
              <w:ind w:firstLine="480"/>
            </w:pPr>
            <w:r>
              <w:rPr/>
              <w:t>供应商须满足上述事项“一、电子响应文件”中（1）或（2）的要求，和“二、纸质响应文件”的要求。请保证电子响应文件应与纸质响应文件（如有）一致，如不一致时以电子投标文件为准。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谈判文件依据《中华人民共和国政府采购法》、《中华人民共和国政府采购法实施条例》（国务院令第658号）和《政府采购非招标采购方式管理办法》（财政部令第74号）及国家和广东省有关法律、法规、规章制度编制。</w:t>
      </w:r>
    </w:p>
    <w:p>
      <w:pPr>
        <w:ind w:firstLine="480"/>
      </w:pPr>
      <w:r>
        <w:rPr/>
        <w:t>供应商应仔细阅读本项目信息公告及谈判文件的所有内容（包括变更、补充、澄清以及修改等，且均为谈判文件的组成部分），按照谈判文件要求以及格式编制响应文件，并保证其真实性，否则一切后果自负。</w:t>
      </w:r>
    </w:p>
    <w:p>
      <w:pPr>
        <w:ind w:firstLine="480"/>
      </w:pPr>
      <w:r>
        <w:rPr/>
        <w:t>本次竞争性谈判项目，是以谈判公告的方式邀请非特定的供应商参加谈判。</w:t>
      </w:r>
    </w:p>
    <w:p>
      <w:r>
        <w:rPr>
          <w:b/>
          <w:sz w:val="24"/>
        </w:rPr>
        <w:t>2.适用范围</w:t>
      </w:r>
    </w:p>
    <w:p>
      <w:pPr>
        <w:ind w:firstLine="480"/>
      </w:pPr>
      <w:r>
        <w:rPr/>
        <w:t>本谈判文件仅适用于本次谈判公告中所涉及的项目和内容。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4.谈判的费用</w:t>
      </w:r>
    </w:p>
    <w:p>
      <w:pPr>
        <w:ind w:firstLine="480"/>
      </w:pPr>
      <w:r>
        <w:rPr/>
        <w:t>不论谈判结果如何，供应商应承担所有与准备和参加谈判有关的费用。采购代理机构和采购人均无义务和责任承担相关费用。</w:t>
      </w:r>
    </w:p>
    <w:p>
      <w:r>
        <w:rPr>
          <w:b/>
          <w:sz w:val="24"/>
        </w:rPr>
        <w:t>5.以联合体形式参加谈判的，应符合以下规定：</w:t>
      </w:r>
    </w:p>
    <w:p>
      <w:pPr>
        <w:ind w:firstLine="480"/>
      </w:pPr>
      <w:r>
        <w:rPr/>
        <w:t>5.1 联合体各方均应当满足《中华人民共和国政府采购法》第二十二条规定的条件，并在响应文件中提供联合体各方的相关证明材料。</w:t>
      </w:r>
    </w:p>
    <w:p>
      <w:pPr>
        <w:ind w:firstLine="480"/>
      </w:pPr>
      <w:r>
        <w:rPr/>
        <w:t>5.2</w:t>
        <w:tab/>
        <w:tab/>
        <w:t xml:space="preserve">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w:t>
        <w:tab/>
        <w:tab/>
        <w:t xml:space="preserve">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 联合体成员存在不良信用记录的，视同联合体存在不良信用记录。</w:t>
      </w:r>
    </w:p>
    <w:p>
      <w:pPr>
        <w:ind w:firstLine="480"/>
      </w:pPr>
      <w:r>
        <w:rP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 联合体各方应当共同与采购人签订采购合同，就合同约定的事项对采购人承担连带责任。</w:t>
      </w:r>
    </w:p>
    <w:p>
      <w:r>
        <w:rPr>
          <w:b/>
          <w:sz w:val="24"/>
        </w:rPr>
        <w:t>6.关联企业响应说明</w:t>
      </w:r>
    </w:p>
    <w:p>
      <w:pPr>
        <w:ind w:firstLine="480"/>
      </w:pPr>
      <w:r>
        <w:rPr/>
        <w:t>6.1</w:t>
        <w:tab/>
        <w:tab/>
        <w:t xml:space="preserve"> 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w:t>
        <w:tab/>
        <w:tab/>
        <w:t xml:space="preserve">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8.1供应商不得相互串通响应报价，不得妨碍其他供应商的公平竞争，不得损害采购人或其他供应商的合法权益，供应商不得以向采购人、谈判小组成员行贿或者采取其他不正当手段谋取成交。</w:t>
      </w:r>
    </w:p>
    <w:p>
      <w:pPr>
        <w:ind w:firstLine="480"/>
      </w:pPr>
      <w:r>
        <w:rPr/>
        <w:t>8.2供应商不得与采购人就响应价格、响应方案等实质性内容进行谈判，也不得私下接触谈判小组成员。</w:t>
      </w:r>
    </w:p>
    <w:p>
      <w:pPr>
        <w:ind w:firstLine="480"/>
      </w:pPr>
      <w:r>
        <w:rPr/>
        <w:t>8.3在确定成交人之前，供应商试图在响应文件审查、澄清、比较和评价时对谈判小组、采购人和采购代理机构施加任何影响都可能导致其响应无效。</w:t>
      </w:r>
    </w:p>
    <w:p>
      <w:pPr>
        <w:ind w:firstLine="480"/>
      </w:pPr>
      <w:r>
        <w:rPr/>
        <w:t>8.4获得本谈判文件者，须履行本谈判项目下保密义务，不得将因本次谈判获得的信息向第三人外传，不得将谈判文件用作本次响应以外的任何用途。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9.2除非谈判文件的技术规格中另有规定，供应商在响应文件中及其与采购人和采购代理机构的所有往来文件中的计量单位均应采用中华人民共和国法定计量单位。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10.1谈判文件规定组织踏勘现场的，采购人按谈判文件规定的时间、地点组织供应商踏勘项目现场。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10.3采购人在踏勘现场中介绍的资料和数据等，不构成对谈判文件的修改或不作为供应商编制响应文件的依据。</w:t>
      </w:r>
    </w:p>
    <w:p>
      <w:r>
        <w:rPr>
          <w:b/>
          <w:sz w:val="28"/>
        </w:rPr>
        <w:t>四、谈判文件的澄清和修改</w:t>
      </w:r>
    </w:p>
    <w:p>
      <w:pPr>
        <w:ind w:firstLine="480"/>
      </w:pPr>
      <w:r>
        <w:rPr/>
        <w:t>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ind w:firstLine="480"/>
      </w:pPr>
      <w:r>
        <w:rPr/>
        <w:t>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ind w:firstLine="480"/>
      </w:pPr>
      <w:r>
        <w:rPr/>
        <w:t>3.如更正公告有重新发布电子谈判文件的，供应商应登录云平台项目采购系统下载最新发布的电子谈判文件制作响应文件。</w:t>
      </w:r>
    </w:p>
    <w:p>
      <w:pPr>
        <w:ind w:firstLine="480"/>
      </w:pPr>
      <w:r>
        <w:rPr/>
        <w:t>4.供应商在规定的时间内未对谈判文件提出疑问、质疑或要求澄清的，将视其为无异议。对谈判文件中描述有歧义或前后不一致的地方，谈判小组有权进行评判，但对同一条款的评判应适用于每个供应商。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2.5供应商须对谈判文件的对应要求给予唯一的实质性响应，否则将视为不响应。</w:t>
      </w:r>
    </w:p>
    <w:p>
      <w:pPr>
        <w:ind w:firstLine="480"/>
      </w:pPr>
      <w:r>
        <w:rPr/>
        <w:t>2.6谈判文件中，凡标有“★”的地方均为实质性响应条款，供应商若有一项带“★”的条款未响应或不满足，将按无效响应处理。</w:t>
      </w:r>
    </w:p>
    <w:p>
      <w:pPr>
        <w:ind w:firstLine="480"/>
      </w:pPr>
      <w:r>
        <w:rPr/>
        <w:t>2.7供应商必须按谈判文件指定的格式填写各种报价，各报价应计算正确。除在谈判文件另有规定外（如：报折扣、报优惠率等），计量单位应使用中华人民共和国法定计量单位，以人民币填报所有报价。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；请各供应商在响应文件递交截止时间前按须知前附表规定的金额递交至</w:t>
      </w:r>
      <w:r>
        <w:rPr/>
        <w:t>广州市国科招标代理有限公司</w:t>
      </w:r>
      <w:r>
        <w:rPr/>
        <w:t>，到账情况以谈判时</w:t>
      </w:r>
      <w:r>
        <w:rPr/>
        <w:t>广州市国科招标代理有限公司</w:t>
      </w:r>
      <w:r>
        <w:rPr/>
        <w:t>查询的信息为准。</w:t>
      </w:r>
    </w:p>
    <w:p>
      <w:pPr>
        <w:ind w:firstLine="480"/>
      </w:pPr>
      <w:r>
        <w:rPr/>
        <w:t>如采用金融机构、专业担保机构开具的投标（响应）担保函、投标（响应）保证保险函等形式提交响应保证金的，投标（响应）担保函或投标（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（1）供应商在响应截止时间前放弃响应的，自所参与采购包结果公告发出后5个工作日内退还。</w:t>
      </w:r>
    </w:p>
    <w:p>
      <w:pPr>
        <w:ind w:firstLine="480"/>
      </w:pPr>
      <w:r>
        <w:rPr/>
        <w:t>（2）未成交的供应商保证金，在成交通知书发出后5个工作日内原额退还。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（2）供应商在谈判文件规定的响应有效期内撤销其响应；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（5）法律法规和谈判文件规定的其他情形。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8.1谈判文件规定供应商提交样品的，样品属于响应文件的组成部分。样品的生产、运输、安装、保全等一切费用由供应商自理。</w:t>
      </w:r>
    </w:p>
    <w:p>
      <w:pPr>
        <w:ind w:firstLine="480"/>
      </w:pPr>
      <w:r>
        <w:rPr/>
        <w:t>8.2响应截止时间前，供应商应将样品送达至指定地点。若需要现场演示的，供应商应提前做好演示准备（包括演示设备）。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9除谈判文件另有规定外，有下列情形之一的，响应无效：</w:t>
      </w:r>
    </w:p>
    <w:p>
      <w:pPr>
        <w:ind w:firstLine="480"/>
      </w:pPr>
      <w:r>
        <w:rPr/>
        <w:t>9.1响应文件未按照谈判文件要求签署、盖章；</w:t>
      </w:r>
    </w:p>
    <w:p>
      <w:pPr>
        <w:ind w:firstLine="480"/>
      </w:pPr>
      <w:r>
        <w:rPr/>
        <w:t>9.2不符合谈判文件中规定的资格要求；</w:t>
      </w:r>
    </w:p>
    <w:p>
      <w:pPr>
        <w:ind w:firstLine="480"/>
      </w:pPr>
      <w:r>
        <w:rPr/>
        <w:t>9.3响应报价超过谈判文件中规定的预算金额或最高限价；</w:t>
      </w:r>
    </w:p>
    <w:p>
      <w:pPr>
        <w:ind w:firstLine="480"/>
      </w:pPr>
      <w:r>
        <w:rPr/>
        <w:t>9.4响应文件含有采购人不能接受的附加条件；</w:t>
      </w:r>
    </w:p>
    <w:p>
      <w:pPr>
        <w:ind w:firstLine="480"/>
      </w:pPr>
      <w:r>
        <w:rPr/>
        <w:t>9.5有关法律、法规和规章及谈判文件规定的其他无效情形。</w:t>
      </w:r>
    </w:p>
    <w:p>
      <w:r>
        <w:rPr>
          <w:b/>
          <w:sz w:val="28"/>
        </w:rPr>
        <w:t>六、谈判、评审和结果确认</w:t>
      </w:r>
    </w:p>
    <w:p>
      <w:r>
        <w:rPr>
          <w:b/>
          <w:sz w:val="24"/>
        </w:rPr>
        <w:t>1. 响应文件的开启</w:t>
      </w:r>
    </w:p>
    <w:p>
      <w:pPr>
        <w:ind w:firstLine="480"/>
      </w:pPr>
      <w:r>
        <w:rPr/>
        <w:t>1.1 开启程序</w:t>
      </w:r>
    </w:p>
    <w:p>
      <w:pPr>
        <w:ind w:firstLine="480"/>
      </w:pPr>
      <w:r>
        <w:rPr/>
        <w:t>工作人员按谈判公告规定的时间进行开启，由采购人或者采购代理机构工作人员宣布供应商名称、解密情况和谈判文件规定的需要宣布的其他内容。开启分为现场电子开启和远程电子开启两种。</w:t>
      </w:r>
    </w:p>
    <w:p>
      <w:pPr>
        <w:ind w:firstLine="480"/>
      </w:pPr>
      <w:r>
        <w:rPr/>
        <w:t>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ind w:firstLine="480"/>
      </w:pPr>
      <w:r>
        <w:rPr/>
        <w:t>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上以公告的形式发布成交结果，结果公告的公告期限为1个工作日。结果公告同时作为采购代理机构通知除成交供应商外的其他供应商没有成交的书面形式，采购代理机构不再以其它方式另行通知。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终止谈判采购活动后，采购人或采购代理机构将在中国政府采购网(www.ccgp.gov.cn)、广东省政府采购网(https://gdgpo.czt.gd.gov.cn/)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(1)对谈判文件提出质疑的，为获取谈判文件之日或者谈判文件公告期限届满之日；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(3)认为谈判文件、采购过程、成交结果使自己的合法权益受到损害的法律依据、事实依据、相关证明材料及证据来源；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黄小姐、钟先生</w:t>
      </w:r>
    </w:p>
    <w:p>
      <w:pPr>
        <w:ind w:firstLine="480"/>
      </w:pPr>
      <w:r>
        <w:rPr/>
        <w:t>电话：</w:t>
      </w:r>
      <w:r>
        <w:rPr/>
        <w:t>0757-83277829、020-38364802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1.合同的签订</w:t>
      </w:r>
    </w:p>
    <w:p>
      <w:pPr>
        <w:ind w:firstLine="480"/>
      </w:pPr>
      <w:r>
        <w:rPr/>
        <w:t>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1.2采购人不得提出试用合格等任何不合理的要求作为签订合同的条件，且不得与成交人私下订立背离合同实质性内容的协议。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r>
        <w:rPr>
          <w:b/>
          <w:sz w:val="36"/>
        </w:rPr>
        <w:t>第四章 评审</w:t>
      </w:r>
    </w:p>
    <w:p>
      <w:r>
        <w:rPr>
          <w:b/>
          <w:sz w:val="28"/>
        </w:rPr>
        <w:t>一、评审要求</w:t>
      </w:r>
    </w:p>
    <w:p>
      <w:r>
        <w:rPr>
          <w:b/>
          <w:sz w:val="24"/>
        </w:rPr>
        <w:t>1.评审方法</w:t>
      </w:r>
    </w:p>
    <w:p>
      <w:pPr>
        <w:ind w:firstLine="480"/>
      </w:pPr>
    </w:p>
    <w:p/>
    <w:p>
      <w:r>
        <w:rPr/>
        <w:t>采购包1(甲类园区二次配电工程)：最低价评审价法,是指响应文件满足谈判文件全部实质性要求，且谈判报价最低的供应商为成交候选人的评审方法。</w:t>
      </w:r>
    </w:p>
    <w:p/>
    <w:p>
      <w:r>
        <w:rPr>
          <w:b/>
          <w:sz w:val="24"/>
        </w:rPr>
        <w:t>2.评审原则</w:t>
      </w:r>
    </w:p>
    <w:p>
      <w:pPr>
        <w:ind w:firstLine="480"/>
      </w:pPr>
      <w:r>
        <w:rPr/>
        <w:t>2.1评审活动遵循公平、公正、科学和择优的原则，以谈判文件和响应文件为评审的基本依据，并按照谈判文件规定的评审方法和评审标准进行评审。</w:t>
      </w:r>
    </w:p>
    <w:p>
      <w:pPr>
        <w:ind w:firstLine="480"/>
      </w:pPr>
      <w:r>
        <w:rPr/>
        <w:t>2.2具体评审事项由谈判小组负责，并按谈判文件的规定办法进行评审。对谈判文件中描述有歧义或前后不一致的地方，谈判小组有权按法律法规的规定进行评判，但对同一条款的评判应适用于每个响应供应商。</w:t>
      </w:r>
    </w:p>
    <w:p>
      <w:r>
        <w:rPr>
          <w:b/>
          <w:sz w:val="24"/>
        </w:rPr>
        <w:t>3.谈判小组</w:t>
      </w:r>
    </w:p>
    <w:p>
      <w:pPr>
        <w:ind w:firstLine="480"/>
      </w:pPr>
      <w:r>
        <w:rPr/>
        <w:t>3.1谈判小组由采购人代表和评审专家组成，成员人数应当为3人及以上单数，其中技术、经济等方面的评审专家不得少于成员总数的三分之二</w:t>
      </w:r>
    </w:p>
    <w:p>
      <w:pPr>
        <w:ind w:firstLine="480"/>
      </w:pPr>
      <w:r>
        <w:rPr/>
        <w:t>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（4）全体评委应按照谈判文件规定进行评审，一切认定事项应查有实据且不得弄虚作假。</w:t>
      </w:r>
    </w:p>
    <w:p>
      <w:pPr>
        <w:ind w:firstLine="480"/>
      </w:pPr>
      <w:r>
        <w:rPr/>
        <w:t>（5）谈判小组各成员应当独立对每个响应供应商的响应文件进行评价，并对评价意见承担个人责任。评审过程中，不得发表倾向性言论。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4.4不同供应商的响应文件异常一致或者谈判报价呈规律性差异；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说明：在评审过程中发现供应商有上述情形的，谈判小组应当认定其响应无效，并书面报告本级财政部门。同时，项目评审时被认定为串通响应的供应商不得参加该合同项下的采购活动。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详见资格性审查、符合性审查和谈判文件其他响应无效条款。</w:t>
      </w:r>
    </w:p>
    <w:p>
      <w:r>
        <w:rPr>
          <w:b/>
          <w:sz w:val="24"/>
        </w:rPr>
        <w:t>7.终止竞争性谈判采购活动的情形</w:t>
      </w:r>
    </w:p>
    <w:p>
      <w:pPr>
        <w:ind w:firstLine="480"/>
      </w:pPr>
      <w:r>
        <w:rPr/>
        <w:t>出现下列情形之一的，采购人或者采购代理机构应当终止竞争性谈判采购活动，发布项目终止公告并说明原因，重新开展采购活动：</w:t>
      </w:r>
    </w:p>
    <w:p>
      <w:pPr>
        <w:ind w:firstLine="480"/>
      </w:pPr>
      <w:r>
        <w:rPr/>
        <w:t>（1）因情况变化，不再符合规定的竞争性谈判采购方式适用情形的；</w:t>
      </w:r>
    </w:p>
    <w:p>
      <w:pPr>
        <w:ind w:firstLine="480"/>
      </w:pPr>
      <w:r>
        <w:rPr/>
        <w:t>（2）出现影响采购公正的违法、违规行为的；</w:t>
      </w:r>
    </w:p>
    <w:p>
      <w:pPr>
        <w:ind w:firstLine="480"/>
      </w:pPr>
      <w:r>
        <w:rPr/>
        <w:t>（3）在采购过程中符合谈判要求的供应商或者报价未超过采购预算的供应商不足3家的，但经财政部门批准的情形除外；</w:t>
      </w:r>
    </w:p>
    <w:p>
      <w:pPr>
        <w:ind w:firstLine="480"/>
      </w:pPr>
      <w:r>
        <w:rPr/>
        <w:t>（4）法律、法规以及谈判文件规定其他情形。</w:t>
      </w:r>
    </w:p>
    <w:p>
      <w:r>
        <w:rPr>
          <w:b/>
          <w:sz w:val="24"/>
        </w:rPr>
        <w:t>8.确定成交供应商</w:t>
      </w:r>
    </w:p>
    <w:p>
      <w:pPr>
        <w:ind w:firstLine="480"/>
      </w:pPr>
      <w:r>
        <w:rPr/>
        <w:t>谈判小组按照谈判文件确定的评审方法、步骤、标准，对响应文件进行评审。评审结束后，对供应商的评审名次进行排序，确定成交供应商或者推荐成交候选供应商。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（1）响应文件中首轮报价表内容与响应文件中相应内容不一致的，以首轮报价表为准；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采购包1（甲类园区二次配电工程）：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响应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（1）响应供应商须按“政策适用性说明”填写，并同时提供国家确定的认证机构出具的处于有效期之内的认证证书；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响应文件中明确列明具体产品的名称并提供国家确定的认证机构出具的处于有效期之内的环境标志产品认证证书。环境标志产品政府采购品目清单在中国政府采购网（http://www.ccgp.gov.cn/）上发布。 4、对环境标志产品价格扣除的规定： （1）响应供应商须按“政策适用性说明”填写，并同时提供国家确定的认证机构出具的处于有效期之内的认证证书；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共同响应协议书中约定，小型、微型企业的协议合同金额占到联合体协议合同总金额30%以上的，应附中小微企业的《中小微企业声明函》。</w:t>
      </w:r>
    </w:p>
    <w:p>
      <w:r>
        <w:rPr>
          <w:b/>
          <w:sz w:val="28"/>
        </w:rPr>
        <w:t>二、评审程序</w:t>
      </w:r>
    </w:p>
    <w:p>
      <w:r>
        <w:rPr>
          <w:b/>
          <w:sz w:val="24"/>
        </w:rPr>
        <w:t>1.1.资格性审查和符合性审查</w:t>
      </w:r>
      <w:r>
        <w:rPr/>
        <w:t>　　</w:t>
      </w:r>
    </w:p>
    <w:p>
      <w:pPr>
        <w:ind w:firstLine="480"/>
      </w:pPr>
      <w:r>
        <w:rPr/>
        <w:t>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ind w:firstLine="480"/>
      </w:pPr>
      <w:r>
        <w:rPr/>
        <w:t>谈判小组对各报价供应商进行资格性和符合性审查过程中，对初步被认定为初审不合格或无效报价者应实行及时告知，由谈判小组组长或采购人代表将集体意见及时告知报价当事人。</w:t>
      </w:r>
    </w:p>
    <w:p>
      <w:pPr>
        <w:ind w:firstLine="480"/>
      </w:pPr>
      <w:r>
        <w:rPr/>
        <w:t>表一资格性审查表：</w:t>
      </w:r>
    </w:p>
    <w:p>
      <w:pPr>
        <w:ind w:firstLine="480"/>
      </w:pPr>
    </w:p>
    <w:p/>
    <w:p>
      <w:r>
        <w:rPr/>
        <w:t>采购包1（甲类园区二次配电工程）：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提供响应截止日前6个月内任意1个月依法缴纳税收和社会保障资金的相关材料。如依法免税或不需要缴纳社会保障资金的，提供相应证明材料。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提供2021年度财务状况报告复印件或银行出具的资信证明复印件(新成立公司不足一年提供成立至今的月或季度财务报表复印件）或基本开户行出具的资信证明）。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为本项目提供整体设计、规范编制或者项目管理、监理、检测等服务的供应商，不得再参与本项目响应。 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参与的供应商（联合体）工程的施工单位全部为符合政策要求的中小企业。</w:t>
            </w:r>
          </w:p>
        </w:tc>
      </w:tr>
    </w:tbl>
    <w:p/>
    <w:p>
      <w:pPr>
        <w:ind w:firstLine="480"/>
      </w:pPr>
      <w:r>
        <w:rPr/>
        <w:t>表二符合性审查表：</w:t>
      </w:r>
    </w:p>
    <w:p>
      <w:pPr>
        <w:ind w:firstLine="480"/>
      </w:pPr>
    </w:p>
    <w:p/>
    <w:p>
      <w:r>
        <w:rPr/>
        <w:t>采购包1（甲类园区二次配电工程）：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响应承诺函（按对应格式文件填写、签署、盖章）</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谈判小组可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2.2谈判小组不接受供应商主动提出的澄清、说明或补正。</w:t>
      </w:r>
    </w:p>
    <w:p>
      <w:pPr>
        <w:ind w:firstLine="480"/>
      </w:pPr>
      <w:r>
        <w:rPr/>
        <w:t>2.3谈判小组对供应商提交的澄清、说明或补正有疑问的，可以要求供应商进一步澄清、说明或补正。</w:t>
      </w:r>
    </w:p>
    <w:p>
      <w:r>
        <w:rPr>
          <w:b/>
          <w:sz w:val="24"/>
        </w:rPr>
        <w:t>3.谈判</w:t>
      </w:r>
    </w:p>
    <w:p>
      <w:pPr>
        <w:ind w:firstLine="480"/>
      </w:pPr>
      <w:r>
        <w:rPr/>
        <w:t>3.1谈判小组所有成员应当集中与单一供应商分别进行谈判，并给予所有参加谈判的供应商平等的谈判机会。</w:t>
      </w:r>
    </w:p>
    <w:p>
      <w:pPr>
        <w:ind w:firstLine="480"/>
      </w:pPr>
      <w:r>
        <w:rPr/>
        <w:t>3.2在谈判过程中，谈判小组可以根据谈判文件和谈判情况实质性变动采购需求中的技术、服务要求以及合同草案条款，但不得变动谈判文件中的其他内容。实质性变动的内容，须经采购人代表确认。</w:t>
      </w:r>
    </w:p>
    <w:p>
      <w:pPr>
        <w:ind w:firstLine="480"/>
      </w:pPr>
      <w:r>
        <w:rPr/>
        <w:t>3.3对谈判文件作出的实质性变动是谈判文件的有效组成部分，谈判小组应当及时、同时通知所有参加谈判的供应商。</w:t>
      </w:r>
    </w:p>
    <w:p>
      <w:pPr>
        <w:ind w:firstLine="480"/>
      </w:pPr>
      <w:r>
        <w:rPr/>
        <w:t>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4.1谈判结束后，谈判小组应当要求所有实质性响应的供应商在规定时间内提交最后报价。最后报价是供应商响应文件的有效组成部分。</w:t>
      </w:r>
    </w:p>
    <w:p>
      <w:pPr>
        <w:ind w:firstLine="480"/>
      </w:pPr>
      <w:r>
        <w:rPr/>
        <w:t>4.2已提交响应文件的供应商，在提交最后报价之前，可以根据谈判情况退出谈判。</w:t>
      </w:r>
    </w:p>
    <w:p>
      <w:r>
        <w:rPr>
          <w:b/>
          <w:sz w:val="24"/>
        </w:rPr>
        <w:t>5.详细评审</w:t>
      </w:r>
    </w:p>
    <w:p>
      <w:pPr>
        <w:ind w:firstLine="480"/>
      </w:pPr>
      <w:r>
        <w:rPr/>
        <w:t>采用最低评审价法对供应商的响应文件和最后报价进行评审。</w:t>
      </w:r>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(1)评审期间，供应商没有按照谈判小组的要求提交法定代表人或其委托代理人签字的澄清、说明、补正或改变了响应文件的实质性内容的。</w:t>
      </w:r>
    </w:p>
    <w:p>
      <w:pPr>
        <w:ind w:firstLine="480"/>
      </w:pPr>
      <w:r>
        <w:rPr/>
        <w:t>(2)响应文件提供虚假材料的。</w:t>
      </w:r>
    </w:p>
    <w:p>
      <w:pPr>
        <w:ind w:firstLine="480"/>
      </w:pPr>
      <w:r>
        <w:rPr/>
        <w:t>(3)供应商以行贿手段谋取成交或者以其他弄虚作假方式响应的。</w:t>
      </w:r>
    </w:p>
    <w:p>
      <w:pPr>
        <w:ind w:firstLine="480"/>
      </w:pPr>
      <w:r>
        <w:rPr/>
        <w:t>(4)供应商对采购人、采购代理机构、谈判小组及其工作人员施加影响，有碍协商公平、公正的。</w:t>
      </w:r>
    </w:p>
    <w:p>
      <w:pPr>
        <w:ind w:firstLine="480"/>
      </w:pPr>
      <w:r>
        <w:rPr/>
        <w:t>(5)响应文件含有采购人不能接受的附加条件的。</w:t>
      </w:r>
    </w:p>
    <w:p>
      <w:pPr>
        <w:ind w:firstLine="480"/>
      </w:pPr>
      <w:r>
        <w:rPr/>
        <w:t>(6)法律、法规和谈判文件规定的其他无效情形。</w:t>
      </w:r>
    </w:p>
    <w:p>
      <w:pPr>
        <w:ind w:firstLine="480"/>
      </w:pPr>
    </w:p>
    <w:p>
      <w:r>
        <w:rPr/>
        <w:t xml:space="preserve"> </w:t>
      </w:r>
    </w:p>
    <w:p/>
    <w:p>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1、合同具体事项须根据采购文件的约定及乙方响应文件的承诺执行；</w:t>
      </w:r>
    </w:p>
    <w:p>
      <w:pPr>
        <w:ind w:firstLine="211"/>
        <w:jc w:val="left"/>
      </w:pPr>
      <w:r>
        <w:rPr>
          <w:b/>
          <w:sz w:val="21"/>
        </w:rPr>
        <w:t>2、</w:t>
      </w:r>
      <w:r>
        <w:rPr>
          <w:b/>
          <w:sz w:val="21"/>
        </w:rPr>
        <w:t>本项目合同为中小企业预留合同。</w:t>
      </w:r>
    </w:p>
    <w:p>
      <w:pPr>
        <w:ind w:firstLine="211"/>
        <w:jc w:val="left"/>
      </w:pPr>
    </w:p>
    <w:p>
      <w:pPr>
        <w:jc w:val="left"/>
      </w:pPr>
    </w:p>
    <w:p/>
    <w:p/>
    <w:p>
      <w:r>
        <w:rPr/>
        <w:t xml:space="preserve"> </w:t>
      </w:r>
    </w:p>
    <w:p>
      <w:pPr>
        <w:jc w:val="left"/>
      </w:pPr>
    </w:p>
    <w:p>
      <w:pPr>
        <w:jc w:val="center"/>
      </w:pPr>
      <w:r>
        <w:rPr>
          <w:b/>
          <w:sz w:val="36"/>
        </w:rPr>
        <w:t>佛山仙湖实验室国内货物供货及技术服务合同</w:t>
      </w:r>
    </w:p>
    <w:p>
      <w:pPr>
        <w:jc w:val="both"/>
      </w:pPr>
    </w:p>
    <w:p>
      <w:pPr>
        <w:jc w:val="both"/>
      </w:pPr>
    </w:p>
    <w:p>
      <w:pPr>
        <w:jc w:val="both"/>
      </w:pPr>
      <w:r>
        <w:rPr>
          <w:sz w:val="24"/>
        </w:rPr>
        <w:t>合同编号：</w:t>
      </w:r>
    </w:p>
    <w:p>
      <w:pPr>
        <w:jc w:val="both"/>
      </w:pPr>
      <w:r>
        <w:rPr>
          <w:sz w:val="24"/>
        </w:rPr>
        <w:t>签订地点：佛山仙湖实验室</w:t>
      </w:r>
    </w:p>
    <w:p>
      <w:pPr>
        <w:jc w:val="both"/>
      </w:pPr>
    </w:p>
    <w:p>
      <w:pPr>
        <w:jc w:val="both"/>
      </w:pPr>
      <w:r>
        <w:rPr>
          <w:sz w:val="24"/>
        </w:rPr>
        <w:t>甲方（买方）：</w:t>
      </w:r>
      <w:r>
        <w:rPr>
          <w:sz w:val="24"/>
          <w:u w:val="single"/>
        </w:rPr>
        <w:t>佛山仙湖实验室</w:t>
      </w:r>
      <w:r>
        <w:rPr>
          <w:sz w:val="24"/>
          <w:u w:val="single"/>
        </w:rPr>
        <w:t xml:space="preserve">       </w:t>
      </w:r>
    </w:p>
    <w:p>
      <w:pPr>
        <w:jc w:val="both"/>
      </w:pPr>
      <w:r>
        <w:rPr>
          <w:sz w:val="24"/>
        </w:rPr>
        <w:t>乙方（卖方）：</w:t>
      </w:r>
      <w:r>
        <w:rPr>
          <w:sz w:val="21"/>
          <w:u w:val="single"/>
        </w:rPr>
        <w:t xml:space="preserve">                      </w:t>
      </w:r>
      <w:r>
        <w:rPr>
          <w:sz w:val="21"/>
        </w:rPr>
        <w:t xml:space="preserve">  </w:t>
      </w:r>
    </w:p>
    <w:p>
      <w:pPr>
        <w:ind w:firstLine="482"/>
        <w:jc w:val="both"/>
      </w:pPr>
      <w:r>
        <w:rPr>
          <w:b/>
          <w:sz w:val="24"/>
        </w:rPr>
        <w:t>第一条</w:t>
      </w:r>
      <w:r>
        <w:rPr>
          <w:b/>
          <w:sz w:val="24"/>
        </w:rPr>
        <w:t>目的与依据</w:t>
      </w:r>
    </w:p>
    <w:p>
      <w:pPr>
        <w:ind w:firstLine="480"/>
        <w:jc w:val="both"/>
      </w:pPr>
      <w:r>
        <w:rPr>
          <w:sz w:val="24"/>
        </w:rPr>
        <w:t>为了明确双方的权利义务</w:t>
      </w:r>
      <w:r>
        <w:rPr>
          <w:sz w:val="24"/>
        </w:rPr>
        <w:t>, 甲乙双方</w:t>
      </w:r>
      <w:r>
        <w:rPr>
          <w:sz w:val="24"/>
        </w:rPr>
        <w:t>根据《中华人民共和国民法典》及相关法律法规，依据</w:t>
      </w:r>
      <w:r>
        <w:rPr>
          <w:sz w:val="24"/>
        </w:rPr>
        <w:t>佛山仙湖实验室</w:t>
      </w:r>
      <w:r>
        <w:rPr>
          <w:b/>
          <w:sz w:val="21"/>
          <w:u w:val="single"/>
        </w:rPr>
        <w:t xml:space="preserve">                 </w:t>
      </w:r>
      <w:r>
        <w:rPr>
          <w:sz w:val="24"/>
        </w:rPr>
        <w:t>采购项目（项目编号：</w:t>
      </w:r>
      <w:r>
        <w:rPr>
          <w:sz w:val="21"/>
          <w:u w:val="single"/>
        </w:rPr>
        <w:t xml:space="preserve">            </w:t>
      </w:r>
      <w:r>
        <w:rPr>
          <w:sz w:val="24"/>
        </w:rPr>
        <w:t>）之响应文件和中标</w:t>
      </w:r>
      <w:r>
        <w:rPr>
          <w:sz w:val="24"/>
        </w:rPr>
        <w:t>/成交结果，在平等自愿、协商一致的基础上，就甲方向乙方购买“</w:t>
      </w:r>
      <w:r>
        <w:rPr>
          <w:sz w:val="21"/>
          <w:u w:val="single"/>
        </w:rPr>
        <w:t xml:space="preserve">                   </w:t>
      </w:r>
      <w:r>
        <w:rPr>
          <w:sz w:val="24"/>
        </w:rPr>
        <w:t>”</w:t>
      </w:r>
      <w:r>
        <w:rPr>
          <w:sz w:val="24"/>
        </w:rPr>
        <w:t>工程</w:t>
      </w:r>
      <w:r>
        <w:rPr>
          <w:sz w:val="24"/>
        </w:rPr>
        <w:t>及相关事宜达成一致，签订本合同。</w:t>
      </w:r>
    </w:p>
    <w:p>
      <w:pPr>
        <w:ind w:firstLine="482"/>
        <w:jc w:val="both"/>
      </w:pPr>
      <w:r>
        <w:rPr>
          <w:b/>
          <w:sz w:val="24"/>
        </w:rPr>
        <w:t>第二条　定义</w:t>
      </w:r>
    </w:p>
    <w:p>
      <w:pPr>
        <w:ind w:firstLine="480"/>
        <w:jc w:val="both"/>
      </w:pPr>
      <w:r>
        <w:rPr>
          <w:sz w:val="24"/>
        </w:rPr>
        <w:t>本合同中使用的下列术语，除非另有所指，具有以下含义：</w:t>
      </w:r>
    </w:p>
    <w:p>
      <w:pPr>
        <w:ind w:firstLine="480"/>
        <w:jc w:val="both"/>
      </w:pPr>
      <w:r>
        <w:rPr>
          <w:sz w:val="24"/>
        </w:rPr>
        <w:t>1、甲方：指本项目的采购人。</w:t>
      </w:r>
    </w:p>
    <w:p>
      <w:pPr>
        <w:ind w:firstLine="480"/>
        <w:jc w:val="both"/>
      </w:pPr>
      <w:r>
        <w:rPr>
          <w:sz w:val="24"/>
        </w:rPr>
        <w:t>2、乙方：指本项目的供货人。</w:t>
      </w:r>
    </w:p>
    <w:p>
      <w:pPr>
        <w:ind w:firstLine="480"/>
        <w:jc w:val="both"/>
      </w:pPr>
      <w:r>
        <w:rPr>
          <w:sz w:val="24"/>
        </w:rPr>
        <w:t>3、一方：指甲方或乙方。</w:t>
      </w:r>
    </w:p>
    <w:p>
      <w:pPr>
        <w:ind w:firstLine="480"/>
        <w:jc w:val="both"/>
      </w:pPr>
      <w:r>
        <w:rPr>
          <w:sz w:val="24"/>
        </w:rPr>
        <w:t>4、双方：指甲方和乙方的统称。</w:t>
      </w:r>
    </w:p>
    <w:p>
      <w:pPr>
        <w:ind w:firstLine="480"/>
        <w:jc w:val="both"/>
      </w:pPr>
      <w:r>
        <w:rPr>
          <w:sz w:val="24"/>
        </w:rPr>
        <w:t>5、合同：指甲乙双方签署的、合同格式中载明的甲乙双方所达成的协议，包括所有的附件、附录和构成合同的所有文件。</w:t>
      </w:r>
    </w:p>
    <w:p>
      <w:pPr>
        <w:ind w:firstLine="480"/>
        <w:jc w:val="both"/>
      </w:pPr>
      <w:r>
        <w:rPr>
          <w:sz w:val="24"/>
        </w:rPr>
        <w:t>6、货物：指乙方根据合同第三条规定须向甲方提供所列货物（含附件配置）外，还包括：与之相一致的设计出图、机械制造图纸、用户手册、说明书、维护手册、电路图等技术资料或有形物品，及配套性知识产权物品(如软件或程序支持信息)、材料、备品备件和/或其它材料。</w:t>
      </w:r>
    </w:p>
    <w:p>
      <w:pPr>
        <w:ind w:firstLine="480"/>
        <w:jc w:val="both"/>
      </w:pPr>
      <w:r>
        <w:rPr>
          <w:sz w:val="24"/>
        </w:rPr>
        <w:t>7、合同总价：指根据合同规定，乙方正确地完全履行合同义务后甲方应支付给乙方的价格，包括但不限于合同项下的货物之所有权与风险正式转移甲方之前发生的全部成本、各税种或税项下的税款；设计、图纸、制造、供货、运输、卸车、保险、安装、调试、验收、试运行、现场服务、随机零配件、标配工具、培训、质量保证期服务、各类技术资料等费用；如是境外提供的货物，还应包括货物从境外进口已缴纳或应缴纳的全部关税、增值税和其他税、报货物境外离岸价格、报关清关、国外运输费、国外运输保险等费用；因履行本合同约定的售后服务而可能发生的所有费用；但是，本合同另有特别约定的收费除外。</w:t>
      </w:r>
    </w:p>
    <w:p>
      <w:pPr>
        <w:ind w:firstLine="480"/>
        <w:jc w:val="both"/>
      </w:pPr>
      <w:r>
        <w:rPr>
          <w:sz w:val="24"/>
        </w:rPr>
        <w:t>8、服务：指根据合同规定乙方承担与供货有关的辅助服务，如安装、调试、商检、技术咨询与培训、维修保养及其他有关售后服务和合同中规定乙方应当承担的义务等。</w:t>
      </w:r>
    </w:p>
    <w:p>
      <w:pPr>
        <w:ind w:firstLine="480"/>
        <w:jc w:val="both"/>
      </w:pPr>
      <w:r>
        <w:rPr>
          <w:sz w:val="24"/>
        </w:rPr>
        <w:t>9、工程：指建设工程，包括建筑物和构筑物的新建、改建、扩建、装修、拆除、修缮等。</w:t>
      </w:r>
    </w:p>
    <w:p>
      <w:pPr>
        <w:ind w:firstLine="480"/>
        <w:jc w:val="both"/>
      </w:pPr>
      <w:r>
        <w:rPr>
          <w:sz w:val="24"/>
        </w:rPr>
        <w:t>10</w:t>
      </w:r>
      <w:r>
        <w:rPr>
          <w:sz w:val="24"/>
        </w:rPr>
        <w:t>、交货时间：指乙方将标的物、技术资料及配套性知识产权物品等全部一并交付给甲方的日期时间。</w:t>
      </w:r>
    </w:p>
    <w:p>
      <w:pPr>
        <w:ind w:firstLine="480"/>
        <w:jc w:val="both"/>
      </w:pPr>
      <w:r>
        <w:rPr>
          <w:sz w:val="24"/>
        </w:rPr>
        <w:t>1</w:t>
      </w:r>
      <w:r>
        <w:rPr>
          <w:sz w:val="24"/>
        </w:rPr>
        <w:t>1</w:t>
      </w:r>
      <w:r>
        <w:rPr>
          <w:sz w:val="24"/>
        </w:rPr>
        <w:t>、指定地点：指合同项下货物进行交付、安装、调试、试运行的地点。</w:t>
      </w:r>
    </w:p>
    <w:p>
      <w:pPr>
        <w:ind w:firstLine="480"/>
        <w:jc w:val="both"/>
      </w:pPr>
      <w:r>
        <w:rPr>
          <w:sz w:val="24"/>
        </w:rPr>
        <w:t>1</w:t>
      </w:r>
      <w:r>
        <w:rPr>
          <w:sz w:val="24"/>
        </w:rPr>
        <w:t>2</w:t>
      </w:r>
      <w:r>
        <w:rPr>
          <w:sz w:val="24"/>
        </w:rPr>
        <w:t>、试运行期：甲方对乙方提供的货物是否合格进行考核试用的期限。</w:t>
      </w:r>
    </w:p>
    <w:p>
      <w:pPr>
        <w:ind w:firstLine="480"/>
        <w:jc w:val="both"/>
      </w:pPr>
      <w:r>
        <w:rPr>
          <w:sz w:val="24"/>
        </w:rPr>
        <w:t>1</w:t>
      </w:r>
      <w:r>
        <w:rPr>
          <w:sz w:val="24"/>
        </w:rPr>
        <w:t>3</w:t>
      </w:r>
      <w:r>
        <w:rPr>
          <w:sz w:val="24"/>
        </w:rPr>
        <w:t>、验收：指合同双方根据规定的程序和条件确认合同项下的货物符合技术规范的要求。</w:t>
      </w:r>
    </w:p>
    <w:p>
      <w:pPr>
        <w:ind w:firstLine="480"/>
        <w:jc w:val="both"/>
      </w:pPr>
      <w:r>
        <w:rPr>
          <w:sz w:val="24"/>
        </w:rPr>
        <w:t>1</w:t>
      </w:r>
      <w:r>
        <w:rPr>
          <w:sz w:val="24"/>
        </w:rPr>
        <w:t>4</w:t>
      </w:r>
      <w:r>
        <w:rPr>
          <w:sz w:val="24"/>
        </w:rPr>
        <w:t>、</w:t>
      </w:r>
      <w:r>
        <w:rPr>
          <w:sz w:val="24"/>
        </w:rPr>
        <w:t>“日”：指任何一天零时至第二天零时的时间段。</w:t>
      </w:r>
    </w:p>
    <w:p>
      <w:pPr>
        <w:ind w:firstLine="480"/>
        <w:jc w:val="both"/>
      </w:pPr>
      <w:r>
        <w:rPr>
          <w:sz w:val="24"/>
        </w:rPr>
        <w:t>1</w:t>
      </w:r>
      <w:r>
        <w:rPr>
          <w:sz w:val="24"/>
        </w:rPr>
        <w:t>5</w:t>
      </w:r>
      <w:r>
        <w:rPr>
          <w:sz w:val="24"/>
        </w:rPr>
        <w:t>、</w:t>
      </w:r>
      <w:r>
        <w:rPr>
          <w:sz w:val="24"/>
        </w:rPr>
        <w:t>“月”：指根据公历从一个月份中任何一天开始到下一个月相应日期的前一天的时间段，没有相应日期的，以相应月最后一天作为对应日期。</w:t>
      </w:r>
    </w:p>
    <w:p>
      <w:pPr>
        <w:ind w:firstLine="482"/>
        <w:jc w:val="both"/>
      </w:pPr>
      <w:r>
        <w:rPr>
          <w:b/>
          <w:sz w:val="24"/>
        </w:rPr>
        <w:t>第三条</w:t>
      </w:r>
      <w:r>
        <w:rPr>
          <w:b/>
          <w:sz w:val="24"/>
        </w:rPr>
        <w:t xml:space="preserve"> </w:t>
      </w:r>
      <w:r>
        <w:rPr>
          <w:b/>
          <w:sz w:val="24"/>
        </w:rPr>
        <w:t>合同标的（货物）与合同价格构成</w:t>
      </w:r>
    </w:p>
    <w:p>
      <w:pPr>
        <w:ind w:firstLine="480"/>
        <w:jc w:val="both"/>
      </w:pPr>
      <w:r>
        <w:rPr>
          <w:sz w:val="24"/>
        </w:rPr>
        <w:t>1、</w:t>
      </w:r>
      <w:r>
        <w:rPr>
          <w:sz w:val="24"/>
        </w:rPr>
        <w:t>货物</w:t>
      </w:r>
      <w:r>
        <w:rPr>
          <w:sz w:val="24"/>
        </w:rPr>
        <w:t>基本情况（</w:t>
      </w:r>
      <w:r>
        <w:rPr>
          <w:sz w:val="24"/>
        </w:rPr>
        <w:t>列表不能全面载明的，另见附件一：</w:t>
      </w:r>
      <w:r>
        <w:rPr>
          <w:b/>
          <w:sz w:val="24"/>
          <w:u w:val="single"/>
        </w:rPr>
        <w:t xml:space="preserve">            </w:t>
      </w:r>
      <w:r>
        <w:rPr>
          <w:b/>
          <w:sz w:val="24"/>
          <w:u w:val="single"/>
        </w:rPr>
        <w:t>采购项目</w:t>
      </w:r>
      <w:r>
        <w:rPr>
          <w:b/>
          <w:sz w:val="24"/>
        </w:rPr>
        <w:t>合同货物</w:t>
      </w:r>
      <w:r>
        <w:rPr>
          <w:b/>
          <w:sz w:val="24"/>
        </w:rPr>
        <w:t>/服务/工程</w:t>
      </w:r>
      <w:r>
        <w:rPr>
          <w:b/>
          <w:sz w:val="24"/>
        </w:rPr>
        <w:t>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588"/>
        <w:gridCol w:w="871"/>
        <w:gridCol w:w="1691"/>
        <w:gridCol w:w="508"/>
        <w:gridCol w:w="901"/>
        <w:gridCol w:w="1775"/>
        <w:gridCol w:w="1969"/>
      </w:tblGrid>
      <w:tr>
        <w:tc>
          <w:tcPr>
            <w:tcW w:type="dxa" w:w="588"/>
            <w:tcBorders>
              <w:top w:val="single" w:color="000000" w:sz="4"/>
              <w:left w:val="single" w:color="000000" w:sz="4"/>
              <w:bottom w:val="single" w:color="000000" w:sz="4"/>
              <w:right w:val="single" w:color="000000" w:sz="4"/>
            </w:tcBorders>
            <w:vAlign w:val="top"/>
          </w:tcPr>
          <w:p>
            <w:pPr>
              <w:jc w:val="both"/>
            </w:pPr>
            <w:r>
              <w:rPr>
                <w:sz w:val="24"/>
              </w:rPr>
              <w:t>序号</w:t>
            </w:r>
          </w:p>
        </w:tc>
        <w:tc>
          <w:tcPr>
            <w:tcW w:type="dxa" w:w="871"/>
            <w:tcBorders>
              <w:top w:val="single" w:color="000000" w:sz="4"/>
              <w:left w:val="single" w:color="000000" w:sz="4"/>
              <w:bottom w:val="single" w:color="000000" w:sz="4"/>
              <w:right w:val="single" w:color="000000" w:sz="4"/>
            </w:tcBorders>
            <w:vAlign w:val="top"/>
          </w:tcPr>
          <w:p>
            <w:pPr>
              <w:jc w:val="both"/>
            </w:pPr>
            <w:r>
              <w:rPr>
                <w:sz w:val="24"/>
              </w:rPr>
              <w:t>名称</w:t>
            </w:r>
          </w:p>
        </w:tc>
        <w:tc>
          <w:tcPr>
            <w:tcW w:type="dxa" w:w="1691"/>
            <w:tcBorders>
              <w:top w:val="single" w:color="000000" w:sz="4"/>
              <w:left w:val="single" w:color="000000" w:sz="4"/>
              <w:bottom w:val="single" w:color="000000" w:sz="4"/>
              <w:right w:val="single" w:color="000000" w:sz="4"/>
            </w:tcBorders>
            <w:vAlign w:val="top"/>
          </w:tcPr>
          <w:p>
            <w:pPr>
              <w:jc w:val="both"/>
            </w:pPr>
            <w:r>
              <w:rPr>
                <w:sz w:val="24"/>
              </w:rPr>
              <w:t>厂商名称</w:t>
            </w:r>
          </w:p>
        </w:tc>
        <w:tc>
          <w:tcPr>
            <w:tcW w:type="dxa" w:w="508"/>
            <w:tcBorders>
              <w:top w:val="single" w:color="000000" w:sz="4"/>
              <w:left w:val="single" w:color="000000" w:sz="4"/>
              <w:bottom w:val="single" w:color="000000" w:sz="4"/>
              <w:right w:val="single" w:color="000000" w:sz="4"/>
            </w:tcBorders>
            <w:vAlign w:val="top"/>
          </w:tcPr>
          <w:p>
            <w:pPr>
              <w:jc w:val="both"/>
            </w:pPr>
            <w:r>
              <w:rPr>
                <w:sz w:val="24"/>
              </w:rPr>
              <w:t>数量</w:t>
            </w:r>
          </w:p>
        </w:tc>
        <w:tc>
          <w:tcPr>
            <w:tcW w:type="dxa" w:w="901"/>
            <w:tcBorders>
              <w:top w:val="single" w:color="000000" w:sz="4"/>
              <w:left w:val="single" w:color="000000" w:sz="4"/>
              <w:bottom w:val="single" w:color="000000" w:sz="4"/>
              <w:right w:val="single" w:color="000000" w:sz="4"/>
            </w:tcBorders>
            <w:vAlign w:val="top"/>
          </w:tcPr>
          <w:p>
            <w:pPr>
              <w:jc w:val="both"/>
            </w:pPr>
            <w:r>
              <w:rPr>
                <w:sz w:val="24"/>
              </w:rPr>
              <w:t>计量</w:t>
            </w:r>
          </w:p>
          <w:p>
            <w:pPr>
              <w:jc w:val="both"/>
            </w:pPr>
            <w:r>
              <w:rPr>
                <w:sz w:val="24"/>
              </w:rPr>
              <w:t>单位</w:t>
            </w:r>
          </w:p>
        </w:tc>
        <w:tc>
          <w:tcPr>
            <w:tcW w:type="dxa" w:w="1775"/>
            <w:tcBorders>
              <w:top w:val="single" w:color="000000" w:sz="4"/>
              <w:left w:val="single" w:color="000000" w:sz="4"/>
              <w:bottom w:val="single" w:color="000000" w:sz="4"/>
              <w:right w:val="single" w:color="000000" w:sz="4"/>
            </w:tcBorders>
            <w:vAlign w:val="top"/>
          </w:tcPr>
          <w:p>
            <w:pPr>
              <w:jc w:val="both"/>
            </w:pPr>
            <w:r>
              <w:rPr>
                <w:sz w:val="24"/>
              </w:rPr>
              <w:t>单价</w:t>
            </w:r>
            <w:r>
              <w:rPr>
                <w:sz w:val="24"/>
              </w:rPr>
              <w:t>(元)</w:t>
            </w:r>
          </w:p>
        </w:tc>
        <w:tc>
          <w:tcPr>
            <w:tcW w:type="dxa" w:w="1969"/>
            <w:tcBorders>
              <w:top w:val="single" w:color="000000" w:sz="4"/>
              <w:left w:val="single" w:color="000000" w:sz="4"/>
              <w:bottom w:val="single" w:color="000000" w:sz="4"/>
              <w:right w:val="single" w:color="000000" w:sz="4"/>
            </w:tcBorders>
            <w:vAlign w:val="top"/>
          </w:tcPr>
          <w:p>
            <w:pPr>
              <w:jc w:val="both"/>
            </w:pPr>
            <w:r>
              <w:rPr>
                <w:sz w:val="24"/>
              </w:rPr>
              <w:t>小计价</w:t>
            </w:r>
            <w:r>
              <w:rPr>
                <w:sz w:val="24"/>
              </w:rPr>
              <w:t>(元)</w:t>
            </w:r>
          </w:p>
        </w:tc>
      </w:tr>
      <w:tr>
        <w:tc>
          <w:tcPr>
            <w:tcW w:type="dxa" w:w="588"/>
            <w:tcBorders>
              <w:top w:val="none" w:color="000000" w:sz="4"/>
              <w:left w:val="single" w:color="000000" w:sz="4"/>
              <w:bottom w:val="single" w:color="000000" w:sz="4"/>
              <w:right w:val="single" w:color="000000" w:sz="4"/>
            </w:tcBorders>
            <w:vAlign w:val="top"/>
          </w:tcPr>
          <w:p>
            <w:pPr>
              <w:jc w:val="both"/>
            </w:pPr>
          </w:p>
        </w:tc>
        <w:tc>
          <w:tcPr>
            <w:tcW w:type="dxa" w:w="871"/>
            <w:tcBorders>
              <w:top w:val="none" w:color="000000" w:sz="4"/>
              <w:left w:val="single" w:color="000000" w:sz="4"/>
              <w:bottom w:val="single" w:color="000000" w:sz="4"/>
              <w:right w:val="single" w:color="000000" w:sz="4"/>
            </w:tcBorders>
            <w:vAlign w:val="top"/>
          </w:tcPr>
          <w:p>
            <w:pPr>
              <w:jc w:val="both"/>
            </w:pPr>
          </w:p>
        </w:tc>
        <w:tc>
          <w:tcPr>
            <w:tcW w:type="dxa" w:w="1691"/>
            <w:tcBorders>
              <w:top w:val="none" w:color="000000" w:sz="4"/>
              <w:left w:val="single" w:color="000000" w:sz="4"/>
              <w:bottom w:val="single" w:color="000000" w:sz="4"/>
              <w:right w:val="single" w:color="000000" w:sz="4"/>
            </w:tcBorders>
            <w:vAlign w:val="top"/>
          </w:tcPr>
          <w:p>
            <w:pPr>
              <w:jc w:val="both"/>
            </w:pPr>
          </w:p>
        </w:tc>
        <w:tc>
          <w:tcPr>
            <w:tcW w:type="dxa" w:w="508"/>
            <w:tcBorders>
              <w:top w:val="none" w:color="000000" w:sz="4"/>
              <w:left w:val="single" w:color="000000" w:sz="4"/>
              <w:bottom w:val="single" w:color="000000" w:sz="4"/>
              <w:right w:val="single" w:color="000000" w:sz="4"/>
            </w:tcBorders>
            <w:vAlign w:val="top"/>
          </w:tcPr>
          <w:p>
            <w:pPr>
              <w:jc w:val="both"/>
            </w:pPr>
          </w:p>
        </w:tc>
        <w:tc>
          <w:tcPr>
            <w:tcW w:type="dxa" w:w="901"/>
            <w:tcBorders>
              <w:top w:val="none" w:color="000000" w:sz="4"/>
              <w:left w:val="single" w:color="000000" w:sz="4"/>
              <w:bottom w:val="single" w:color="000000" w:sz="4"/>
              <w:right w:val="single" w:color="000000" w:sz="4"/>
            </w:tcBorders>
            <w:vAlign w:val="top"/>
          </w:tcPr>
          <w:p>
            <w:pPr>
              <w:jc w:val="both"/>
            </w:pPr>
          </w:p>
        </w:tc>
        <w:tc>
          <w:tcPr>
            <w:tcW w:type="dxa" w:w="1775"/>
            <w:tcBorders>
              <w:top w:val="none" w:color="000000" w:sz="4"/>
              <w:left w:val="single" w:color="000000" w:sz="4"/>
              <w:bottom w:val="single" w:color="000000" w:sz="4"/>
              <w:right w:val="single" w:color="000000" w:sz="4"/>
            </w:tcBorders>
            <w:vAlign w:val="top"/>
          </w:tcPr>
          <w:p>
            <w:pPr>
              <w:jc w:val="both"/>
            </w:pPr>
            <w:r>
              <w:rPr>
                <w:sz w:val="21"/>
              </w:rPr>
              <w:t xml:space="preserve"> </w:t>
            </w:r>
          </w:p>
        </w:tc>
        <w:tc>
          <w:tcPr>
            <w:tcW w:type="dxa" w:w="1969"/>
            <w:tcBorders>
              <w:top w:val="none" w:color="000000" w:sz="4"/>
              <w:left w:val="single" w:color="000000" w:sz="4"/>
              <w:bottom w:val="single" w:color="000000" w:sz="4"/>
              <w:right w:val="single" w:color="000000" w:sz="4"/>
            </w:tcBorders>
            <w:vAlign w:val="top"/>
          </w:tcPr>
          <w:p>
            <w:pPr>
              <w:jc w:val="both"/>
            </w:pPr>
            <w:r>
              <w:rPr>
                <w:sz w:val="21"/>
              </w:rPr>
              <w:t xml:space="preserve"> </w:t>
            </w:r>
          </w:p>
        </w:tc>
      </w:tr>
      <w:tr>
        <w:tc>
          <w:tcPr>
            <w:tcW w:type="dxa" w:w="588"/>
            <w:tcBorders>
              <w:top w:val="none" w:color="000000" w:sz="4"/>
              <w:left w:val="single" w:color="000000" w:sz="4"/>
              <w:bottom w:val="single" w:color="000000" w:sz="4"/>
              <w:right w:val="single" w:color="000000" w:sz="4"/>
            </w:tcBorders>
            <w:vAlign w:val="top"/>
          </w:tcPr>
          <w:p>
            <w:pPr>
              <w:jc w:val="both"/>
            </w:pPr>
          </w:p>
          <w:p>
            <w:pPr>
              <w:ind w:firstLine="480"/>
              <w:jc w:val="both"/>
            </w:pPr>
          </w:p>
        </w:tc>
        <w:tc>
          <w:tcPr>
            <w:tcW w:type="dxa" w:w="871"/>
            <w:tcBorders>
              <w:top w:val="none" w:color="000000" w:sz="4"/>
              <w:left w:val="single" w:color="000000" w:sz="4"/>
              <w:bottom w:val="single" w:color="000000" w:sz="4"/>
              <w:right w:val="single" w:color="000000" w:sz="4"/>
            </w:tcBorders>
            <w:vAlign w:val="top"/>
          </w:tcPr>
          <w:p>
            <w:pPr>
              <w:jc w:val="both"/>
            </w:pPr>
          </w:p>
        </w:tc>
        <w:tc>
          <w:tcPr>
            <w:tcW w:type="dxa" w:w="1691"/>
            <w:tcBorders>
              <w:top w:val="none" w:color="000000" w:sz="4"/>
              <w:left w:val="single" w:color="000000" w:sz="4"/>
              <w:bottom w:val="single" w:color="000000" w:sz="4"/>
              <w:right w:val="single" w:color="000000" w:sz="4"/>
            </w:tcBorders>
            <w:vAlign w:val="top"/>
          </w:tcPr>
          <w:p>
            <w:pPr>
              <w:jc w:val="both"/>
            </w:pPr>
          </w:p>
        </w:tc>
        <w:tc>
          <w:tcPr>
            <w:tcW w:type="dxa" w:w="508"/>
            <w:tcBorders>
              <w:top w:val="none" w:color="000000" w:sz="4"/>
              <w:left w:val="single" w:color="000000" w:sz="4"/>
              <w:bottom w:val="single" w:color="000000" w:sz="4"/>
              <w:right w:val="single" w:color="000000" w:sz="4"/>
            </w:tcBorders>
            <w:vAlign w:val="top"/>
          </w:tcPr>
          <w:p>
            <w:pPr>
              <w:jc w:val="both"/>
            </w:pPr>
          </w:p>
        </w:tc>
        <w:tc>
          <w:tcPr>
            <w:tcW w:type="dxa" w:w="901"/>
            <w:tcBorders>
              <w:top w:val="none" w:color="000000" w:sz="4"/>
              <w:left w:val="single" w:color="000000" w:sz="4"/>
              <w:bottom w:val="single" w:color="000000" w:sz="4"/>
              <w:right w:val="single" w:color="000000" w:sz="4"/>
            </w:tcBorders>
            <w:vAlign w:val="top"/>
          </w:tcPr>
          <w:p>
            <w:pPr>
              <w:jc w:val="both"/>
            </w:pPr>
          </w:p>
        </w:tc>
        <w:tc>
          <w:tcPr>
            <w:tcW w:type="dxa" w:w="1775"/>
            <w:tcBorders>
              <w:top w:val="none" w:color="000000" w:sz="4"/>
              <w:left w:val="single" w:color="000000" w:sz="4"/>
              <w:bottom w:val="single" w:color="000000" w:sz="4"/>
              <w:right w:val="single" w:color="000000" w:sz="4"/>
            </w:tcBorders>
            <w:vAlign w:val="top"/>
          </w:tcPr>
          <w:p>
            <w:pPr>
              <w:jc w:val="both"/>
            </w:pPr>
            <w:r>
              <w:rPr>
                <w:sz w:val="21"/>
              </w:rPr>
              <w:t xml:space="preserve"> </w:t>
            </w:r>
          </w:p>
        </w:tc>
        <w:tc>
          <w:tcPr>
            <w:tcW w:type="dxa" w:w="1969"/>
            <w:tcBorders>
              <w:top w:val="none" w:color="000000" w:sz="4"/>
              <w:left w:val="single" w:color="000000" w:sz="4"/>
              <w:bottom w:val="single" w:color="000000" w:sz="4"/>
              <w:right w:val="single" w:color="000000" w:sz="4"/>
            </w:tcBorders>
            <w:vAlign w:val="top"/>
          </w:tcPr>
          <w:p>
            <w:pPr>
              <w:jc w:val="both"/>
            </w:pPr>
            <w:r>
              <w:rPr>
                <w:sz w:val="21"/>
              </w:rPr>
              <w:t xml:space="preserve"> </w:t>
            </w:r>
          </w:p>
        </w:tc>
      </w:tr>
    </w:tbl>
    <w:p>
      <w:r>
        <w:rPr/>
        <w:t xml:space="preserve"> </w:t>
      </w:r>
    </w:p>
    <w:p>
      <w:pPr>
        <w:ind w:firstLine="482"/>
        <w:jc w:val="both"/>
      </w:pPr>
      <w:r>
        <w:rPr>
          <w:b/>
          <w:sz w:val="24"/>
        </w:rPr>
        <w:t>第四条　</w:t>
      </w:r>
      <w:r>
        <w:rPr>
          <w:b/>
          <w:sz w:val="24"/>
        </w:rPr>
        <w:t>质量要求和技术标准</w:t>
      </w:r>
    </w:p>
    <w:p>
      <w:pPr>
        <w:ind w:firstLine="480"/>
        <w:jc w:val="both"/>
      </w:pPr>
      <w:r>
        <w:rPr>
          <w:sz w:val="24"/>
        </w:rPr>
        <w:t>1、乙方交付的货物之质量、技术、环保、安全、卫生等标准必须符合国家标准或相应进口标准。但是，本合同约定的标准高于国家标准的，则按约定的标准执行。在既无约定的标准、亦无国家标准时，则按行业标准执行；无行业标准的，按商业惯例。</w:t>
      </w:r>
    </w:p>
    <w:p>
      <w:pPr>
        <w:ind w:firstLine="480"/>
        <w:jc w:val="both"/>
      </w:pPr>
      <w:r>
        <w:rPr>
          <w:sz w:val="24"/>
        </w:rPr>
        <w:t>2、如乙方应甲方要求需负责出具标的物的设计出图、机械制造图纸的，则由乙方按照甲方提供的基本参数及附件要求进行设计，设计完成并经甲方确认后，再由乙方进行制造。乙方提供的设计方案、机械制造图纸等须具备设计资质的单位出具且须符合本合同约定及有关标准。</w:t>
      </w:r>
    </w:p>
    <w:p>
      <w:pPr>
        <w:ind w:firstLine="480"/>
        <w:jc w:val="both"/>
      </w:pPr>
      <w:r>
        <w:rPr>
          <w:sz w:val="24"/>
        </w:rPr>
        <w:t>3、乙方提供的货物必须是全新的、表面和内部均无瑕疵的原厂正品。</w:t>
      </w:r>
    </w:p>
    <w:p>
      <w:pPr>
        <w:ind w:firstLine="480"/>
        <w:jc w:val="both"/>
      </w:pPr>
      <w:r>
        <w:rPr>
          <w:sz w:val="24"/>
        </w:rPr>
        <w:t>4、包装和运输：</w:t>
      </w:r>
    </w:p>
    <w:p>
      <w:pPr>
        <w:ind w:firstLine="480"/>
        <w:jc w:val="both"/>
      </w:pPr>
      <w:r>
        <w:rPr>
          <w:sz w:val="24"/>
        </w:rPr>
        <w:t>（</w:t>
      </w:r>
      <w:r>
        <w:rPr>
          <w:sz w:val="24"/>
        </w:rPr>
        <w:t>1）乙方应采取相应安全措施对货物进行包装和运输，确保货物安全无损地到达合同指定地点。</w:t>
      </w:r>
    </w:p>
    <w:p>
      <w:pPr>
        <w:ind w:firstLine="480"/>
        <w:jc w:val="both"/>
      </w:pPr>
      <w:r>
        <w:rPr>
          <w:sz w:val="24"/>
        </w:rPr>
        <w:t>（</w:t>
      </w:r>
      <w:r>
        <w:rPr>
          <w:sz w:val="24"/>
        </w:rPr>
        <w:t>2）包装箱及每一附件应注明货物名称、型号、件数、附件品名与数量，包装箱内应附有产品说明书、使用说明书或用户手册、质检合格证书、商检证明等。</w:t>
      </w:r>
    </w:p>
    <w:p>
      <w:pPr>
        <w:ind w:firstLine="482"/>
        <w:jc w:val="both"/>
      </w:pPr>
      <w:r>
        <w:rPr>
          <w:b/>
          <w:sz w:val="24"/>
        </w:rPr>
        <w:t>第五条</w:t>
      </w:r>
      <w:r>
        <w:rPr>
          <w:b/>
          <w:sz w:val="24"/>
        </w:rPr>
        <w:t xml:space="preserve"> </w:t>
      </w:r>
      <w:r>
        <w:rPr>
          <w:b/>
          <w:sz w:val="24"/>
        </w:rPr>
        <w:t>交货时间、地点和方式</w:t>
      </w:r>
    </w:p>
    <w:p>
      <w:pPr>
        <w:ind w:firstLine="480"/>
        <w:jc w:val="both"/>
      </w:pPr>
      <w:r>
        <w:rPr>
          <w:sz w:val="24"/>
        </w:rPr>
        <w:t>1、交货时间与地点：</w:t>
      </w:r>
      <w:r>
        <w:rPr>
          <w:sz w:val="24"/>
        </w:rPr>
        <w:t>乙方</w:t>
      </w:r>
      <w:r>
        <w:rPr>
          <w:sz w:val="24"/>
        </w:rPr>
        <w:t>应在</w:t>
      </w:r>
      <w:r>
        <w:rPr>
          <w:b/>
          <w:sz w:val="24"/>
        </w:rPr>
        <w:t>合同签订之日起</w:t>
      </w:r>
      <w:r>
        <w:rPr>
          <w:b/>
          <w:sz w:val="24"/>
        </w:rPr>
        <w:t>的</w:t>
      </w:r>
      <w:r>
        <w:rPr>
          <w:b/>
          <w:sz w:val="21"/>
          <w:u w:val="single"/>
        </w:rPr>
        <w:t xml:space="preserve">     </w:t>
      </w:r>
      <w:r>
        <w:rPr>
          <w:b/>
          <w:sz w:val="24"/>
        </w:rPr>
        <w:t>日内</w:t>
      </w:r>
      <w:r>
        <w:rPr>
          <w:sz w:val="24"/>
        </w:rPr>
        <w:t>，将标的物运送至甲方指定的地点并安装、调试和试运行（费用包含在合同总价之中）。验收完成前产生的各种费用均由乙方承担。需要技术培训的，技术培训要求详见本合同第十九条。</w:t>
      </w:r>
    </w:p>
    <w:p>
      <w:pPr>
        <w:ind w:firstLine="480"/>
        <w:jc w:val="both"/>
      </w:pPr>
      <w:r>
        <w:rPr>
          <w:sz w:val="24"/>
        </w:rPr>
        <w:t>2、乙方交货时应将技术资料及配套性知识产权物品等全部一并交付给甲方。</w:t>
      </w:r>
    </w:p>
    <w:p>
      <w:pPr>
        <w:ind w:firstLine="480"/>
        <w:jc w:val="both"/>
      </w:pPr>
      <w:r>
        <w:rPr>
          <w:sz w:val="24"/>
        </w:rPr>
        <w:t>3、货物毁损、灭失的风险：在到达甲方指定地点并安装、调试和试运行前由乙方承担。</w:t>
      </w:r>
    </w:p>
    <w:p>
      <w:pPr>
        <w:ind w:firstLine="480"/>
        <w:jc w:val="both"/>
      </w:pPr>
      <w:r>
        <w:rPr>
          <w:sz w:val="24"/>
        </w:rPr>
        <w:t>4、安装要求如下：</w:t>
      </w:r>
    </w:p>
    <w:p>
      <w:pPr>
        <w:ind w:firstLine="480"/>
        <w:jc w:val="both"/>
      </w:pPr>
      <w:r>
        <w:rPr>
          <w:sz w:val="24"/>
        </w:rPr>
        <w:t>(1)乙方应将货物送达并安装于甲方</w:t>
      </w:r>
      <w:r>
        <w:rPr>
          <w:sz w:val="24"/>
        </w:rPr>
        <w:t>指定的地点</w:t>
      </w:r>
      <w:r>
        <w:rPr>
          <w:sz w:val="24"/>
        </w:rPr>
        <w:t>或场所</w:t>
      </w:r>
      <w:r>
        <w:rPr>
          <w:b/>
          <w:sz w:val="24"/>
        </w:rPr>
        <w:t>：</w:t>
      </w:r>
      <w:r>
        <w:rPr>
          <w:b/>
          <w:sz w:val="24"/>
          <w:u w:val="single"/>
        </w:rPr>
        <w:t>佛山仙湖实验室</w:t>
      </w:r>
      <w:r>
        <w:rPr>
          <w:b/>
          <w:sz w:val="24"/>
        </w:rPr>
        <w:t>。</w:t>
      </w:r>
    </w:p>
    <w:p>
      <w:pPr>
        <w:ind w:firstLine="480"/>
        <w:jc w:val="both"/>
      </w:pPr>
      <w:r>
        <w:rPr>
          <w:sz w:val="24"/>
        </w:rPr>
        <w:t>(2)乙方应当派遣相应的专业技术人员进行安装、调试，应按图施工，并不得对甲方的既存权利造成损害。对乙方在安装、调试、交付过程中发生的生产安全事故，甲方不承担任何法律责任，全部由乙方负责。</w:t>
      </w:r>
    </w:p>
    <w:p>
      <w:pPr>
        <w:ind w:firstLine="480"/>
        <w:jc w:val="both"/>
      </w:pPr>
      <w:r>
        <w:rPr>
          <w:sz w:val="24"/>
        </w:rPr>
        <w:t>(3)</w:t>
      </w:r>
      <w:r>
        <w:rPr>
          <w:sz w:val="24"/>
        </w:rPr>
        <w:t>遵守国家或地方政府及有关部门对施工现场管理的规定，妥善保护好施工现场周围设备管线不受损坏。处理好由于施工带来的扰民问题。做好施工现场保卫和垃圾消纳等工作，并承担相应费用。</w:t>
      </w:r>
    </w:p>
    <w:p>
      <w:pPr>
        <w:ind w:firstLine="482"/>
        <w:jc w:val="both"/>
      </w:pPr>
      <w:r>
        <w:rPr>
          <w:b/>
          <w:sz w:val="24"/>
        </w:rPr>
        <w:t>第六条　货物验收</w:t>
      </w:r>
    </w:p>
    <w:p>
      <w:pPr>
        <w:ind w:firstLine="480"/>
        <w:jc w:val="both"/>
      </w:pPr>
      <w:r>
        <w:rPr>
          <w:sz w:val="24"/>
        </w:rPr>
        <w:t>1、</w:t>
      </w:r>
      <w:r>
        <w:rPr>
          <w:sz w:val="24"/>
        </w:rPr>
        <w:t>货物送到甲方指定地点后由甲方负责对货物的数量、</w:t>
      </w:r>
      <w:r>
        <w:rPr>
          <w:sz w:val="24"/>
        </w:rPr>
        <w:t>型号</w:t>
      </w:r>
      <w:r>
        <w:rPr>
          <w:sz w:val="24"/>
        </w:rPr>
        <w:t>、外观</w:t>
      </w:r>
      <w:r>
        <w:rPr>
          <w:sz w:val="24"/>
        </w:rPr>
        <w:t>标识</w:t>
      </w:r>
      <w:r>
        <w:rPr>
          <w:sz w:val="24"/>
        </w:rPr>
        <w:t>、包装、配套附件、技术资料文件等进行签收，签收成功后乙方对货物进行安装、调试和试运行。</w:t>
      </w:r>
    </w:p>
    <w:p>
      <w:pPr>
        <w:ind w:firstLine="480"/>
        <w:jc w:val="both"/>
      </w:pPr>
      <w:r>
        <w:rPr>
          <w:sz w:val="24"/>
        </w:rPr>
        <w:t>2、试运行期</w:t>
      </w:r>
      <w:r>
        <w:rPr>
          <w:sz w:val="24"/>
        </w:rPr>
        <w:t>期间内所产生的维修、调试、修复、复检、重新安装、差旅费等费用全部由乙方承担，</w:t>
      </w:r>
      <w:r>
        <w:rPr>
          <w:sz w:val="24"/>
        </w:rPr>
        <w:t>乙方应当于安装、调试和试运行完成之次日（工作日），向甲方提交要求确认</w:t>
      </w:r>
      <w:r>
        <w:rPr>
          <w:sz w:val="24"/>
        </w:rPr>
        <w:t>货物总体验收</w:t>
      </w:r>
      <w:r>
        <w:rPr>
          <w:sz w:val="24"/>
        </w:rPr>
        <w:t>合格之书面申请。</w:t>
      </w:r>
      <w:r>
        <w:rPr>
          <w:sz w:val="24"/>
        </w:rPr>
        <w:t>甲方应当</w:t>
      </w:r>
      <w:r>
        <w:rPr>
          <w:b/>
          <w:sz w:val="24"/>
        </w:rPr>
        <w:t>在收到该书面申请后</w:t>
      </w:r>
      <w:r>
        <w:rPr>
          <w:b/>
          <w:sz w:val="24"/>
          <w:u w:val="single"/>
        </w:rPr>
        <w:t>5　</w:t>
      </w:r>
      <w:r>
        <w:rPr>
          <w:b/>
          <w:sz w:val="24"/>
        </w:rPr>
        <w:t>个工作日内</w:t>
      </w:r>
      <w:r>
        <w:rPr>
          <w:sz w:val="24"/>
        </w:rPr>
        <w:t>复核，并根据甲方验收制度和设备实际情况组织验收小组进行验收。符合约定的质量标准的，签发</w:t>
      </w:r>
      <w:r>
        <w:rPr>
          <w:sz w:val="24"/>
        </w:rPr>
        <w:t>《</w:t>
      </w:r>
      <w:r>
        <w:rPr>
          <w:sz w:val="24"/>
        </w:rPr>
        <w:t>验收</w:t>
      </w:r>
      <w:r>
        <w:rPr>
          <w:sz w:val="24"/>
        </w:rPr>
        <w:t>报告》；否则《验收报告》不予签发。</w:t>
      </w:r>
    </w:p>
    <w:p>
      <w:pPr>
        <w:ind w:firstLine="360"/>
        <w:jc w:val="both"/>
      </w:pPr>
      <w:r>
        <w:rPr>
          <w:sz w:val="24"/>
        </w:rPr>
        <w:t>3、如因质量发生争议，由双方共同委托佛山市市场监督管理部门或佛山市内具有法定资质的鉴定机构进行质量鉴定。该鉴定结论对双方均具有法律约束力。货物符合质量标准的，鉴定费由甲方承担；不符合的，鉴定费由乙方承担。</w:t>
      </w:r>
    </w:p>
    <w:p>
      <w:pPr>
        <w:ind w:firstLine="472"/>
        <w:jc w:val="both"/>
      </w:pPr>
      <w:r>
        <w:rPr>
          <w:b/>
          <w:sz w:val="24"/>
        </w:rPr>
        <w:t>第七条　</w:t>
      </w:r>
      <w:r>
        <w:rPr>
          <w:b/>
          <w:sz w:val="24"/>
        </w:rPr>
        <w:t>质量</w:t>
      </w:r>
      <w:r>
        <w:rPr>
          <w:b/>
          <w:sz w:val="24"/>
        </w:rPr>
        <w:t>保修和售后服务</w:t>
      </w:r>
    </w:p>
    <w:p>
      <w:pPr>
        <w:ind w:firstLine="616"/>
        <w:jc w:val="both"/>
      </w:pPr>
      <w:r>
        <w:rPr>
          <w:sz w:val="24"/>
        </w:rPr>
        <w:t>1、质量保修和售后服务期限：</w:t>
      </w:r>
    </w:p>
    <w:tbl>
      <w:tblPr>
        <w:tblW w:w="0" w:type="auto"/>
        <w:tblBorders>
          <w:top w:val="none" w:color="000000" w:sz="4"/>
          <w:left w:val="none" w:color="000000" w:sz="4"/>
          <w:bottom w:val="none" w:color="000000" w:sz="4"/>
          <w:right w:val="none" w:color="000000" w:sz="4"/>
          <w:insideH w:val="none"/>
          <w:insideV w:val="none"/>
        </w:tblBorders>
      </w:tblPr>
      <w:tblGrid>
        <w:gridCol w:w="1010"/>
        <w:gridCol w:w="2641"/>
        <w:gridCol w:w="4653"/>
      </w:tblGrid>
      <w:tr>
        <w:tc>
          <w:tcPr>
            <w:tcW w:type="dxa" w:w="1010"/>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2641"/>
            <w:tcBorders>
              <w:top w:val="single" w:color="000000" w:sz="4"/>
              <w:left w:val="single" w:color="000000" w:sz="4"/>
              <w:bottom w:val="single" w:color="000000" w:sz="4"/>
              <w:right w:val="single" w:color="000000" w:sz="4"/>
            </w:tcBorders>
            <w:vAlign w:val="top"/>
          </w:tcPr>
          <w:p>
            <w:pPr>
              <w:jc w:val="center"/>
            </w:pPr>
            <w:r>
              <w:rPr>
                <w:sz w:val="24"/>
              </w:rPr>
              <w:t>货物名称</w:t>
            </w:r>
          </w:p>
        </w:tc>
        <w:tc>
          <w:tcPr>
            <w:tcW w:type="dxa" w:w="4653"/>
            <w:tcBorders>
              <w:top w:val="single" w:color="000000" w:sz="4"/>
              <w:left w:val="single" w:color="000000" w:sz="4"/>
              <w:bottom w:val="single" w:color="000000" w:sz="4"/>
              <w:right w:val="single" w:color="000000" w:sz="4"/>
            </w:tcBorders>
            <w:vAlign w:val="top"/>
          </w:tcPr>
          <w:p>
            <w:pPr>
              <w:jc w:val="center"/>
            </w:pPr>
            <w:r>
              <w:rPr>
                <w:sz w:val="24"/>
              </w:rPr>
              <w:t>免费保修期（自</w:t>
            </w:r>
            <w:r>
              <w:rPr>
                <w:sz w:val="24"/>
              </w:rPr>
              <w:t>签发《验收报告》之日起算）</w:t>
            </w:r>
          </w:p>
        </w:tc>
      </w:tr>
      <w:tr>
        <w:tc>
          <w:tcPr>
            <w:tcW w:type="dxa" w:w="1010"/>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2641"/>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4653"/>
            <w:tcBorders>
              <w:top w:val="none" w:color="000000" w:sz="4"/>
              <w:left w:val="single" w:color="000000" w:sz="4"/>
              <w:bottom w:val="single" w:color="000000" w:sz="4"/>
              <w:right w:val="single" w:color="000000" w:sz="4"/>
            </w:tcBorders>
            <w:vAlign w:val="top"/>
          </w:tcPr>
          <w:p>
            <w:pPr>
              <w:jc w:val="center"/>
            </w:pPr>
            <w:r>
              <w:rPr>
                <w:sz w:val="21"/>
              </w:rPr>
              <w:t xml:space="preserve">  </w:t>
            </w:r>
          </w:p>
        </w:tc>
      </w:tr>
      <w:tr>
        <w:tc>
          <w:tcPr>
            <w:tcW w:type="dxa" w:w="1010"/>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2641"/>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4653"/>
            <w:tcBorders>
              <w:top w:val="none" w:color="000000" w:sz="4"/>
              <w:left w:val="single" w:color="000000" w:sz="4"/>
              <w:bottom w:val="single" w:color="000000" w:sz="4"/>
              <w:right w:val="single" w:color="000000" w:sz="4"/>
            </w:tcBorders>
            <w:vAlign w:val="top"/>
          </w:tcPr>
          <w:p>
            <w:pPr>
              <w:jc w:val="center"/>
            </w:pPr>
            <w:r>
              <w:rPr>
                <w:sz w:val="21"/>
              </w:rPr>
              <w:t xml:space="preserve">  </w:t>
            </w:r>
          </w:p>
        </w:tc>
      </w:tr>
    </w:tbl>
    <w:p>
      <w:pPr>
        <w:ind w:firstLine="480"/>
        <w:jc w:val="both"/>
      </w:pPr>
      <w:r>
        <w:rPr>
          <w:sz w:val="24"/>
        </w:rPr>
        <w:t>2、乙方承诺所提供产品均为全新整机设备。</w:t>
      </w:r>
      <w:r>
        <w:rPr>
          <w:sz w:val="24"/>
        </w:rPr>
        <w:t>保修期内，上门服务费由乙方承担，，每年有专门售后工程师巡检并调试仪器。如货物非因甲方的人为原因而出现质量问题（包括但不限于由于产品设计、工艺、材质、配套件的缺陷或不符合本合同要求而造成的任何产品质量问题），乙方承诺包维修、包更换或退换、包安装、包调试、包正常运行（费用包含在合同总价之中）；如确属甲方人为原因损坏，乙方亦须无条件维修、更换或退换、安装、调试并确保正常运行，并承诺只收取成本费。维修时间不计入保修期内，保修期按照维修时间自动顺延。</w:t>
      </w:r>
    </w:p>
    <w:p>
      <w:pPr>
        <w:ind w:firstLine="480"/>
        <w:jc w:val="both"/>
      </w:pPr>
      <w:r>
        <w:rPr>
          <w:sz w:val="24"/>
        </w:rPr>
        <w:t>3、保修期过后，乙方提供终身应用技术支持和维修服务。需要维修或维护的，</w:t>
      </w:r>
      <w:r>
        <w:rPr>
          <w:sz w:val="24"/>
        </w:rPr>
        <w:t>乙方应派员检查与维修，并确保优质服务和质量合格且能正常运行。除收取更换耗材和配件费用外，其他全部不再另行收费，根据故障排查结果和维修方案提供最优惠价格。</w:t>
      </w:r>
      <w:r>
        <w:rPr>
          <w:sz w:val="24"/>
        </w:rPr>
        <w:t>终身提供上门维修服务和维护（免收上门服务费），零配件及耗材优惠供应。</w:t>
      </w:r>
    </w:p>
    <w:p>
      <w:pPr>
        <w:ind w:firstLine="480"/>
        <w:jc w:val="both"/>
      </w:pPr>
      <w:r>
        <w:rPr>
          <w:sz w:val="24"/>
        </w:rPr>
        <w:t>4、保修期（费用乙方负责）和有偿保修服务期内，乙方保证在接到故障电话后的</w:t>
      </w:r>
      <w:r>
        <w:rPr>
          <w:sz w:val="21"/>
          <w:u w:val="single"/>
        </w:rPr>
        <w:t xml:space="preserve">  </w:t>
      </w:r>
      <w:r>
        <w:rPr>
          <w:sz w:val="24"/>
        </w:rPr>
        <w:t>小时内响应甲方或甲方所属部门的要求，</w:t>
      </w:r>
      <w:r>
        <w:rPr>
          <w:sz w:val="21"/>
          <w:u w:val="single"/>
        </w:rPr>
        <w:t xml:space="preserve"> </w:t>
      </w:r>
      <w:r>
        <w:rPr>
          <w:sz w:val="24"/>
        </w:rPr>
        <w:t>小时内派员上门现场维护并在</w:t>
      </w:r>
      <w:r>
        <w:rPr>
          <w:sz w:val="21"/>
          <w:u w:val="single"/>
        </w:rPr>
        <w:t xml:space="preserve"> </w:t>
      </w:r>
      <w:r>
        <w:rPr>
          <w:sz w:val="24"/>
        </w:rPr>
        <w:t>小时内排除故障修复使用；如在规定时间内不能修复解决，则提供相同功能档次的货物设备作为代替使用，以确保货物能够满足甲方正常的需要，并对甲方相关技术人员提供技术培训，技术培训要求详见本合同第十九条。</w:t>
      </w:r>
    </w:p>
    <w:p>
      <w:pPr>
        <w:ind w:firstLine="480"/>
        <w:jc w:val="both"/>
      </w:pPr>
      <w:r>
        <w:rPr>
          <w:sz w:val="24"/>
        </w:rPr>
        <w:t>5、设备涉及软件新版本发布时，永久软件升级及更新（甲方无须另行支付费用）。提供在线操作咨询及疑难解答，联系方式：</w:t>
      </w:r>
      <w:r>
        <w:rPr>
          <w:sz w:val="21"/>
          <w:u w:val="single"/>
        </w:rPr>
        <w:t xml:space="preserve">                   </w:t>
      </w:r>
      <w:r>
        <w:rPr>
          <w:b/>
          <w:sz w:val="24"/>
        </w:rPr>
        <w:t>。</w:t>
      </w:r>
      <w:r>
        <w:rPr>
          <w:sz w:val="24"/>
        </w:rPr>
        <w:t>如有人员或联系方式变动应及时书面告知甲方。</w:t>
      </w:r>
      <w:r>
        <w:rPr>
          <w:b/>
          <w:sz w:val="21"/>
        </w:rPr>
        <w:t xml:space="preserve">   </w:t>
      </w:r>
    </w:p>
    <w:p>
      <w:pPr>
        <w:ind w:firstLine="482"/>
        <w:jc w:val="both"/>
      </w:pPr>
      <w:r>
        <w:rPr>
          <w:b/>
          <w:sz w:val="24"/>
        </w:rPr>
        <w:t>第八条　合同款支付</w:t>
      </w:r>
    </w:p>
    <w:p>
      <w:pPr>
        <w:ind w:firstLine="480"/>
        <w:jc w:val="both"/>
      </w:pPr>
      <w:r>
        <w:rPr>
          <w:sz w:val="24"/>
        </w:rPr>
        <w:t>1、合同签订生效之日起，且收到</w:t>
      </w:r>
      <w:r>
        <w:rPr>
          <w:sz w:val="24"/>
        </w:rPr>
        <w:t>乙方</w:t>
      </w:r>
      <w:r>
        <w:rPr>
          <w:sz w:val="24"/>
        </w:rPr>
        <w:t>提供</w:t>
      </w:r>
      <w:r>
        <w:rPr>
          <w:sz w:val="24"/>
        </w:rPr>
        <w:t>30%增值税专用发票后10个工作日内</w:t>
      </w:r>
      <w:r>
        <w:rPr>
          <w:sz w:val="24"/>
        </w:rPr>
        <w:t>甲方</w:t>
      </w:r>
      <w:r>
        <w:rPr>
          <w:sz w:val="24"/>
        </w:rPr>
        <w:t>支付合同总价的</w:t>
      </w:r>
      <w:r>
        <w:rPr>
          <w:sz w:val="24"/>
        </w:rPr>
        <w:t>30%即人民币（大写）：         元整（小写¥      元）；收款方、出具发票方必须与</w:t>
      </w:r>
      <w:r>
        <w:rPr>
          <w:sz w:val="24"/>
        </w:rPr>
        <w:t>乙方</w:t>
      </w:r>
      <w:r>
        <w:rPr>
          <w:sz w:val="24"/>
        </w:rPr>
        <w:t>名称一致。</w:t>
      </w:r>
    </w:p>
    <w:p>
      <w:pPr>
        <w:ind w:firstLine="480"/>
        <w:jc w:val="both"/>
      </w:pPr>
      <w:r>
        <w:rPr>
          <w:sz w:val="24"/>
        </w:rPr>
        <w:t>2、所有设备安装调试完毕并由</w:t>
      </w:r>
      <w:r>
        <w:rPr>
          <w:sz w:val="24"/>
        </w:rPr>
        <w:t>甲方</w:t>
      </w:r>
      <w:r>
        <w:rPr>
          <w:sz w:val="24"/>
        </w:rPr>
        <w:t>总体验收合格之日起，且收到</w:t>
      </w:r>
      <w:r>
        <w:rPr>
          <w:sz w:val="24"/>
        </w:rPr>
        <w:t>乙方</w:t>
      </w:r>
      <w:r>
        <w:rPr>
          <w:sz w:val="24"/>
        </w:rPr>
        <w:t>提供</w:t>
      </w:r>
      <w:r>
        <w:rPr>
          <w:sz w:val="24"/>
        </w:rPr>
        <w:t>70%增值税专用发票后10个工作日内</w:t>
      </w:r>
      <w:r>
        <w:rPr>
          <w:sz w:val="24"/>
        </w:rPr>
        <w:t>甲方</w:t>
      </w:r>
      <w:r>
        <w:rPr>
          <w:sz w:val="24"/>
        </w:rPr>
        <w:t>支付合同总价的</w:t>
      </w:r>
      <w:r>
        <w:rPr>
          <w:sz w:val="24"/>
        </w:rPr>
        <w:t>67%</w:t>
      </w:r>
      <w:r>
        <w:rPr>
          <w:sz w:val="24"/>
        </w:rPr>
        <w:t>，</w:t>
      </w:r>
      <w:r>
        <w:rPr>
          <w:sz w:val="24"/>
        </w:rPr>
        <w:t>即人民币（大写）：</w:t>
      </w:r>
      <w:r>
        <w:rPr>
          <w:sz w:val="24"/>
        </w:rPr>
        <w:t xml:space="preserve">        </w:t>
      </w:r>
      <w:r>
        <w:rPr>
          <w:sz w:val="24"/>
        </w:rPr>
        <w:t>元整（小写</w:t>
      </w:r>
      <w:r>
        <w:rPr>
          <w:sz w:val="24"/>
        </w:rPr>
        <w:t>¥      元）；收款方、出具发票方必须与</w:t>
      </w:r>
      <w:r>
        <w:rPr>
          <w:sz w:val="24"/>
        </w:rPr>
        <w:t>乙方</w:t>
      </w:r>
      <w:r>
        <w:rPr>
          <w:sz w:val="24"/>
        </w:rPr>
        <w:t>名称一致。</w:t>
      </w:r>
    </w:p>
    <w:p>
      <w:pPr>
        <w:ind w:firstLine="480"/>
        <w:jc w:val="both"/>
      </w:pPr>
      <w:r>
        <w:rPr>
          <w:sz w:val="24"/>
        </w:rPr>
        <w:t>3、</w:t>
      </w:r>
      <w:r>
        <w:rPr>
          <w:sz w:val="24"/>
        </w:rPr>
        <w:t>乙方</w:t>
      </w:r>
      <w:r>
        <w:rPr>
          <w:sz w:val="24"/>
        </w:rPr>
        <w:t>没有待解决的质量问题或质量问题已全部按质保期服务的规定妥善解决的，</w:t>
      </w:r>
      <w:r>
        <w:rPr>
          <w:sz w:val="24"/>
        </w:rPr>
        <w:t>甲方</w:t>
      </w:r>
      <w:r>
        <w:rPr>
          <w:sz w:val="24"/>
        </w:rPr>
        <w:t>在货物连续安全使用满十二个月后且收到成交供应商提供的书面《付款申请书》之日起的</w:t>
      </w:r>
      <w:r>
        <w:rPr>
          <w:sz w:val="24"/>
        </w:rPr>
        <w:t>10个工作日内支付合同总价的3%</w:t>
      </w:r>
      <w:r>
        <w:rPr>
          <w:sz w:val="24"/>
        </w:rPr>
        <w:t>，</w:t>
      </w:r>
      <w:r>
        <w:rPr>
          <w:sz w:val="24"/>
        </w:rPr>
        <w:t>即人民币（大写）：</w:t>
      </w:r>
      <w:r>
        <w:rPr>
          <w:sz w:val="24"/>
        </w:rPr>
        <w:t xml:space="preserve">        </w:t>
      </w:r>
      <w:r>
        <w:rPr>
          <w:sz w:val="24"/>
        </w:rPr>
        <w:t>元整（小写</w:t>
      </w:r>
      <w:r>
        <w:rPr>
          <w:sz w:val="24"/>
        </w:rPr>
        <w:t>¥      元）。</w:t>
      </w:r>
    </w:p>
    <w:p>
      <w:pPr>
        <w:ind w:firstLine="480"/>
        <w:jc w:val="both"/>
      </w:pPr>
      <w:r>
        <w:rPr>
          <w:sz w:val="24"/>
        </w:rPr>
        <w:t>4、</w:t>
      </w:r>
      <w:r>
        <w:rPr>
          <w:sz w:val="24"/>
        </w:rPr>
        <w:t>乙方</w:t>
      </w:r>
      <w:r>
        <w:rPr>
          <w:sz w:val="24"/>
        </w:rPr>
        <w:t>未按约定的时限向</w:t>
      </w:r>
      <w:r>
        <w:rPr>
          <w:sz w:val="24"/>
        </w:rPr>
        <w:t>甲方</w:t>
      </w:r>
      <w:r>
        <w:rPr>
          <w:sz w:val="24"/>
        </w:rPr>
        <w:t>提供有效、完整齐备的发票、票据、单证或凭证等文件的，则合同款之支付时间顺延且</w:t>
      </w:r>
      <w:r>
        <w:rPr>
          <w:sz w:val="24"/>
        </w:rPr>
        <w:t>甲方</w:t>
      </w:r>
      <w:r>
        <w:rPr>
          <w:sz w:val="24"/>
        </w:rPr>
        <w:t>不承担违约责任。</w:t>
      </w:r>
    </w:p>
    <w:p>
      <w:pPr>
        <w:ind w:firstLine="482"/>
        <w:jc w:val="both"/>
      </w:pPr>
      <w:r>
        <w:rPr>
          <w:b/>
          <w:sz w:val="24"/>
        </w:rPr>
        <w:t>第九条　</w:t>
      </w:r>
      <w:r>
        <w:rPr>
          <w:b/>
          <w:sz w:val="24"/>
        </w:rPr>
        <w:t>合同的变更、中止、解除</w:t>
      </w:r>
    </w:p>
    <w:p>
      <w:pPr>
        <w:ind w:firstLine="480"/>
        <w:jc w:val="both"/>
      </w:pPr>
      <w:r>
        <w:rPr>
          <w:sz w:val="24"/>
        </w:rPr>
        <w:t>1、本合同一经订立，即具有法律约束力；各方均不得擅自变更、中止或者解除。</w:t>
      </w:r>
    </w:p>
    <w:p>
      <w:pPr>
        <w:ind w:firstLine="480"/>
        <w:jc w:val="both"/>
      </w:pPr>
      <w:r>
        <w:rPr>
          <w:sz w:val="24"/>
        </w:rPr>
        <w:t>2、</w:t>
      </w:r>
      <w:r>
        <w:rPr>
          <w:sz w:val="24"/>
        </w:rPr>
        <w:t>对货物的增加或减少，双方可以另行订立补充合同。但是，所有补充合同的采购金额累计不得超过本</w:t>
      </w:r>
      <w:r>
        <w:rPr>
          <w:b/>
          <w:sz w:val="24"/>
        </w:rPr>
        <w:t>合同总价的</w:t>
      </w:r>
      <w:r>
        <w:rPr>
          <w:b/>
          <w:sz w:val="24"/>
          <w:u w:val="single"/>
        </w:rPr>
        <w:t>　百分之十　</w:t>
      </w:r>
      <w:r>
        <w:rPr>
          <w:sz w:val="24"/>
        </w:rPr>
        <w:t>；否则，超过部分无效。</w:t>
      </w:r>
    </w:p>
    <w:p>
      <w:pPr>
        <w:ind w:firstLine="480"/>
        <w:jc w:val="both"/>
      </w:pPr>
      <w:r>
        <w:rPr>
          <w:sz w:val="24"/>
        </w:rPr>
        <w:t>3、乙方有下列情形之一的，甲方有权单方解除合同</w:t>
      </w:r>
      <w:r>
        <w:rPr>
          <w:sz w:val="24"/>
        </w:rPr>
        <w:t>，并要求乙方退还已收取的合同款，其余合同款不再支付</w:t>
      </w:r>
      <w:r>
        <w:rPr>
          <w:sz w:val="24"/>
        </w:rPr>
        <w:t>：</w:t>
      </w:r>
    </w:p>
    <w:p>
      <w:pPr>
        <w:ind w:firstLine="480"/>
        <w:jc w:val="both"/>
      </w:pPr>
      <w:r>
        <w:rPr>
          <w:sz w:val="24"/>
        </w:rPr>
        <w:t>(1)逾期三十天仍未交齐货物及其技术资料、设计图纸等全部配套资料的；</w:t>
      </w:r>
    </w:p>
    <w:p>
      <w:pPr>
        <w:ind w:firstLine="480"/>
        <w:jc w:val="both"/>
      </w:pPr>
      <w:r>
        <w:rPr>
          <w:sz w:val="24"/>
        </w:rPr>
        <w:t>(2)</w:t>
      </w:r>
      <w:r>
        <w:rPr>
          <w:sz w:val="24"/>
        </w:rPr>
        <w:t>乙方擅自对本合同约定的货物进行替代的</w:t>
      </w:r>
      <w:r>
        <w:rPr>
          <w:sz w:val="24"/>
        </w:rPr>
        <w:t>；</w:t>
      </w:r>
    </w:p>
    <w:p>
      <w:pPr>
        <w:ind w:firstLine="480"/>
        <w:jc w:val="both"/>
      </w:pPr>
      <w:r>
        <w:rPr>
          <w:sz w:val="24"/>
        </w:rPr>
        <w:t>(3)乙方违反本合同关于权利瑕疵担保约定的；</w:t>
      </w:r>
    </w:p>
    <w:p>
      <w:pPr>
        <w:ind w:firstLine="480"/>
        <w:jc w:val="both"/>
      </w:pPr>
      <w:r>
        <w:rPr>
          <w:sz w:val="24"/>
        </w:rPr>
        <w:t>(4)乙方提供的货物/服务不符合本合同规定的；</w:t>
      </w:r>
    </w:p>
    <w:p>
      <w:pPr>
        <w:ind w:firstLine="480"/>
        <w:jc w:val="both"/>
      </w:pPr>
      <w:r>
        <w:rPr>
          <w:sz w:val="24"/>
        </w:rPr>
        <w:t>(5)其他符合法律规定或符合本合同其它约定情形的。</w:t>
      </w:r>
    </w:p>
    <w:p>
      <w:pPr>
        <w:ind w:firstLine="480"/>
        <w:jc w:val="both"/>
      </w:pPr>
      <w:r>
        <w:rPr>
          <w:sz w:val="24"/>
        </w:rPr>
        <w:t>4、甲方有下列情形之一的，乙方有权单方解除合同：</w:t>
      </w:r>
    </w:p>
    <w:p>
      <w:pPr>
        <w:ind w:firstLine="480"/>
        <w:jc w:val="both"/>
      </w:pPr>
      <w:r>
        <w:rPr>
          <w:sz w:val="24"/>
        </w:rPr>
        <w:t>(1)无正当理由，拒绝收受或者验收货物而经其书面催告且在催告期届满甲方不作答复的；</w:t>
      </w:r>
    </w:p>
    <w:p>
      <w:pPr>
        <w:ind w:firstLine="480"/>
        <w:jc w:val="both"/>
      </w:pPr>
      <w:r>
        <w:rPr>
          <w:sz w:val="24"/>
        </w:rPr>
        <w:t>(2)无正当理由，拒付货款而经其书面催告且在催告期届满甲方不作答复的；</w:t>
      </w:r>
    </w:p>
    <w:p>
      <w:pPr>
        <w:ind w:firstLine="480"/>
        <w:jc w:val="both"/>
      </w:pPr>
      <w:r>
        <w:rPr>
          <w:sz w:val="24"/>
        </w:rPr>
        <w:t>(3)其他符合法律规定情形的。</w:t>
      </w:r>
    </w:p>
    <w:p>
      <w:pPr>
        <w:ind w:firstLine="482"/>
        <w:jc w:val="both"/>
      </w:pPr>
      <w:r>
        <w:rPr>
          <w:b/>
          <w:sz w:val="24"/>
        </w:rPr>
        <w:t>第十条</w:t>
      </w:r>
      <w:r>
        <w:rPr>
          <w:b/>
          <w:sz w:val="24"/>
        </w:rPr>
        <w:t xml:space="preserve"> </w:t>
      </w:r>
      <w:r>
        <w:rPr>
          <w:b/>
          <w:sz w:val="24"/>
        </w:rPr>
        <w:t>不可抗力</w:t>
      </w:r>
    </w:p>
    <w:p>
      <w:pPr>
        <w:ind w:firstLine="480"/>
        <w:jc w:val="both"/>
      </w:pPr>
      <w:r>
        <w:rPr>
          <w:sz w:val="24"/>
        </w:rPr>
        <w:t>1、任何一方对于因不可抗力而造成合同</w:t>
      </w:r>
      <w:r>
        <w:rPr>
          <w:sz w:val="24"/>
        </w:rPr>
        <w:t>部分或全部</w:t>
      </w:r>
      <w:r>
        <w:rPr>
          <w:sz w:val="24"/>
        </w:rPr>
        <w:t>不能履行的，不承担违约责任，但如因一方违约而致合同履行延期并在延期阶段遭遇不可抗力的，则不得以不可抗力为由主张其免除履行责任、违约责任或损害赔偿责任。</w:t>
      </w:r>
    </w:p>
    <w:p>
      <w:pPr>
        <w:ind w:firstLine="480"/>
        <w:jc w:val="both"/>
      </w:pPr>
      <w:r>
        <w:rPr>
          <w:sz w:val="24"/>
        </w:rPr>
        <w:t>2、遭受不可抗力事件的一方应在</w:t>
      </w:r>
      <w:r>
        <w:rPr>
          <w:sz w:val="24"/>
          <w:u w:val="single"/>
        </w:rPr>
        <w:t xml:space="preserve"> 24 </w:t>
      </w:r>
      <w:r>
        <w:rPr>
          <w:sz w:val="24"/>
        </w:rPr>
        <w:t>小时内将事件情况用可能的最快捷的方式通知对方本合同有关事项不能履行或不能完全履行以避免对方损失的扩大，在该不可抗力事件发生之日起的</w:t>
      </w:r>
      <w:r>
        <w:rPr>
          <w:sz w:val="24"/>
          <w:u w:val="single"/>
        </w:rPr>
        <w:t>14</w:t>
      </w:r>
      <w:r>
        <w:rPr>
          <w:sz w:val="24"/>
        </w:rPr>
        <w:t>日内给对方寄送一份由国家机关出具的不可抗力事件证明书，并以书面报告说明该事件的细节和不能履行或部分不能履行或延迟履行本合同的事因后，由合同双方协商确定是否延期履行、部分履行或者解除合同，并根据情况可部分或全部免于承担违约或赔偿责任。</w:t>
      </w:r>
    </w:p>
    <w:p>
      <w:pPr>
        <w:ind w:firstLine="480"/>
        <w:jc w:val="both"/>
      </w:pPr>
      <w:r>
        <w:rPr>
          <w:sz w:val="24"/>
        </w:rPr>
        <w:t>前述</w:t>
      </w:r>
      <w:r>
        <w:rPr>
          <w:sz w:val="24"/>
        </w:rPr>
        <w:t>“不可抗力事件”应指不可预见、不可避免或克服的，阻碍合同任何一方履行全部或部分工作的事件。不可抗力事件应包括：（a） 任何自然灾害，包括但不限于地震、台风、洪水、海啸、泥石流、火灾等；（b）任何战争或敌对行为，包括但不限于战争、武装冲突、封锁、恐怖袭击、网络攻击等；（c）任何核事故；（d）任何重大流性疫病；（e）罢工、暴乱； (f) 任何政府行为、法令的变更；或(g) 遭遇不可抗力事件一方或其供应商无法合理预见、防止、控制的任何其他原由。</w:t>
      </w:r>
    </w:p>
    <w:p>
      <w:pPr>
        <w:ind w:firstLine="480"/>
        <w:jc w:val="both"/>
      </w:pPr>
      <w:r>
        <w:rPr>
          <w:sz w:val="24"/>
        </w:rPr>
        <w:t>3、</w:t>
      </w:r>
      <w:r>
        <w:rPr>
          <w:sz w:val="24"/>
        </w:rPr>
        <w:t>因不可抗力导致本合同无法履行或合同目的无法实现，经双方协商一致，可以解除合同。</w:t>
      </w:r>
    </w:p>
    <w:p>
      <w:pPr>
        <w:jc w:val="both"/>
      </w:pPr>
      <w:r>
        <w:rPr>
          <w:b/>
          <w:sz w:val="24"/>
        </w:rPr>
        <w:t>第十一条　违约责任</w:t>
      </w:r>
    </w:p>
    <w:p>
      <w:pPr>
        <w:ind w:firstLine="480"/>
        <w:jc w:val="both"/>
      </w:pPr>
      <w:r>
        <w:rPr>
          <w:sz w:val="24"/>
        </w:rPr>
        <w:t>本合同项下的各种货物应视为整体货物；违约迟延交付的那一部分货物，即使对本合同中的其他标的物之安装、验收、使用等不构成任何影响，亦应按合同总价作为计算违约金的基数，本合同第十一条不同款项下计算违约金的基数另有表述的除外。</w:t>
      </w:r>
    </w:p>
    <w:p>
      <w:pPr>
        <w:ind w:firstLine="480"/>
        <w:jc w:val="both"/>
      </w:pPr>
      <w:r>
        <w:rPr>
          <w:sz w:val="24"/>
        </w:rPr>
        <w:t>1、甲方无正当理由拒收货物</w:t>
      </w:r>
      <w:r>
        <w:rPr>
          <w:sz w:val="24"/>
        </w:rPr>
        <w:t>/服务/工程</w:t>
      </w:r>
      <w:r>
        <w:rPr>
          <w:sz w:val="24"/>
        </w:rPr>
        <w:t>的，应向乙方支付合同总价</w:t>
      </w:r>
      <w:r>
        <w:rPr>
          <w:sz w:val="24"/>
          <w:u w:val="single"/>
        </w:rPr>
        <w:t xml:space="preserve">  </w:t>
      </w:r>
      <w:r>
        <w:rPr>
          <w:sz w:val="24"/>
          <w:u w:val="single"/>
        </w:rPr>
        <w:t>百分之三　</w:t>
      </w:r>
      <w:r>
        <w:rPr>
          <w:sz w:val="24"/>
        </w:rPr>
        <w:t>的违约金。</w:t>
      </w:r>
    </w:p>
    <w:p>
      <w:pPr>
        <w:ind w:firstLine="480"/>
        <w:jc w:val="both"/>
      </w:pPr>
      <w:r>
        <w:rPr>
          <w:sz w:val="24"/>
        </w:rPr>
        <w:t>2、甲方无正当理由逾期付款的，每逾期一天应向乙方支付应付而未付价款的</w:t>
      </w:r>
      <w:r>
        <w:rPr>
          <w:sz w:val="24"/>
          <w:u w:val="single"/>
        </w:rPr>
        <w:t>　万分之三　</w:t>
      </w:r>
      <w:r>
        <w:rPr>
          <w:sz w:val="24"/>
        </w:rPr>
        <w:t>的违约金。</w:t>
      </w:r>
    </w:p>
    <w:p>
      <w:pPr>
        <w:ind w:firstLine="480"/>
        <w:jc w:val="both"/>
      </w:pPr>
      <w:r>
        <w:rPr>
          <w:sz w:val="24"/>
        </w:rPr>
        <w:t>3、除不可抗力或甲方未按合同规定及时付款外，乙方未能按本合同规定的时间提供货物/服务/</w:t>
      </w:r>
      <w:r>
        <w:rPr>
          <w:sz w:val="24"/>
        </w:rPr>
        <w:t>工程</w:t>
      </w:r>
      <w:r>
        <w:rPr>
          <w:sz w:val="24"/>
        </w:rPr>
        <w:t>，或者因质量不符合本合同要求造成验收迟延的，乙方应向甲方支付违约金，并必须在甲乙双方重新协商确定的期限内交货。违约金按照合同总价的</w:t>
      </w:r>
      <w:r>
        <w:rPr>
          <w:sz w:val="24"/>
          <w:u w:val="single"/>
        </w:rPr>
        <w:t xml:space="preserve"> </w:t>
      </w:r>
      <w:r>
        <w:rPr>
          <w:sz w:val="24"/>
          <w:u w:val="single"/>
        </w:rPr>
        <w:t>百分之十</w:t>
      </w:r>
      <w:r>
        <w:rPr>
          <w:sz w:val="24"/>
        </w:rPr>
        <w:t>计算，乙方同意甲方可以直接从应付货物余款中抵扣该违约金。不足以弥补甲方损失的，乙方还应承担相应的赔偿责任。</w:t>
      </w:r>
    </w:p>
    <w:p>
      <w:pPr>
        <w:ind w:firstLine="480"/>
        <w:jc w:val="both"/>
      </w:pPr>
      <w:r>
        <w:rPr>
          <w:sz w:val="24"/>
        </w:rPr>
        <w:t>4、如乙方提供的设计出图、机械制造图纸，未按照甲方提供的基本参数及附件要求进行设计，或未按甲方确认后即进行制造、或乙方提供的设计方案、机械制造图纸等非由具备设计资质的单位出具，或不符合本合同约定及有关标准的，均视为延期交货，乙方应在支付违约金，并必须在甲方确定的期限内交付符合要求的设计出图、机械制造图纸。每逾期一天，违约金按按合同总价的</w:t>
      </w:r>
      <w:r>
        <w:rPr>
          <w:sz w:val="24"/>
          <w:u w:val="single"/>
        </w:rPr>
        <w:t>　万分之五　</w:t>
      </w:r>
      <w:r>
        <w:rPr>
          <w:sz w:val="24"/>
        </w:rPr>
        <w:t>计算，除本合同另有约定外，违约金实际累计至交齐货物</w:t>
      </w:r>
      <w:r>
        <w:rPr>
          <w:sz w:val="24"/>
        </w:rPr>
        <w:t>/服务/配套资料之日止，乙方同意甲方可以直接从应付货物余款中抵扣该违约金。不足以弥补甲方损失的，乙方还应承担相应的赔偿责任。</w:t>
      </w:r>
    </w:p>
    <w:p>
      <w:pPr>
        <w:ind w:firstLine="480"/>
        <w:jc w:val="both"/>
      </w:pPr>
      <w:r>
        <w:rPr>
          <w:sz w:val="24"/>
        </w:rPr>
        <w:t>5、若乙方逾期交付货物/服务/</w:t>
      </w:r>
      <w:r>
        <w:rPr>
          <w:sz w:val="24"/>
        </w:rPr>
        <w:t>工程</w:t>
      </w:r>
      <w:r>
        <w:rPr>
          <w:sz w:val="24"/>
        </w:rPr>
        <w:t>超过三十天，甲方有权单方解除合同，解除合同的通知自到达乙方时生效，乙方须于本合同解除之日起</w:t>
      </w:r>
      <w:r>
        <w:rPr>
          <w:sz w:val="24"/>
        </w:rPr>
        <w:t>10个工作日内退回甲方所支付的全部合同款，同时还应另行按合同总价的</w:t>
      </w:r>
      <w:r>
        <w:rPr>
          <w:sz w:val="24"/>
          <w:u w:val="single"/>
        </w:rPr>
        <w:t>　百分之二十　</w:t>
      </w:r>
      <w:r>
        <w:rPr>
          <w:sz w:val="24"/>
        </w:rPr>
        <w:t>向甲方支付违约金。</w:t>
      </w:r>
    </w:p>
    <w:p>
      <w:pPr>
        <w:ind w:firstLine="480"/>
        <w:jc w:val="both"/>
      </w:pPr>
      <w:r>
        <w:rPr>
          <w:sz w:val="24"/>
        </w:rPr>
        <w:t>6、乙方保证其出售的本合同项下的货物/服务/</w:t>
      </w:r>
      <w:r>
        <w:rPr>
          <w:sz w:val="24"/>
        </w:rPr>
        <w:t>工程</w:t>
      </w:r>
      <w:r>
        <w:rPr>
          <w:sz w:val="24"/>
        </w:rPr>
        <w:t>无任何权利瑕疵。若任何第三人被仲裁机构裁决或被法院判决有权对本合同项下的全部或部分货物</w:t>
      </w:r>
      <w:r>
        <w:rPr>
          <w:sz w:val="24"/>
        </w:rPr>
        <w:t>/服务/配套资料主张权利，或货物等被国家行政机关依法查处、查封、罚没的，甲方有权单方解除合同，乙方须于10个工作日内退回甲方所支付全部合同款，还应另行按合同总价的</w:t>
      </w:r>
      <w:r>
        <w:rPr>
          <w:sz w:val="24"/>
          <w:u w:val="single"/>
        </w:rPr>
        <w:t>　百分之三十　</w:t>
      </w:r>
      <w:r>
        <w:rPr>
          <w:sz w:val="24"/>
        </w:rPr>
        <w:t>向甲方支付惩罚性违约金。</w:t>
      </w:r>
    </w:p>
    <w:p>
      <w:pPr>
        <w:ind w:firstLine="480"/>
        <w:jc w:val="both"/>
      </w:pPr>
      <w:r>
        <w:rPr>
          <w:sz w:val="24"/>
        </w:rPr>
        <w:t>7、乙方提供的货物/服务/</w:t>
      </w:r>
      <w:r>
        <w:rPr>
          <w:sz w:val="24"/>
        </w:rPr>
        <w:t>工程</w:t>
      </w:r>
      <w:r>
        <w:rPr>
          <w:sz w:val="24"/>
        </w:rPr>
        <w:t>不符合本合同规定的，或对本合同中的其他标的物之安装、验收、使用等不构成任何影响的部分货物不符合约定的，甲方均有权拒收并有权单方解除本合同，乙方须于</w:t>
      </w:r>
      <w:r>
        <w:rPr>
          <w:sz w:val="24"/>
        </w:rPr>
        <w:t>10个工作日内退回甲方所支付全部合同款，同时甲方有权按合同总价的</w:t>
      </w:r>
      <w:r>
        <w:rPr>
          <w:sz w:val="24"/>
          <w:u w:val="single"/>
        </w:rPr>
        <w:t>百分之三十</w:t>
      </w:r>
      <w:r>
        <w:rPr>
          <w:sz w:val="24"/>
        </w:rPr>
        <w:t>的标准要求乙方支付违约金。</w:t>
      </w:r>
    </w:p>
    <w:p>
      <w:pPr>
        <w:ind w:firstLine="480"/>
        <w:jc w:val="both"/>
      </w:pPr>
      <w:r>
        <w:rPr>
          <w:sz w:val="24"/>
        </w:rPr>
        <w:t>8、本合同第十一条项下各违约金是针对不同层面而论，甲乙双方自愿认可不属于重复计算违约金。乙方若存在上述第3款至第7款约定的违约行为的，应承担甲方维权所支付的相关费用（包括但不限于诉讼费、仲裁费、保全费、担保费、鉴定费、律师费等），若第3款至第7款约定的违约金不足以弥补甲方损失的，乙方还应承担相应的赔偿责任。</w:t>
      </w:r>
    </w:p>
    <w:p>
      <w:pPr>
        <w:ind w:firstLine="480"/>
        <w:jc w:val="both"/>
      </w:pPr>
      <w:r>
        <w:rPr>
          <w:sz w:val="24"/>
        </w:rPr>
        <w:t>9、合同之变更、中止或解除不影响根据上述各项违约责任条款追究违约方的违约责任。</w:t>
      </w:r>
    </w:p>
    <w:p>
      <w:pPr>
        <w:ind w:firstLine="482"/>
        <w:jc w:val="both"/>
      </w:pPr>
      <w:r>
        <w:rPr>
          <w:b/>
          <w:sz w:val="24"/>
        </w:rPr>
        <w:t>第十二条　法律适用</w:t>
      </w:r>
    </w:p>
    <w:p>
      <w:pPr>
        <w:ind w:firstLine="480"/>
        <w:jc w:val="both"/>
      </w:pPr>
      <w:r>
        <w:rPr>
          <w:sz w:val="24"/>
        </w:rPr>
        <w:t>本合同适用中华人民共和国法律。</w:t>
      </w:r>
    </w:p>
    <w:p>
      <w:pPr>
        <w:ind w:firstLine="482"/>
        <w:jc w:val="both"/>
      </w:pPr>
      <w:r>
        <w:rPr>
          <w:b/>
          <w:sz w:val="24"/>
        </w:rPr>
        <w:t>第十三条</w:t>
      </w:r>
      <w:r>
        <w:rPr>
          <w:b/>
          <w:sz w:val="24"/>
        </w:rPr>
        <w:t>通知送达</w:t>
      </w:r>
    </w:p>
    <w:p>
      <w:pPr>
        <w:ind w:firstLine="480"/>
        <w:jc w:val="both"/>
      </w:pPr>
      <w:r>
        <w:rPr>
          <w:sz w:val="24"/>
        </w:rPr>
        <w:t>甲方与乙方之间因本合同相关事宜邮寄快递的，须以合同载明的送达地址为准。双方按照合同载明的送达地址发出通知之日起视为已经履行通知义务。任何一方送达地址变更须及时书面通知另外一方，否则，因错误送达而产生的一切责任由未及时通知方承担。</w:t>
      </w:r>
    </w:p>
    <w:p>
      <w:pPr>
        <w:ind w:firstLine="472"/>
        <w:jc w:val="both"/>
      </w:pPr>
      <w:r>
        <w:rPr>
          <w:b/>
          <w:sz w:val="24"/>
        </w:rPr>
        <w:t>第十四条</w:t>
      </w:r>
      <w:r>
        <w:rPr>
          <w:b/>
          <w:sz w:val="24"/>
        </w:rPr>
        <w:t>补充协议</w:t>
      </w:r>
    </w:p>
    <w:p>
      <w:pPr>
        <w:ind w:firstLine="470"/>
        <w:jc w:val="both"/>
      </w:pPr>
      <w:r>
        <w:rPr>
          <w:sz w:val="24"/>
        </w:rPr>
        <w:t>本合同未尽事宜，由双方在协商一致的基础上另行签订书面形式的补充协议</w:t>
      </w:r>
      <w:r>
        <w:rPr>
          <w:sz w:val="24"/>
        </w:rPr>
        <w:t>确定</w:t>
      </w:r>
      <w:r>
        <w:rPr>
          <w:sz w:val="24"/>
        </w:rPr>
        <w:t>。补充协议与本合同有关条款的内容相冲突者，视为对该条款内容的变更。</w:t>
      </w:r>
    </w:p>
    <w:p>
      <w:pPr>
        <w:ind w:firstLine="482"/>
        <w:jc w:val="both"/>
      </w:pPr>
      <w:r>
        <w:rPr>
          <w:b/>
          <w:sz w:val="24"/>
        </w:rPr>
        <w:t>第十五条　争议解决方式</w:t>
      </w:r>
    </w:p>
    <w:p>
      <w:pPr>
        <w:ind w:firstLine="480"/>
        <w:jc w:val="both"/>
      </w:pPr>
      <w:r>
        <w:rPr>
          <w:sz w:val="24"/>
        </w:rPr>
        <w:t>因本合同而发生的所有争议，应由双方协商解决；协商不成时，可向甲方所在地人民法院提起民事诉讼。</w:t>
      </w:r>
    </w:p>
    <w:p>
      <w:pPr>
        <w:ind w:firstLine="482"/>
        <w:jc w:val="both"/>
      </w:pPr>
      <w:r>
        <w:rPr>
          <w:b/>
          <w:sz w:val="24"/>
        </w:rPr>
        <w:t>第十六条　合同生效与效力</w:t>
      </w:r>
    </w:p>
    <w:p>
      <w:pPr>
        <w:ind w:firstLine="480"/>
        <w:jc w:val="both"/>
      </w:pPr>
      <w:r>
        <w:rPr>
          <w:sz w:val="24"/>
        </w:rPr>
        <w:t>本合同经双方法定代表人或委托代理人签字</w:t>
      </w:r>
      <w:r>
        <w:rPr>
          <w:sz w:val="24"/>
        </w:rPr>
        <w:t>,并加盖合同专用章或公章后即行生效。签字日期互异的，以后签日期为生效日。</w:t>
      </w:r>
    </w:p>
    <w:p>
      <w:pPr>
        <w:ind w:firstLine="482"/>
        <w:jc w:val="both"/>
      </w:pPr>
      <w:r>
        <w:rPr>
          <w:b/>
          <w:sz w:val="24"/>
        </w:rPr>
        <w:t>第十七条</w:t>
      </w:r>
      <w:r>
        <w:rPr>
          <w:b/>
          <w:sz w:val="24"/>
        </w:rPr>
        <w:t xml:space="preserve"> </w:t>
      </w:r>
      <w:r>
        <w:rPr>
          <w:b/>
          <w:sz w:val="24"/>
        </w:rPr>
        <w:t>合同文本</w:t>
      </w:r>
    </w:p>
    <w:p>
      <w:pPr>
        <w:ind w:firstLine="470"/>
        <w:jc w:val="both"/>
      </w:pPr>
      <w:r>
        <w:rPr>
          <w:sz w:val="24"/>
        </w:rPr>
        <w:t>1、本合同一式</w:t>
      </w:r>
      <w:r>
        <w:rPr>
          <w:sz w:val="24"/>
          <w:u w:val="single"/>
        </w:rPr>
        <w:t>6　</w:t>
      </w:r>
      <w:r>
        <w:rPr>
          <w:sz w:val="24"/>
        </w:rPr>
        <w:t>份，甲方执</w:t>
      </w:r>
      <w:r>
        <w:rPr>
          <w:sz w:val="24"/>
        </w:rPr>
        <w:t xml:space="preserve"> </w:t>
      </w:r>
      <w:r>
        <w:rPr>
          <w:sz w:val="24"/>
          <w:u w:val="single"/>
        </w:rPr>
        <w:t>4</w:t>
      </w:r>
      <w:r>
        <w:rPr>
          <w:sz w:val="24"/>
        </w:rPr>
        <w:t>份</w:t>
      </w:r>
      <w:r>
        <w:rPr>
          <w:sz w:val="24"/>
        </w:rPr>
        <w:t>, 乙方执</w:t>
      </w:r>
      <w:r>
        <w:rPr>
          <w:sz w:val="24"/>
          <w:u w:val="single"/>
        </w:rPr>
        <w:t>2</w:t>
      </w:r>
      <w:r>
        <w:rPr>
          <w:sz w:val="24"/>
        </w:rPr>
        <w:t>份</w:t>
      </w:r>
      <w:r>
        <w:rPr>
          <w:sz w:val="24"/>
        </w:rPr>
        <w:t>,各份具有同等法律效力。</w:t>
      </w:r>
    </w:p>
    <w:p>
      <w:pPr>
        <w:ind w:firstLine="482"/>
        <w:jc w:val="both"/>
      </w:pPr>
      <w:r>
        <w:rPr>
          <w:b/>
          <w:sz w:val="24"/>
        </w:rPr>
        <w:t>第十八条</w:t>
      </w:r>
      <w:r>
        <w:rPr>
          <w:b/>
          <w:sz w:val="24"/>
        </w:rPr>
        <w:t>合同构成</w:t>
      </w:r>
    </w:p>
    <w:p>
      <w:pPr>
        <w:ind w:firstLine="480"/>
        <w:jc w:val="both"/>
      </w:pPr>
      <w:r>
        <w:rPr>
          <w:sz w:val="24"/>
        </w:rPr>
        <w:t>1、有关</w:t>
      </w:r>
      <w:r>
        <w:rPr>
          <w:sz w:val="24"/>
        </w:rPr>
        <w:t>补充协议、合同附件</w:t>
      </w:r>
      <w:r>
        <w:rPr>
          <w:sz w:val="24"/>
        </w:rPr>
        <w:t>，经双方审定的各种图纸、表格、数据以及技术资料、货物清单、招响应文件，以及乙方根据《采购文件》提交的</w:t>
      </w:r>
      <w:r>
        <w:rPr>
          <w:sz w:val="24"/>
        </w:rPr>
        <w:t>授权委托书、货物生产厂商</w:t>
      </w:r>
      <w:r>
        <w:rPr>
          <w:sz w:val="24"/>
        </w:rPr>
        <w:t>或经销商的</w:t>
      </w:r>
      <w:r>
        <w:rPr>
          <w:sz w:val="24"/>
        </w:rPr>
        <w:t>授权文件、技术服务或售后服务机构资料等，</w:t>
      </w:r>
      <w:r>
        <w:rPr>
          <w:sz w:val="24"/>
        </w:rPr>
        <w:t>均为本合同不可分割的组成部分，与本合同具有同等的法律效力。</w:t>
      </w:r>
    </w:p>
    <w:p>
      <w:pPr>
        <w:ind w:firstLine="480"/>
        <w:jc w:val="both"/>
      </w:pPr>
      <w:r>
        <w:rPr>
          <w:sz w:val="24"/>
        </w:rPr>
        <w:t>2、</w:t>
      </w:r>
      <w:r>
        <w:rPr>
          <w:b/>
          <w:sz w:val="24"/>
        </w:rPr>
        <w:t>下列选择项中，为本合同附件的有（在选择项前打</w:t>
      </w:r>
      <w:r>
        <w:rPr>
          <w:b/>
          <w:sz w:val="24"/>
        </w:rPr>
        <w:t>√</w:t>
      </w:r>
      <w:r>
        <w:rPr>
          <w:b/>
          <w:sz w:val="24"/>
        </w:rPr>
        <w:t>）：</w:t>
      </w:r>
    </w:p>
    <w:p>
      <w:pPr>
        <w:ind w:firstLine="470"/>
        <w:jc w:val="both"/>
      </w:pPr>
      <w:r>
        <w:rPr>
          <w:sz w:val="24"/>
        </w:rPr>
        <w:t>√</w:t>
      </w:r>
      <w:r>
        <w:rPr>
          <w:sz w:val="24"/>
        </w:rPr>
        <w:t>（</w:t>
      </w:r>
      <w:r>
        <w:rPr>
          <w:sz w:val="24"/>
        </w:rPr>
        <w:t>1）附件一：《</w:t>
      </w:r>
      <w:r>
        <w:rPr>
          <w:sz w:val="24"/>
          <w:u w:val="single"/>
        </w:rPr>
        <w:t xml:space="preserve">                    </w:t>
      </w:r>
      <w:r>
        <w:rPr>
          <w:sz w:val="24"/>
          <w:u w:val="single"/>
        </w:rPr>
        <w:t>采购项目合同货物配置清单及技术指标</w:t>
      </w:r>
      <w:r>
        <w:rPr>
          <w:sz w:val="24"/>
        </w:rPr>
        <w:t>》。</w:t>
      </w:r>
    </w:p>
    <w:p>
      <w:pPr>
        <w:ind w:firstLine="482"/>
        <w:jc w:val="both"/>
      </w:pPr>
      <w:r>
        <w:rPr>
          <w:b/>
          <w:sz w:val="24"/>
        </w:rPr>
        <w:t>第十九条　其它约定的事项</w:t>
      </w:r>
    </w:p>
    <w:p>
      <w:pPr>
        <w:ind w:firstLine="480"/>
        <w:jc w:val="both"/>
      </w:pPr>
      <w:r>
        <w:rPr>
          <w:sz w:val="24"/>
        </w:rPr>
        <w:t>1、有关技术培训或咨询服务的约定：培训主要内容包括但不限于以下：</w:t>
      </w:r>
    </w:p>
    <w:p>
      <w:pPr>
        <w:ind w:firstLine="480"/>
        <w:jc w:val="both"/>
      </w:pPr>
      <w:r>
        <w:rPr>
          <w:sz w:val="24"/>
        </w:rPr>
        <w:t>（</w:t>
      </w:r>
      <w:r>
        <w:rPr>
          <w:sz w:val="24"/>
        </w:rPr>
        <w:t>1）二次配电系统的基本知识讲解；</w:t>
      </w:r>
    </w:p>
    <w:p>
      <w:pPr>
        <w:ind w:firstLine="480"/>
        <w:jc w:val="both"/>
      </w:pPr>
      <w:r>
        <w:rPr>
          <w:sz w:val="24"/>
        </w:rPr>
        <w:t>（</w:t>
      </w:r>
      <w:r>
        <w:rPr>
          <w:sz w:val="24"/>
        </w:rPr>
        <w:t>2）二次配电系统的基础知识与结构；</w:t>
      </w:r>
    </w:p>
    <w:p>
      <w:pPr>
        <w:ind w:firstLine="480"/>
        <w:jc w:val="both"/>
      </w:pPr>
      <w:r>
        <w:rPr>
          <w:sz w:val="24"/>
        </w:rPr>
        <w:t>（</w:t>
      </w:r>
      <w:r>
        <w:rPr>
          <w:sz w:val="24"/>
        </w:rPr>
        <w:t>3）进行各项目的调试，工程师指导甲方进行实际操作，并模拟甲方用户日常工作过程，进行实际样品的测量；</w:t>
      </w:r>
    </w:p>
    <w:p>
      <w:pPr>
        <w:ind w:firstLine="480"/>
        <w:jc w:val="both"/>
      </w:pPr>
      <w:r>
        <w:rPr>
          <w:sz w:val="24"/>
        </w:rPr>
        <w:t>（</w:t>
      </w:r>
      <w:r>
        <w:rPr>
          <w:sz w:val="24"/>
        </w:rPr>
        <w:t>4）讲解系统的日常维护保养方法，介绍二次配电系统常见故障维修方法；</w:t>
      </w:r>
    </w:p>
    <w:p>
      <w:pPr>
        <w:ind w:firstLine="480"/>
        <w:jc w:val="both"/>
      </w:pPr>
      <w:r>
        <w:rPr>
          <w:sz w:val="24"/>
        </w:rPr>
        <w:t>（</w:t>
      </w:r>
      <w:r>
        <w:rPr>
          <w:sz w:val="24"/>
        </w:rPr>
        <w:t>5）提供相应的培训材料，培训材料应当符合标准，用中文书写，包括本系统操作介绍、系统内相关设备操作规范等；</w:t>
      </w:r>
    </w:p>
    <w:p>
      <w:pPr>
        <w:ind w:firstLine="480"/>
        <w:jc w:val="both"/>
      </w:pPr>
      <w:r>
        <w:rPr>
          <w:sz w:val="24"/>
        </w:rPr>
        <w:t>（</w:t>
      </w:r>
      <w:r>
        <w:rPr>
          <w:sz w:val="24"/>
        </w:rPr>
        <w:t>6）二次配电系统处理过程中的质量控制、操作规程、保养与管理、常见故障的排除、紧急情况的处理。</w:t>
      </w:r>
    </w:p>
    <w:p>
      <w:pPr>
        <w:ind w:firstLine="480"/>
        <w:jc w:val="both"/>
      </w:pPr>
      <w:r>
        <w:rPr>
          <w:sz w:val="24"/>
        </w:rPr>
        <w:t>（</w:t>
      </w:r>
      <w:r>
        <w:rPr>
          <w:sz w:val="24"/>
        </w:rPr>
        <w:t>7）现场培训时间不少于   个工作日，全部资料中文书写，直至甲方人员熟练掌握各项培训内容，令甲方能正常使用该设备。</w:t>
      </w:r>
    </w:p>
    <w:p>
      <w:pPr>
        <w:ind w:firstLine="482"/>
        <w:jc w:val="both"/>
      </w:pPr>
      <w:r>
        <w:rPr>
          <w:b/>
          <w:sz w:val="24"/>
        </w:rPr>
        <w:t>2、</w:t>
      </w:r>
      <w:r>
        <w:rPr>
          <w:b/>
          <w:sz w:val="21"/>
          <w:u w:val="single"/>
        </w:rPr>
        <w:t xml:space="preserve">                                                 </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305"/>
        <w:gridCol w:w="3986"/>
      </w:tblGrid>
      <w:tr>
        <w:tc>
          <w:tcPr>
            <w:tcW w:type="dxa" w:w="4305"/>
            <w:tcBorders>
              <w:top w:val="none" w:color="000000" w:sz="4"/>
              <w:left w:val="none" w:color="000000" w:sz="4"/>
              <w:bottom w:val="none" w:color="000000" w:sz="4"/>
              <w:right w:val="none" w:color="000000" w:sz="4"/>
            </w:tcBorders>
            <w:vAlign w:val="top"/>
          </w:tcPr>
          <w:p>
            <w:pPr>
              <w:jc w:val="both"/>
            </w:pPr>
            <w:r>
              <w:rPr>
                <w:sz w:val="24"/>
              </w:rPr>
              <w:t>甲方（盖章）：</w:t>
            </w:r>
            <w:r>
              <w:rPr>
                <w:sz w:val="24"/>
              </w:rPr>
              <w:t>佛山仙湖实验室</w:t>
            </w:r>
          </w:p>
        </w:tc>
        <w:tc>
          <w:tcPr>
            <w:tcW w:type="dxa" w:w="3986"/>
            <w:tcBorders>
              <w:top w:val="none" w:color="000000" w:sz="4"/>
              <w:left w:val="none" w:color="000000" w:sz="4"/>
              <w:bottom w:val="none" w:color="000000" w:sz="4"/>
              <w:right w:val="none" w:color="000000" w:sz="4"/>
            </w:tcBorders>
            <w:vAlign w:val="top"/>
          </w:tcPr>
          <w:p>
            <w:pPr>
              <w:jc w:val="both"/>
            </w:pPr>
            <w:r>
              <w:rPr>
                <w:sz w:val="24"/>
              </w:rPr>
              <w:t>乙方（盖章）：</w:t>
            </w:r>
          </w:p>
        </w:tc>
      </w:tr>
      <w:tr>
        <w:tc>
          <w:tcPr>
            <w:tcW w:type="dxa" w:w="4305"/>
            <w:tcBorders>
              <w:top w:val="none" w:color="000000" w:sz="4"/>
              <w:left w:val="none" w:color="000000" w:sz="4"/>
              <w:bottom w:val="none" w:color="000000" w:sz="4"/>
              <w:right w:val="none" w:color="000000" w:sz="4"/>
            </w:tcBorders>
            <w:vAlign w:val="top"/>
          </w:tcPr>
          <w:p>
            <w:pPr>
              <w:jc w:val="both"/>
            </w:pPr>
            <w:r>
              <w:rPr>
                <w:sz w:val="24"/>
              </w:rPr>
              <w:t>法定代表人：</w:t>
            </w:r>
            <w:r>
              <w:rPr>
                <w:sz w:val="24"/>
              </w:rPr>
              <w:t xml:space="preserve"> </w:t>
            </w:r>
          </w:p>
        </w:tc>
        <w:tc>
          <w:tcPr>
            <w:tcW w:type="dxa" w:w="3986"/>
            <w:tcBorders>
              <w:top w:val="none" w:color="000000" w:sz="4"/>
              <w:left w:val="none" w:color="000000" w:sz="4"/>
              <w:bottom w:val="none" w:color="000000" w:sz="4"/>
              <w:right w:val="none" w:color="000000" w:sz="4"/>
            </w:tcBorders>
            <w:vAlign w:val="top"/>
          </w:tcPr>
          <w:p>
            <w:pPr>
              <w:jc w:val="both"/>
            </w:pPr>
            <w:r>
              <w:rPr>
                <w:sz w:val="24"/>
              </w:rPr>
              <w:t>法定代表人：</w:t>
            </w:r>
          </w:p>
        </w:tc>
      </w:tr>
      <w:tr>
        <w:tc>
          <w:tcPr>
            <w:tcW w:type="dxa" w:w="4305"/>
            <w:tcBorders>
              <w:top w:val="none" w:color="000000" w:sz="4"/>
              <w:left w:val="none" w:color="000000" w:sz="4"/>
              <w:bottom w:val="none" w:color="000000" w:sz="4"/>
              <w:right w:val="none" w:color="000000" w:sz="4"/>
            </w:tcBorders>
            <w:vAlign w:val="top"/>
          </w:tcPr>
          <w:p>
            <w:pPr>
              <w:jc w:val="both"/>
            </w:pPr>
            <w:r>
              <w:rPr>
                <w:sz w:val="24"/>
              </w:rPr>
              <w:t>委托代理人：</w:t>
            </w:r>
          </w:p>
        </w:tc>
        <w:tc>
          <w:tcPr>
            <w:tcW w:type="dxa" w:w="3986"/>
            <w:tcBorders>
              <w:top w:val="none" w:color="000000" w:sz="4"/>
              <w:left w:val="none" w:color="000000" w:sz="4"/>
              <w:bottom w:val="none" w:color="000000" w:sz="4"/>
              <w:right w:val="none" w:color="000000" w:sz="4"/>
            </w:tcBorders>
            <w:vAlign w:val="top"/>
          </w:tcPr>
          <w:p>
            <w:pPr>
              <w:jc w:val="both"/>
            </w:pPr>
            <w:r>
              <w:rPr>
                <w:sz w:val="24"/>
              </w:rPr>
              <w:t>委托代理人：</w:t>
            </w:r>
          </w:p>
        </w:tc>
      </w:tr>
      <w:tr>
        <w:tc>
          <w:tcPr>
            <w:tcW w:type="dxa" w:w="4305"/>
            <w:tcBorders>
              <w:top w:val="none" w:color="000000" w:sz="4"/>
              <w:left w:val="none" w:color="000000" w:sz="4"/>
              <w:bottom w:val="none" w:color="000000" w:sz="4"/>
              <w:right w:val="none" w:color="000000" w:sz="4"/>
            </w:tcBorders>
            <w:vAlign w:val="top"/>
          </w:tcPr>
          <w:p>
            <w:pPr>
              <w:jc w:val="both"/>
            </w:pPr>
            <w:r>
              <w:rPr>
                <w:sz w:val="24"/>
              </w:rPr>
              <w:t>经办</w:t>
            </w:r>
            <w:r>
              <w:rPr>
                <w:sz w:val="24"/>
              </w:rPr>
              <w:t>人：</w:t>
            </w:r>
          </w:p>
        </w:tc>
        <w:tc>
          <w:tcPr>
            <w:tcW w:type="dxa" w:w="3986"/>
            <w:tcBorders>
              <w:top w:val="none" w:color="000000" w:sz="4"/>
              <w:left w:val="none" w:color="000000" w:sz="4"/>
              <w:bottom w:val="none" w:color="000000" w:sz="4"/>
              <w:right w:val="none" w:color="000000" w:sz="4"/>
            </w:tcBorders>
            <w:vAlign w:val="top"/>
          </w:tcPr>
          <w:p>
            <w:pPr>
              <w:jc w:val="both"/>
            </w:pPr>
            <w:r>
              <w:rPr>
                <w:sz w:val="24"/>
              </w:rPr>
              <w:t>经办</w:t>
            </w:r>
            <w:r>
              <w:rPr>
                <w:sz w:val="24"/>
              </w:rPr>
              <w:t>人：</w:t>
            </w:r>
          </w:p>
        </w:tc>
      </w:tr>
      <w:tr>
        <w:tc>
          <w:tcPr>
            <w:tcW w:type="dxa" w:w="4305"/>
            <w:tcBorders>
              <w:top w:val="none" w:color="000000" w:sz="4"/>
              <w:left w:val="none" w:color="000000" w:sz="4"/>
              <w:bottom w:val="none" w:color="000000" w:sz="4"/>
              <w:right w:val="none" w:color="000000" w:sz="4"/>
            </w:tcBorders>
            <w:vAlign w:val="top"/>
          </w:tcPr>
          <w:p>
            <w:pPr>
              <w:jc w:val="both"/>
            </w:pPr>
            <w:r>
              <w:rPr>
                <w:sz w:val="24"/>
              </w:rPr>
              <w:t>电</w:t>
            </w:r>
            <w:r>
              <w:rPr>
                <w:sz w:val="24"/>
              </w:rPr>
              <w:t>话：</w:t>
            </w:r>
          </w:p>
          <w:p>
            <w:pPr>
              <w:jc w:val="both"/>
            </w:pPr>
            <w:r>
              <w:rPr>
                <w:sz w:val="24"/>
              </w:rPr>
              <w:t>税</w:t>
            </w:r>
            <w:r>
              <w:rPr>
                <w:sz w:val="24"/>
              </w:rPr>
              <w:t>号：</w:t>
            </w:r>
          </w:p>
        </w:tc>
        <w:tc>
          <w:tcPr>
            <w:tcW w:type="dxa" w:w="3986"/>
            <w:tcBorders>
              <w:top w:val="none" w:color="000000" w:sz="4"/>
              <w:left w:val="none" w:color="000000" w:sz="4"/>
              <w:bottom w:val="none" w:color="000000" w:sz="4"/>
              <w:right w:val="none" w:color="000000" w:sz="4"/>
            </w:tcBorders>
            <w:vAlign w:val="top"/>
          </w:tcPr>
          <w:p>
            <w:pPr>
              <w:jc w:val="both"/>
            </w:pPr>
            <w:r>
              <w:rPr>
                <w:sz w:val="24"/>
              </w:rPr>
              <w:t>电</w:t>
            </w:r>
            <w:r>
              <w:rPr>
                <w:sz w:val="24"/>
              </w:rPr>
              <w:t>话：</w:t>
            </w:r>
          </w:p>
          <w:p>
            <w:pPr>
              <w:jc w:val="both"/>
            </w:pPr>
            <w:r>
              <w:rPr>
                <w:sz w:val="24"/>
              </w:rPr>
              <w:t>税</w:t>
            </w:r>
            <w:r>
              <w:rPr>
                <w:sz w:val="24"/>
              </w:rPr>
              <w:t>号：</w:t>
            </w:r>
          </w:p>
        </w:tc>
      </w:tr>
      <w:tr>
        <w:tc>
          <w:tcPr>
            <w:tcW w:type="dxa" w:w="4305"/>
            <w:tcBorders>
              <w:top w:val="none" w:color="000000" w:sz="4"/>
              <w:left w:val="none" w:color="000000" w:sz="4"/>
              <w:bottom w:val="none" w:color="000000" w:sz="4"/>
              <w:right w:val="none" w:color="000000" w:sz="4"/>
            </w:tcBorders>
            <w:vAlign w:val="top"/>
          </w:tcPr>
          <w:p>
            <w:pPr>
              <w:jc w:val="both"/>
            </w:pPr>
            <w:r>
              <w:rPr>
                <w:sz w:val="24"/>
              </w:rPr>
              <w:t>开户银</w:t>
            </w:r>
            <w:r>
              <w:rPr>
                <w:sz w:val="24"/>
              </w:rPr>
              <w:t>行：</w:t>
            </w:r>
          </w:p>
          <w:p>
            <w:pPr>
              <w:jc w:val="both"/>
            </w:pPr>
            <w:r>
              <w:rPr>
                <w:sz w:val="24"/>
              </w:rPr>
              <w:t>开户名</w:t>
            </w:r>
            <w:r>
              <w:rPr>
                <w:sz w:val="24"/>
              </w:rPr>
              <w:t>称：</w:t>
            </w:r>
          </w:p>
          <w:p>
            <w:pPr>
              <w:jc w:val="both"/>
            </w:pPr>
            <w:r>
              <w:rPr>
                <w:sz w:val="24"/>
              </w:rPr>
              <w:t>账</w:t>
            </w:r>
            <w:r>
              <w:rPr>
                <w:sz w:val="24"/>
              </w:rPr>
              <w:t>号：</w:t>
            </w:r>
          </w:p>
        </w:tc>
        <w:tc>
          <w:tcPr>
            <w:tcW w:type="dxa" w:w="3986"/>
            <w:tcBorders>
              <w:top w:val="none" w:color="000000" w:sz="4"/>
              <w:left w:val="none" w:color="000000" w:sz="4"/>
              <w:bottom w:val="none" w:color="000000" w:sz="4"/>
              <w:right w:val="none" w:color="000000" w:sz="4"/>
            </w:tcBorders>
            <w:vAlign w:val="top"/>
          </w:tcPr>
          <w:p>
            <w:pPr>
              <w:jc w:val="both"/>
            </w:pPr>
            <w:r>
              <w:rPr>
                <w:sz w:val="24"/>
              </w:rPr>
              <w:t>开户银</w:t>
            </w:r>
            <w:r>
              <w:rPr>
                <w:sz w:val="24"/>
              </w:rPr>
              <w:t>行：</w:t>
            </w:r>
          </w:p>
          <w:p>
            <w:pPr>
              <w:jc w:val="both"/>
            </w:pPr>
            <w:r>
              <w:rPr>
                <w:sz w:val="24"/>
              </w:rPr>
              <w:t>开户名</w:t>
            </w:r>
            <w:r>
              <w:rPr>
                <w:sz w:val="24"/>
              </w:rPr>
              <w:t>称：</w:t>
            </w:r>
          </w:p>
          <w:p>
            <w:pPr>
              <w:jc w:val="both"/>
            </w:pPr>
            <w:r>
              <w:rPr>
                <w:sz w:val="24"/>
              </w:rPr>
              <w:t>账</w:t>
            </w:r>
            <w:r>
              <w:rPr>
                <w:sz w:val="24"/>
              </w:rPr>
              <w:t>号：</w:t>
            </w:r>
          </w:p>
        </w:tc>
      </w:tr>
      <w:tr>
        <w:tc>
          <w:tcPr>
            <w:tcW w:type="dxa" w:w="4305"/>
            <w:tcBorders>
              <w:top w:val="none" w:color="000000" w:sz="4"/>
              <w:left w:val="none" w:color="000000" w:sz="4"/>
              <w:bottom w:val="none" w:color="000000" w:sz="4"/>
              <w:right w:val="none" w:color="000000" w:sz="4"/>
            </w:tcBorders>
            <w:vAlign w:val="top"/>
          </w:tcPr>
          <w:p>
            <w:pPr>
              <w:jc w:val="both"/>
            </w:pPr>
            <w:r>
              <w:rPr>
                <w:sz w:val="24"/>
              </w:rPr>
              <w:t>地址与邮政编码：</w:t>
            </w:r>
          </w:p>
          <w:p>
            <w:pPr>
              <w:jc w:val="both"/>
            </w:pPr>
          </w:p>
        </w:tc>
        <w:tc>
          <w:tcPr>
            <w:tcW w:type="dxa" w:w="3986"/>
            <w:tcBorders>
              <w:top w:val="none" w:color="000000" w:sz="4"/>
              <w:left w:val="none" w:color="000000" w:sz="4"/>
              <w:bottom w:val="none" w:color="000000" w:sz="4"/>
              <w:right w:val="none" w:color="000000" w:sz="4"/>
            </w:tcBorders>
            <w:vAlign w:val="top"/>
          </w:tcPr>
          <w:p>
            <w:pPr>
              <w:jc w:val="both"/>
            </w:pPr>
            <w:r>
              <w:rPr>
                <w:sz w:val="24"/>
              </w:rPr>
              <w:t>地址与邮政编码：</w:t>
            </w:r>
          </w:p>
        </w:tc>
      </w:tr>
      <w:tr>
        <w:tc>
          <w:tcPr>
            <w:tcW w:type="dxa" w:w="4305"/>
            <w:tcBorders>
              <w:top w:val="none" w:color="000000" w:sz="4"/>
              <w:left w:val="none" w:color="000000" w:sz="4"/>
              <w:bottom w:val="none" w:color="000000" w:sz="4"/>
              <w:right w:val="none" w:color="000000" w:sz="4"/>
            </w:tcBorders>
            <w:vAlign w:val="top"/>
          </w:tcPr>
          <w:p>
            <w:pPr>
              <w:jc w:val="both"/>
            </w:pPr>
            <w:r>
              <w:rPr>
                <w:sz w:val="24"/>
              </w:rPr>
              <w:t>联系邮箱：</w:t>
            </w:r>
          </w:p>
          <w:p>
            <w:pPr>
              <w:jc w:val="both"/>
            </w:pPr>
          </w:p>
          <w:p>
            <w:pPr>
              <w:jc w:val="both"/>
            </w:pPr>
            <w:r>
              <w:rPr>
                <w:sz w:val="24"/>
              </w:rPr>
              <w:t>签约时间：</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3986"/>
            <w:tcBorders>
              <w:top w:val="none" w:color="000000" w:sz="4"/>
              <w:left w:val="none" w:color="000000" w:sz="4"/>
              <w:bottom w:val="none" w:color="000000" w:sz="4"/>
              <w:right w:val="none" w:color="000000" w:sz="4"/>
            </w:tcBorders>
            <w:vAlign w:val="top"/>
          </w:tcPr>
          <w:p>
            <w:pPr>
              <w:jc w:val="both"/>
            </w:pPr>
            <w:r>
              <w:rPr>
                <w:sz w:val="24"/>
              </w:rPr>
              <w:t>联系邮箱：</w:t>
            </w:r>
          </w:p>
          <w:p>
            <w:pPr>
              <w:jc w:val="both"/>
            </w:pPr>
          </w:p>
          <w:p>
            <w:pPr>
              <w:jc w:val="both"/>
            </w:pPr>
            <w:r>
              <w:rPr>
                <w:sz w:val="24"/>
              </w:rPr>
              <w:t>签约时间：</w:t>
            </w:r>
            <w:r>
              <w:rPr>
                <w:sz w:val="24"/>
              </w:rPr>
              <w:t xml:space="preserve">    </w:t>
            </w:r>
            <w:r>
              <w:rPr>
                <w:sz w:val="24"/>
              </w:rPr>
              <w:t>年　</w:t>
            </w:r>
            <w:r>
              <w:rPr>
                <w:sz w:val="24"/>
              </w:rPr>
              <w:t>月　</w:t>
            </w:r>
            <w:r>
              <w:rPr>
                <w:sz w:val="24"/>
              </w:rPr>
              <w:t xml:space="preserve">  </w:t>
            </w:r>
            <w:r>
              <w:rPr>
                <w:sz w:val="24"/>
              </w:rPr>
              <w:t>日</w:t>
            </w:r>
          </w:p>
          <w:p>
            <w:r>
              <w:rPr>
                <w:sz w:val="19"/>
              </w:rPr>
              <w:t xml:space="preserve"> </w:t>
            </w:r>
          </w:p>
          <w:p>
            <w:r>
              <w:rPr>
                <w:sz w:val="19"/>
              </w:rPr>
              <w:t xml:space="preserve"> </w:t>
            </w:r>
          </w:p>
        </w:tc>
      </w:tr>
    </w:tbl>
    <w:p>
      <w:r>
        <w:rPr/>
        <w:t xml:space="preserve"> </w:t>
      </w:r>
    </w:p>
    <w:p>
      <w:pPr>
        <w:jc w:val="both"/>
      </w:pPr>
      <w:r>
        <w:rPr>
          <w:b/>
          <w:sz w:val="24"/>
        </w:rPr>
        <w:t>附件一：</w:t>
      </w:r>
      <w:r>
        <w:rPr>
          <w:b/>
          <w:sz w:val="21"/>
          <w:u w:val="single"/>
        </w:rPr>
        <w:t xml:space="preserve">                            </w:t>
      </w:r>
      <w:r>
        <w:rPr>
          <w:b/>
          <w:sz w:val="24"/>
        </w:rPr>
        <w:t>采购项目</w:t>
      </w:r>
      <w:r>
        <w:rPr>
          <w:b/>
          <w:sz w:val="24"/>
        </w:rPr>
        <w:t>合同货物配置清单及技术指标</w:t>
      </w:r>
      <w:r>
        <w:rPr>
          <w:b/>
          <w:sz w:val="24"/>
        </w:rPr>
        <w:t>：</w:t>
      </w:r>
    </w:p>
    <w:p>
      <w:pPr>
        <w:jc w:val="both"/>
      </w:pPr>
    </w:p>
    <w:p>
      <w:pPr>
        <w:jc w:val="both"/>
      </w:pPr>
      <w:r>
        <w:rPr>
          <w:sz w:val="21"/>
        </w:rPr>
        <w:t xml:space="preserve"> </w:t>
      </w:r>
    </w:p>
    <w:p>
      <w:pPr>
        <w:jc w:val="both"/>
      </w:pPr>
    </w:p>
    <w:p>
      <w:pPr>
        <w:jc w:val="both"/>
      </w:pPr>
    </w:p>
    <w:p>
      <w:pPr>
        <w:jc w:val="both"/>
      </w:pPr>
    </w:p>
    <w:p>
      <w:pPr>
        <w:jc w:val="both"/>
      </w:pPr>
    </w:p>
    <w:p>
      <w:pPr>
        <w:jc w:val="both"/>
      </w:pPr>
    </w:p>
    <w:p>
      <w:pPr>
        <w:jc w:val="both"/>
      </w:pPr>
    </w:p>
    <w:p>
      <w:pPr>
        <w:ind w:firstLine="411"/>
        <w:jc w:val="both"/>
      </w:pPr>
      <w:r>
        <w:rPr>
          <w:sz w:val="21"/>
        </w:rPr>
        <w:t>本合同样本仅供参考，具体条款内容由采购人和中标单位协商确定，但不得修改招标文件、响应文件、中标通知书等实质性内容。</w:t>
      </w:r>
    </w:p>
    <w:p>
      <w:pPr>
        <w:jc w:val="both"/>
      </w:pPr>
    </w:p>
    <w:p>
      <w:pPr>
        <w:ind w:firstLine="420"/>
        <w:jc w:val="both"/>
      </w:pPr>
    </w:p>
    <w:p/>
    <w:p>
      <w:pPr>
        <w:ind w:firstLine="480"/>
      </w:pPr>
    </w:p>
    <w:p>
      <w:r>
        <w:rPr/>
        <w:t xml:space="preserve"> </w:t>
      </w:r>
    </w:p>
    <w:p/>
    <w:p>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按照谈判文件要求，供应商应当提交的资格、资信证明文件。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440601-2022-06164</w:t>
      </w:r>
    </w:p>
    <w:p>
      <w:pPr>
        <w:jc w:val="center"/>
      </w:pPr>
      <w:r>
        <w:rPr>
          <w:b/>
          <w:sz w:val="24"/>
        </w:rPr>
        <w:t>采购项目编号：</w:t>
      </w:r>
      <w:r>
        <w:rPr>
          <w:b/>
          <w:sz w:val="24"/>
        </w:rPr>
        <w:t>XH2022CB-11-002（内部编号：GZGK22D259B0914T）</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响应承诺函</w:t>
      </w:r>
    </w:p>
    <w:p>
      <w:pPr>
        <w:ind w:firstLine="480"/>
      </w:pPr>
      <w:r>
        <w:rPr/>
        <w:t>致：</w:t>
      </w:r>
      <w:r>
        <w:rPr>
          <w:u w:val="single"/>
        </w:rPr>
        <w:t>广州市国科招标代理有限公司</w:t>
      </w:r>
    </w:p>
    <w:p>
      <w:pPr>
        <w:ind w:firstLine="480"/>
      </w:pPr>
      <w:r>
        <w:rPr/>
        <w:t>你方组织的</w:t>
      </w:r>
      <w:r>
        <w:rPr>
          <w:u w:val="single"/>
        </w:rPr>
        <w:t>“</w:t>
      </w:r>
      <w:r>
        <w:rPr>
          <w:u w:val="single"/>
        </w:rPr>
        <w:t>甲类园区二次配电工程</w:t>
      </w:r>
      <w:r>
        <w:rPr>
          <w:u w:val="single"/>
        </w:rPr>
        <w:t>”</w:t>
      </w:r>
      <w:r>
        <w:rPr/>
        <w:t>项目的竞争性谈判[采购项目编号为：</w:t>
      </w:r>
      <w:r>
        <w:rPr>
          <w:u w:val="single"/>
        </w:rPr>
        <w:t>XH2022CB-11-002（内部编号：GZGK22D259B0914T）</w:t>
      </w:r>
      <w:r>
        <w:rPr/>
        <w:t>]，我方愿参与谈判。</w:t>
      </w:r>
    </w:p>
    <w:p>
      <w:pPr>
        <w:ind w:firstLine="480"/>
      </w:pPr>
      <w:r>
        <w:rPr/>
        <w:t>我方确认收到贵方提供的</w:t>
      </w:r>
      <w:r>
        <w:rPr>
          <w:u w:val="single"/>
        </w:rPr>
        <w:t>“</w:t>
      </w:r>
      <w:r>
        <w:rPr>
          <w:u w:val="single"/>
        </w:rPr>
        <w:t>甲类园区二次配电工程</w:t>
      </w:r>
      <w:r>
        <w:rPr>
          <w:u w:val="single"/>
        </w:rPr>
        <w:t>”</w:t>
      </w:r>
      <w:r>
        <w:rPr/>
        <w:t>项目的谈判文件的全部内容。</w:t>
      </w:r>
    </w:p>
    <w:p>
      <w:pPr>
        <w:ind w:firstLine="480"/>
      </w:pPr>
      <w:r>
        <w:rPr/>
        <w:t>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我方已完全明白谈判文件的所有条款要求，并申明如下：</w:t>
      </w:r>
    </w:p>
    <w:p>
      <w:pPr>
        <w:ind w:firstLine="480"/>
      </w:pPr>
      <w:r>
        <w:rPr/>
        <w:t>（一）按谈判文件提供的全部货物（工程、服务）与相关服务的谈判总价详见《首轮报价表》。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（五）我方如果成交，将保证履行谈判文件及其澄清、修改文件（如果有）中的全部责任和义务，按质、按量、按期完成《采购需求》及《合同书》中的全部任务。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（七）我方谈判报价已包含应向知识产权所有权人支付的所有相关税费，并保证采购人在中国使用我方提供的货物时，如有第三方提出侵犯其知识产权主张的，责任由我方承担。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w:t>
      </w:r>
    </w:p>
    <w:p>
      <w:pPr>
        <w:ind w:firstLine="480"/>
      </w:pPr>
      <w:r>
        <w:rPr/>
        <w:t>（九）我方与其他供应商不存在单位负责人为同一人或者存在直接控股、管理关系。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以上内容如有虚假或与事实不符的，谈判小组可将我方做无效响应处理，我方愿意承担相应的法律责任。</w:t>
      </w:r>
    </w:p>
    <w:p>
      <w:pPr>
        <w:ind w:firstLine="480"/>
      </w:pPr>
      <w:r>
        <w:rPr/>
        <w:t>（十三）我方对在本函及响应文件中所作的所有承诺承担法律责任。</w:t>
      </w:r>
    </w:p>
    <w:p>
      <w:pPr>
        <w:ind w:firstLine="480"/>
      </w:pPr>
      <w:r>
        <w:rPr/>
        <w:t>（十四）所有与本谈判有关的函件请发往下列地址：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首轮报价表</w:t>
      </w:r>
    </w:p>
    <w:p>
      <w:pPr>
        <w:ind w:firstLine="480"/>
      </w:pPr>
      <w:r>
        <w:rPr/>
        <w:t>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w:t>
      </w:r>
    </w:p>
    <w:p>
      <w:pPr>
        <w:ind w:firstLine="480"/>
      </w:pPr>
    </w:p>
    <w:p>
      <w:pPr>
        <w:ind w:firstLine="480"/>
      </w:pPr>
    </w:p>
    <w:p>
      <w:pPr>
        <w:jc w:val="right"/>
      </w:pPr>
      <w:r>
        <w:rPr/>
        <w:t>供应商名称（盖章）：__________________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甲类园区二次配电工程</w:t>
      </w:r>
      <w:r>
        <w:rPr/>
        <w:t>”项目采购[采购项目编号为</w:t>
      </w:r>
      <w:r>
        <w:rPr/>
        <w:t>XH2022CB-11-002（内部编号：GZGK22D259B0914T）</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r>
        <w:rPr>
          <w:b/>
          <w:sz w:val="28"/>
        </w:rPr>
        <w:t>格式七：</w:t>
      </w:r>
    </w:p>
    <w:p>
      <w:pPr>
        <w:jc w:val="center"/>
      </w:pPr>
      <w:r>
        <w:rPr>
          <w:b/>
          <w:sz w:val="24"/>
        </w:rPr>
        <w:t>响应保证金</w:t>
      </w:r>
    </w:p>
    <w:p>
      <w:pPr>
        <w:ind w:firstLine="480"/>
      </w:pPr>
      <w:r>
        <w:rPr/>
        <w:t>谈判文件要求递交响应保证金的，供应商应在此提供保证金的凭证的复印件。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佛山仙湖实验室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中小企业声明函（所响应产品制造商为中小企业时提交本函，所属行业应符合谈判文件中明确的本项目所属行业）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中小企业声明函（承建本项目工程为中小企业或者承接本项目服务为中小企业时提交本函，所属行业应符合谈判文件中明确的本项目所属行业）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作为联合体的牵头单位，代表联合体双方负责谈判和合同实施阶段的主办、协调工作。</w:t>
      </w:r>
    </w:p>
    <w:p>
      <w:pPr>
        <w:ind w:firstLine="480"/>
      </w:pPr>
      <w:r>
        <w:rPr/>
        <w:t>2.联合体将严格按照文件的各项要求，递交谈判文件，切实执行一切合同文件，共同承担合同规定的一切义务和责任，同时按照内部职责的划分，承担自身所负的责任和风险，在法律在承担连带责任。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六、本协议书正本一式_____份，随谈判文件装订_____份，送采购人_____份，联合体成员各一份；副本一式_____份，联合体成员各执_____份。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根据上述业绩情况，按谈判文件要求附销售或服务合同复印件。</w:t>
      </w:r>
    </w:p>
    <w:p>
      <w:pPr>
        <w:ind w:firstLine="480"/>
      </w:pPr>
    </w:p>
    <w:p>
      <w:r>
        <w:rPr/>
        <w:t xml:space="preserve"> </w:t>
      </w:r>
    </w:p>
    <w:p/>
    <w:p>
      <w:r>
        <w:rPr>
          <w:b/>
          <w:sz w:val="28"/>
        </w:rPr>
        <w:t>格式十六：</w:t>
      </w:r>
    </w:p>
    <w:p>
      <w:pPr>
        <w:jc w:val="center"/>
      </w:pPr>
      <w:r>
        <w:rPr>
          <w:b/>
          <w:sz w:val="24"/>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谈判文件规定的技术和服务要求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2.参数性质栏目按谈判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谈判文件规定的商务条件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1.“谈判文件规定的商务条件”项下填写的内容应与谈判文件中采购需求的“商务要求”的内容保持一致。</w:t>
      </w:r>
    </w:p>
    <w:p>
      <w:pPr>
        <w:ind w:firstLine="480"/>
      </w:pPr>
      <w:r>
        <w:rPr/>
        <w:t>2.</w:t>
        <w:tab/>
        <w:tab/>
        <w:t xml:space="preserve">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3.</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jc w:val="center"/>
      </w:pPr>
      <w:r>
        <w:rPr>
          <w:b/>
          <w:sz w:val="24"/>
        </w:rPr>
        <w:t>各类证明材料</w:t>
      </w:r>
    </w:p>
    <w:p>
      <w:pPr>
        <w:ind w:firstLine="480"/>
      </w:pPr>
      <w:r>
        <w:rPr/>
        <w:t>1.谈判文件要求提供的其他资料。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代理服务费支付承诺书</w:t>
      </w:r>
    </w:p>
    <w:p>
      <w:pPr>
        <w:ind w:firstLine="480"/>
      </w:pPr>
      <w:r>
        <w:rPr/>
        <w:t>致：</w:t>
      </w:r>
      <w:r>
        <w:rPr/>
        <w:t>广州市国科招标代理有限公司</w:t>
      </w:r>
    </w:p>
    <w:p>
      <w:pPr>
        <w:ind w:firstLine="480"/>
      </w:pPr>
      <w:r>
        <w:rPr/>
        <w:t>1、完全响应谈判文件中要求的条款，若提供虚假资料将作为无效响应处理，并接受相关部门的处罚。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谈判、评审、确定成交供应商，以及提供采购前期咨询、协调合同的签订等服务，按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甲类园区二次配电工程</w:t>
      </w:r>
      <w:r>
        <w:rPr/>
        <w:t>”项目（采购项目编号：</w:t>
      </w:r>
      <w:r>
        <w:rPr/>
        <w:t>XH2022CB-11-002（内部编号：GZGK22D259B0914T）</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jc w:val="right"/>
      </w:pPr>
      <w:r>
        <w:rPr/>
        <w:t>询问人（公章）：_____________________</w:t>
      </w:r>
    </w:p>
    <w:p>
      <w:pPr>
        <w:jc w:val="right"/>
      </w:pPr>
      <w:r>
        <w:rPr/>
        <w:t>法定代表人或授权代表（签字或盖章）：_____________________</w:t>
      </w:r>
    </w:p>
    <w:p>
      <w:pPr>
        <w:jc w:val="right"/>
      </w:pPr>
      <w:r>
        <w:rPr/>
        <w:t>地址/邮编：_____________________</w:t>
      </w:r>
    </w:p>
    <w:p>
      <w:pPr>
        <w:jc w:val="right"/>
      </w:pPr>
      <w:r>
        <w:rPr/>
        <w:t>电话/传真：_____________________</w:t>
      </w:r>
    </w:p>
    <w:p>
      <w:pPr>
        <w:jc w:val="right"/>
      </w:pPr>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谈判文件获取日期：_____________________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请求：__________________________________________</w:t>
      </w:r>
    </w:p>
    <w:p>
      <w:pPr>
        <w:jc w:val="right"/>
      </w:pPr>
      <w:r>
        <w:rPr/>
        <w:t>签字(签章)： 公章：</w:t>
      </w:r>
    </w:p>
    <w:p>
      <w:pPr>
        <w:jc w:val="right"/>
      </w:pPr>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谈判文件公告: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w:t>
      </w:r>
    </w:p>
    <w:p>
      <w:pPr>
        <w:ind w:firstLine="480"/>
      </w:pPr>
      <w:r>
        <w:rPr/>
        <w:t>采购人/代理机构于____年____月____日,就质疑事项作出了答复/没有在法定期限内作出答复。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 ________公章________</w:t>
      </w:r>
    </w:p>
    <w:p>
      <w:pPr>
        <w:jc w:val="right"/>
      </w:pPr>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r>
        <w:rPr>
          <w:b/>
          <w:sz w:val="28"/>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r>
        <w:rPr>
          <w:b/>
          <w:sz w:val="28"/>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r>
        <w:rPr>
          <w:b/>
          <w:sz w:val="28"/>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r>
        <w:rPr>
          <w:b/>
          <w:sz w:val="28"/>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r>
        <w:rPr>
          <w:b/>
          <w:sz w:val="28"/>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r>
        <w:rPr>
          <w:b/>
          <w:sz w:val="28"/>
        </w:rPr>
        <w:t>六、争议的解决</w:t>
      </w:r>
    </w:p>
    <w:p>
      <w:pPr>
        <w:ind w:firstLine="480"/>
      </w:pPr>
      <w:r>
        <w:rPr/>
        <w:t>因本保函发生的纠纷，由你我双方协商解决，协商不成的，通过诉讼程序解决，诉讼管辖地法院为___________法院。</w:t>
      </w:r>
    </w:p>
    <w:p>
      <w:r>
        <w:rPr>
          <w:b/>
          <w:sz w:val="28"/>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联系人：____________________联系电话：____________________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