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440112-2024-00190</w:t>
      </w:r>
    </w:p>
    <w:p>
      <w:pPr>
        <w:jc w:val="center"/>
      </w:pPr>
      <w:r>
        <w:rPr>
          <w:b/>
          <w:sz w:val="24"/>
        </w:rPr>
        <w:t>采购项目编号：</w:t>
      </w:r>
      <w:r>
        <w:rPr>
          <w:b/>
          <w:sz w:val="24"/>
        </w:rPr>
        <w:t>GZGK24D011C0023Z</w:t>
      </w:r>
    </w:p>
    <w:p>
      <w:pPr>
        <w:jc w:val="center"/>
      </w:pPr>
      <w:r>
        <w:rPr>
          <w:b/>
          <w:sz w:val="24"/>
        </w:rPr>
        <w:t>项目名称：</w:t>
      </w:r>
      <w:r>
        <w:rPr>
          <w:b/>
          <w:sz w:val="24"/>
        </w:rPr>
        <w:t>广州开发区民营经济和企业服务局2024年度重大项目集中签约动工及竣工投试产等活动会场设计及布展等服务工作项目</w:t>
      </w:r>
    </w:p>
    <w:p>
      <w:pPr>
        <w:jc w:val="center"/>
      </w:pPr>
      <w:r>
        <w:rPr>
          <w:b/>
          <w:sz w:val="24"/>
        </w:rPr>
        <w:t>采购人：</w:t>
      </w:r>
      <w:r>
        <w:rPr>
          <w:b/>
          <w:sz w:val="24"/>
        </w:rPr>
        <w:t>广州开发区民营经济和企业服务局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广州开发区民营经济和企业服务局</w:t>
      </w:r>
      <w:r>
        <w:rPr/>
        <w:t>的委托，采用</w:t>
      </w:r>
      <w:r>
        <w:rPr/>
        <w:t>公开招标</w:t>
      </w:r>
      <w:r>
        <w:rPr/>
        <w:t>方式组织采购</w:t>
      </w:r>
      <w:r>
        <w:rPr/>
        <w:t>广州开发区民营经济和企业服务局2024年度重大项目集中签约动工及竣工投试产等活动会场设计及布展等服务工作项目</w:t>
      </w:r>
      <w:r>
        <w:rPr/>
        <w:t>。欢迎符合资格条件的国内供应商参加投标。</w:t>
      </w:r>
    </w:p>
    <w:p>
      <w:r>
        <w:rPr>
          <w:b/>
          <w:sz w:val="28"/>
        </w:rPr>
        <w:t>一.项目概述</w:t>
      </w:r>
    </w:p>
    <w:p>
      <w:r>
        <w:rPr>
          <w:b/>
          <w:sz w:val="24"/>
        </w:rPr>
        <w:t>1.名称与编号</w:t>
      </w:r>
    </w:p>
    <w:p>
      <w:pPr>
        <w:ind w:firstLine="480"/>
      </w:pPr>
      <w:r>
        <w:rPr/>
        <w:t>项目名称：</w:t>
      </w:r>
      <w:r>
        <w:rPr/>
        <w:t>广州开发区民营经济和企业服务局2024年度重大项目集中签约动工及竣工投试产等活动会场设计及布展等服务工作项目</w:t>
      </w:r>
    </w:p>
    <w:p>
      <w:pPr>
        <w:ind w:firstLine="480"/>
      </w:pPr>
      <w:r>
        <w:rPr/>
        <w:t>采购计划编号：</w:t>
      </w:r>
      <w:r>
        <w:rPr/>
        <w:t>440112-2024-00190</w:t>
      </w:r>
    </w:p>
    <w:p>
      <w:pPr>
        <w:ind w:firstLine="480"/>
      </w:pPr>
      <w:r>
        <w:rPr/>
        <w:t>采购项目编号：</w:t>
      </w:r>
      <w:r>
        <w:rPr/>
        <w:t>GZGK24D011C0023Z</w:t>
      </w:r>
    </w:p>
    <w:p>
      <w:pPr>
        <w:ind w:firstLine="480"/>
      </w:pPr>
      <w:r>
        <w:rPr/>
        <w:t>采购方式：</w:t>
      </w:r>
      <w:r>
        <w:rPr/>
        <w:t>公开招标</w:t>
      </w:r>
    </w:p>
    <w:p>
      <w:pPr>
        <w:ind w:firstLine="480"/>
      </w:pPr>
      <w:r>
        <w:rPr/>
        <w:t>预算金额：</w:t>
      </w:r>
      <w:r>
        <w:rPr/>
        <w:t>1,800,000.00</w:t>
      </w:r>
      <w:r>
        <w:rPr/>
        <w:t>元</w:t>
      </w:r>
    </w:p>
    <w:p>
      <w:r>
        <w:rPr>
          <w:b/>
          <w:sz w:val="24"/>
        </w:rPr>
        <w:t>2.项目内容及需求情况（采购项目技术规格、参数及要求）</w:t>
      </w:r>
    </w:p>
    <w:p>
      <w:pPr>
        <w:ind w:firstLine="480"/>
      </w:pPr>
    </w:p>
    <w:p/>
    <w:p>
      <w:r>
        <w:rPr/>
        <w:t>采购包1(广州开发区民营经济和企业服务局2024年度重大项目集中签约动工及竣工投试产等活动会场设计及布展等服务工作项目):</w:t>
      </w:r>
    </w:p>
    <w:p>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根据工作需要，遴选1名中标人承担广州开发区民营经济和企业服务局2024年度重大项目集中签约动工及竣工投试产等活动会场设计及布展等服务工作，在服务期限内协助采购人完成项目内所有活动的策划、活动设计及活动组织执行（含彩排）等服务。</w:t>
            </w:r>
          </w:p>
        </w:tc>
        <w:tc>
          <w:tcPr>
            <w:tcW w:type="dxa" w:w="977"/>
          </w:tcPr>
          <w:p>
            <w:r>
              <w:rPr/>
              <w:t>1.00(项)</w:t>
            </w:r>
          </w:p>
        </w:tc>
        <w:tc>
          <w:tcPr>
            <w:tcW w:type="dxa" w:w="977"/>
          </w:tcPr>
          <w:p>
            <w:r>
              <w:rPr/>
              <w:t>详见第二章</w:t>
            </w:r>
          </w:p>
        </w:tc>
        <w:tc>
          <w:tcPr>
            <w:tcW w:type="dxa" w:w="977"/>
          </w:tcPr>
          <w:p>
            <w:r>
              <w:rPr/>
              <w:t>1,800,000.00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采购包1（广州开发区民营经济和企业服务局2024年度重大项目集中签约动工及竣工投试产等活动会场设计及布展等服务工作项目）：</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采购包1（广州开发区民营经济和企业服务局2024年度重大项目集中签约动工及竣工投试产等活动会场设计及布展等服务工作项目）：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广州开发区民营经济和企业服务局</w:t>
      </w:r>
    </w:p>
    <w:p>
      <w:pPr>
        <w:ind w:firstLine="480"/>
      </w:pPr>
      <w:r>
        <w:rPr/>
        <w:t>地址：</w:t>
      </w:r>
      <w:r>
        <w:rPr/>
        <w:t>广州市黄埔区香雪三路一号行政服务中心E栋111室</w:t>
      </w:r>
    </w:p>
    <w:p>
      <w:pPr>
        <w:ind w:firstLine="480"/>
      </w:pPr>
      <w:r>
        <w:rPr/>
        <w:t>联系方式：</w:t>
      </w:r>
      <w:r>
        <w:rPr/>
        <w:t>020-82111525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（一）项目编号：GZGK24D011C0023Z</w:t>
      </w:r>
      <w:r>
        <w:br/>
      </w:r>
      <w:r>
        <w:rPr/>
        <w:t>（二）项目名称：广州开发区民营经济和企业服务局2024年度重大项目集中签约动工及竣工投试产等活动会场设计及布展等服务工作项目</w:t>
      </w:r>
      <w:r>
        <w:br/>
      </w:r>
      <w:r>
        <w:rPr/>
        <w:t>（三）总体要求说明：</w:t>
      </w:r>
      <w:r>
        <w:br/>
      </w:r>
      <w:r>
        <w:rPr/>
        <w:t>1、标有“★”的条款为必须完全满足的实质性要求，投标人如有一项带“★”的条款未响应或不满足，将按无效投标处理。</w:t>
      </w:r>
      <w:r>
        <w:br/>
      </w:r>
      <w:r>
        <w:rPr/>
        <w:t>2、标有“▲”的条款为重要性要求，投标人如有“▲”的条款未响应或负偏离的将被严重扣分。</w:t>
      </w:r>
      <w:r>
        <w:br/>
      </w:r>
      <w:r>
        <w:rPr/>
        <w:t>3、投标人应对采购需求中的服务指标在响应详细内容中列出具体数值或明确承诺。如果投标人只注明“正偏离”或“无偏离”，将可能被视为“负偏离”，从而可能导致严重影响评标结果。</w:t>
      </w:r>
      <w:r>
        <w:br/>
      </w:r>
      <w:r>
        <w:rPr/>
        <w:t>4、涉及到软件产品的，必须采购和使用正版软件，项目中涉及计算机办公产品的，必须预装正版操作系统软件。</w:t>
      </w:r>
      <w:r>
        <w:br/>
      </w:r>
      <w:r>
        <w:rPr/>
        <w:t>5、投标人没有在投标文件中注明偏离（文字说明或在响应表注明）的参数、配置、条款视为被投标人完全接受。</w:t>
      </w:r>
      <w:r>
        <w:br/>
      </w:r>
      <w:r>
        <w:rPr/>
        <w:t>6、投标人应保证，采购人在中华人民共和国使用该服务或服务的任何一部分时，免受第三方提出的侵犯其专利权、商标权、著作权或其它知识产权的起诉。</w:t>
      </w:r>
      <w:r>
        <w:br/>
      </w:r>
      <w:r>
        <w:rPr/>
        <w:t>7、不允许中标供应商转包、分包项目内容。</w:t>
      </w:r>
      <w:r>
        <w:br/>
      </w:r>
      <w:r>
        <w:rPr/>
        <w:t>8、小型和微型企业、监狱企业和残疾人福利性单位必须按照招标（采购）文件第三章内容提供相应的资料。</w:t>
      </w:r>
      <w:r>
        <w:br/>
      </w:r>
      <w:r>
        <w:rPr/>
        <w:t>9、需落实政府采购政策为：促进中小企业发展政策、支持监狱企业发展政策、支持残疾人福利性单位发展政策、优先采购节能产品、环境标志产品相关政策等。</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r>
        <w:br/>
      </w:r>
      <w:r>
        <w:rPr/>
        <w:t>2、供应商电脑需提前安装CA签章客户端，并运行CA证书。</w:t>
      </w:r>
      <w:r>
        <w:br/>
      </w:r>
      <w:r>
        <w:rPr/>
        <w:t>3、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材料费、培训费、税费、交通费、工具、宣传费、考核评估服务费、人员费用、风险金和利润、不可预见费等在项目实施过程中的全部费用。投标人报价中漏报、少报的费用，视为已隐含在投标报价中，中标后不得再向采购人收取任何费用。</w:t>
      </w:r>
      <w:r>
        <w:br/>
      </w:r>
      <w:r>
        <w:rPr/>
        <w:t>1、单次活动会场布展工作的价格结算依据，根据采购人对活动会场布展工作的要求，结合采购人出具的会场布展单项产品以及市场调研价格测算的价格依据（详见附件），按当次活动会场布展所需单项产品（服务）*单价*数量*中标折扣的方式计算金额并结算。</w:t>
      </w:r>
      <w:r>
        <w:br/>
      </w:r>
      <w:r>
        <w:rPr/>
        <w:t>2、报价方式：本项目采用投标折扣的方式报价，投标折扣必须为固定数值（保留小数点后2位，如：98.00%），不得存在区间值（如90.00%～92.00%），否则将被视为非实质性响应招标文件，按无效投标处理。本项目不接受有选择性的投标报价。报价范围为0.00%≤投标报价≤100.00%，凡超出报价范围的，一律视为无效报价。</w:t>
      </w:r>
      <w:r>
        <w:br/>
      </w:r>
      <w:r>
        <w:rPr/>
        <w:t>备注：最终综合总报价=（各产品报价×各项产品权重）的相加值</w:t>
      </w:r>
      <w:r>
        <w:br/>
      </w:r>
      <w:r>
        <w:rPr/>
        <w:t>（六）实现的目标</w:t>
      </w:r>
      <w:r>
        <w:br/>
      </w:r>
      <w:r>
        <w:rPr/>
        <w:t>在服务期限内协助采购人完成项目内所有活动的策划、活动设计及活动组织执行（含彩排）等服务。其中：1.负责每次活动期间的执行效果管控工作、协调执行统筹、人员的协调工作、工作进度安排、人员安全意识培训、督促和实施等；2.负责活动现场场景布置、维护、现场管理、视频音效、摄像、电力保障及服务提供；3.根据采购人提出的每次活动总体设计风格及制作要求，制定当次活动项目物料清单，为采购人提供实物及制作方案、完成会场布置等工作，保证活动各环节的严谨有序，实现活动成功按预期举办。</w:t>
      </w:r>
      <w:r>
        <w:br/>
      </w:r>
      <w:r>
        <w:rPr/>
        <w:t>（七）需执行国家相关标准、行业标准、地方标准或者其他标准、规范。</w:t>
      </w:r>
    </w:p>
    <w:p/>
    <w:p>
      <w:pPr>
        <w:ind w:firstLine="480"/>
      </w:pPr>
    </w:p>
    <w:p/>
    <w:p>
      <w:r>
        <w:rPr/>
        <w:t>采购包1（广州开发区民营经济和企业服务局2024年度重大项目集中签约动工及竣工投试产等活动会场设计及布展等服务工作项目）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2024年12月31日，或者合同结算总金额大于或等于本项目预算金额时，又或者中标供应商已协助采购人举办2次重大项目动工活动、投试产活动或全区性集中签约动工活动、项目封顶活动、投试产活动等筹建相关活动（本项目下包含多次活动举办工作,活动次数可能因工作安排有所调整，最终具体次数以实际为准），双方依合同履行义务后，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1期：支付比例100%,1.每次活动中，单项产品或服务的价格以采购人出具的会场布展单项产品以及市场调研价格测算的价格为依据（详见附件）。 2.每次活动结束后，中标供应商根据实际发生的产品或服务数量据实向采购人提出结算申请，并向采购人开具等额有效发票，方可办理相关申报支付手续。 3.采购人按照相关合同规定对中标供应商在每次活动中提供的货物、服务内容进行验收合格和收到有效发票后，15日内支付当次活动结算价款。 4.中标供应商需完成2次重大项目动工活动、投试产活动或全区性集中签约动工活动、项目封顶活动、投试产活动等筹建相关活动的会场设计及布展等服务工作（本项目下包含多次活动举办工作,活动次数可能因工作安排有所调整，最终具体次数以实际为准），单次活动费用据实结算（单次活动结算金额=会场布展所需产品（服务）单价*数量*中标折扣），项目结算总金额不得超过预算金额。</w:t>
            </w:r>
          </w:p>
        </w:tc>
      </w:tr>
      <w:tr>
        <w:tc>
          <w:tcPr>
            <w:tcW w:type="dxa" w:w="4153"/>
          </w:tcPr>
          <w:p>
            <w:r>
              <w:rPr/>
              <w:t>验收要求</w:t>
            </w:r>
          </w:p>
        </w:tc>
        <w:tc>
          <w:tcPr>
            <w:tcW w:type="dxa" w:w="4153"/>
          </w:tcPr>
          <w:p/>
          <w:p/>
          <w:p/>
          <w:p>
            <w:r>
              <w:rPr/>
              <w:t>1期：1、采购人在收到中标供应商项目验收建议之日7日内按照合同的约定对履约情况进行验收，对每一项技术、服务、安全标准的履约情况进行确认。 2、若验收不合格，采购人有权要求中标供应商进行整改，若整改之后仍不合格，采购人将按照合同约定进行减款扣款，情况严重的，将有权终止合同。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根据工作需要，遴选1名中标人承担广州开发区民营经济和企业服务局2024年度重大项目集中签约动工及竣工投试产等活动会场设计及布展等服务工作，在服务期限内协助采购人完成项目内所有活动的策划、活动设计及活动组织执行（含彩排）等服务。</w:t>
            </w:r>
          </w:p>
        </w:tc>
        <w:tc>
          <w:tcPr>
            <w:tcW w:type="dxa" w:w="831"/>
          </w:tcPr>
          <w:p>
            <w:pPr>
              <w:jc w:val="left"/>
            </w:pPr>
            <w:r>
              <w:rPr/>
              <w:t>项</w:t>
            </w:r>
          </w:p>
        </w:tc>
        <w:tc>
          <w:tcPr>
            <w:tcW w:type="dxa" w:w="831"/>
          </w:tcPr>
          <w:p>
            <w:pPr>
              <w:jc w:val="right"/>
            </w:pPr>
            <w:r>
              <w:rPr/>
              <w:t>1.00</w:t>
            </w:r>
          </w:p>
        </w:tc>
        <w:tc>
          <w:tcPr>
            <w:tcW w:type="dxa" w:w="831"/>
          </w:tcPr>
          <w:p>
            <w:pPr>
              <w:jc w:val="right"/>
            </w:pPr>
            <w:r>
              <w:rPr/>
              <w:t>1,800,000.00</w:t>
            </w:r>
          </w:p>
        </w:tc>
        <w:tc>
          <w:tcPr>
            <w:tcW w:type="dxa" w:w="831"/>
          </w:tcPr>
          <w:p>
            <w:pPr>
              <w:jc w:val="right"/>
            </w:pPr>
            <w:r>
              <w:rPr/>
              <w:t>1,800,000.00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根据工作需要，遴选1名中标人承担广州开发区民营经济和企业服务局2024年度重大项目集中签约动工及竣工投试产等活动会场设计及布展等服务工作，在服务期限内协助采购人完成项目内所有活动的策划、活动设计及活动组织执行（含彩排）等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0"/>
              <w:jc w:val="left"/>
            </w:pPr>
            <w:r>
              <w:rPr>
                <w:sz w:val="21"/>
              </w:rPr>
              <w:t>中标供应商在合同履行期限内协助采购人举办</w:t>
            </w:r>
            <w:r>
              <w:rPr>
                <w:sz w:val="21"/>
              </w:rPr>
              <w:t>2</w:t>
            </w:r>
            <w:r>
              <w:rPr>
                <w:sz w:val="21"/>
              </w:rPr>
              <w:t>次重大项目动工活动、投试产活动或全区性集中签约动工活动、项目封顶活动、投试产活动等筹建相关活动（本项目下包含多次活动举办工作</w:t>
            </w:r>
            <w:r>
              <w:rPr>
                <w:sz w:val="21"/>
              </w:rPr>
              <w:t>，</w:t>
            </w:r>
            <w:r>
              <w:rPr>
                <w:sz w:val="21"/>
              </w:rPr>
              <w:t>活动次数可能因工作安排有所调整，最终具体次数以实际为准），每次活动中标供应商提供的服务应包括：</w:t>
            </w:r>
          </w:p>
          <w:p>
            <w:pPr>
              <w:ind w:firstLine="480"/>
              <w:jc w:val="left"/>
            </w:pPr>
            <w:r>
              <w:rPr>
                <w:sz w:val="21"/>
              </w:rPr>
              <w:t>（一）活动整体规划设计、会场布置、效果设计等。</w:t>
            </w:r>
          </w:p>
          <w:p>
            <w:pPr>
              <w:ind w:firstLine="480"/>
              <w:jc w:val="left"/>
            </w:pPr>
            <w:r>
              <w:rPr>
                <w:sz w:val="21"/>
              </w:rPr>
              <w:t>（二）现场服务：活动前期、中期及后期根据采购人需求，组织人员分工、拟定应急方案，做好现场协调统筹、工作进度安排、会场设计、记录、搜集、制作、宣传等相关服务工作，保障采购人所要求的活动执行效果。</w:t>
            </w:r>
          </w:p>
          <w:p>
            <w:pPr>
              <w:ind w:firstLine="480"/>
              <w:jc w:val="left"/>
            </w:pPr>
            <w:r>
              <w:rPr>
                <w:sz w:val="21"/>
              </w:rPr>
              <w:t>（三）会场物料布置：基本物料制作部分应包括活动现场舞台、座位区、休息区、展示区、停车区、工作区、指引线等区域物料制作，包括活动筹备期及后期物料，涉及工地、地面、门头、围挡、展板以及根据场地不同所提供辅助材料等。</w:t>
            </w:r>
          </w:p>
          <w:p>
            <w:pPr>
              <w:ind w:firstLine="480"/>
              <w:jc w:val="left"/>
            </w:pPr>
            <w:r>
              <w:rPr>
                <w:sz w:val="21"/>
              </w:rPr>
              <w:t>（四）音像、视频、拍摄剪辑等服务：设备部分应包括全方位立体摄影设备、显示输出及转换设备、</w:t>
            </w:r>
            <w:r>
              <w:rPr>
                <w:sz w:val="21"/>
              </w:rPr>
              <w:t>AV</w:t>
            </w:r>
            <w:r>
              <w:rPr>
                <w:sz w:val="21"/>
              </w:rPr>
              <w:t>音响、灯光、备用发电设备以及活动直播实时连线所需的专线网络、直播连线平台、终端设备、现场信号切换设备等；专业人员应包括摄影师、摄像师、技术人员（灯光监控，</w:t>
            </w:r>
            <w:r>
              <w:rPr>
                <w:sz w:val="21"/>
              </w:rPr>
              <w:t>DJ</w:t>
            </w:r>
            <w:r>
              <w:rPr>
                <w:sz w:val="21"/>
              </w:rPr>
              <w:t>及音乐监控编剪）、区域工作人员等。</w:t>
            </w:r>
          </w:p>
          <w:p>
            <w:pPr>
              <w:ind w:firstLine="480"/>
              <w:jc w:val="left"/>
            </w:pPr>
            <w:r>
              <w:rPr>
                <w:sz w:val="21"/>
              </w:rPr>
              <w:t>（五）运输、辅料及撤场等服务：材料运输及车辆，活动交通工具，搭建、撤场、保洁、秩序维护、安全及应急服务等会场服务。</w:t>
            </w:r>
          </w:p>
          <w:p>
            <w:pPr>
              <w:ind w:firstLine="480"/>
              <w:jc w:val="left"/>
            </w:pPr>
            <w:r>
              <w:rPr>
                <w:sz w:val="21"/>
              </w:rPr>
              <w:t>（六）运行保障：包括人力、物力、电力储备应急、音像应急、制冷等保障。</w:t>
            </w:r>
          </w:p>
          <w:p>
            <w:pPr>
              <w:ind w:firstLine="480"/>
              <w:jc w:val="both"/>
            </w:pPr>
            <w:r>
              <w:rPr>
                <w:sz w:val="21"/>
              </w:rPr>
              <w:t>（七）健康防控保障：务必做好活动会场防控工作以及防控物资的准备，包括防护、消毒用品等，</w:t>
            </w:r>
            <w:r>
              <w:rPr>
                <w:sz w:val="21"/>
              </w:rPr>
              <w:t>同时</w:t>
            </w:r>
            <w:r>
              <w:rPr>
                <w:sz w:val="21"/>
              </w:rPr>
              <w:t>加强团队人员健康管理以及防控知识宣教。</w:t>
            </w:r>
          </w:p>
          <w:p>
            <w:pPr>
              <w:ind w:firstLine="480"/>
              <w:jc w:val="both"/>
            </w:pPr>
            <w:r>
              <w:rPr>
                <w:sz w:val="21"/>
              </w:rPr>
              <w:t>（</w:t>
            </w:r>
            <w:r>
              <w:rPr>
                <w:sz w:val="21"/>
              </w:rPr>
              <w:t>八</w:t>
            </w:r>
            <w:r>
              <w:rPr>
                <w:sz w:val="21"/>
              </w:rPr>
              <w:t>）其他</w:t>
            </w:r>
            <w:r>
              <w:rPr>
                <w:sz w:val="21"/>
              </w:rPr>
              <w:t>与活动举办有关的服务</w:t>
            </w:r>
            <w:r>
              <w:rPr>
                <w:sz w:val="21"/>
              </w:rPr>
              <w:t>。</w:t>
            </w:r>
          </w:p>
        </w:tc>
      </w:tr>
      <w:tr>
        <w:tc>
          <w:tcPr>
            <w:tcW w:type="dxa" w:w="2076"/>
          </w:tcPr>
          <w:p/>
        </w:tc>
        <w:tc>
          <w:tcPr>
            <w:tcW w:type="dxa" w:w="415"/>
          </w:tcPr>
          <w:p>
            <w:r>
              <w:rPr/>
              <w:t>2</w:t>
            </w:r>
          </w:p>
        </w:tc>
        <w:tc>
          <w:tcPr>
            <w:tcW w:type="dxa" w:w="5814"/>
          </w:tcPr>
          <w:p>
            <w:pPr>
              <w:ind w:firstLine="480"/>
              <w:jc w:val="both"/>
            </w:pPr>
            <w:r>
              <w:rPr>
                <w:b/>
                <w:sz w:val="21"/>
              </w:rPr>
              <w:t>（一）人员配备要求</w:t>
            </w:r>
          </w:p>
          <w:p>
            <w:pPr>
              <w:ind w:firstLine="480"/>
              <w:jc w:val="both"/>
            </w:pPr>
            <w:r>
              <w:rPr>
                <w:sz w:val="21"/>
              </w:rPr>
              <w:t>1.</w:t>
            </w:r>
            <w:r>
              <w:rPr>
                <w:sz w:val="21"/>
              </w:rPr>
              <w:t>中标供应商应安排具有活动策划、组织、管理经验的资深人员参加项目的筹备和组织协调工作。</w:t>
            </w:r>
          </w:p>
          <w:p>
            <w:pPr>
              <w:ind w:firstLine="480"/>
              <w:jc w:val="both"/>
            </w:pPr>
            <w:r>
              <w:rPr>
                <w:sz w:val="21"/>
              </w:rPr>
              <w:t>2.</w:t>
            </w:r>
            <w:r>
              <w:rPr>
                <w:sz w:val="21"/>
              </w:rPr>
              <w:t>项目负责人应全程参与项目的策划、筹备和组织协调工作。项目组其他组成人员有与本项目类似的相关工作经验，与项目的内容和要求相适应。</w:t>
            </w:r>
          </w:p>
          <w:p>
            <w:pPr>
              <w:ind w:firstLine="480"/>
              <w:jc w:val="both"/>
            </w:pPr>
            <w:r>
              <w:rPr>
                <w:sz w:val="21"/>
              </w:rPr>
              <w:t>3.</w:t>
            </w:r>
            <w:r>
              <w:rPr>
                <w:sz w:val="21"/>
              </w:rPr>
              <w:t>如无充分理由主要项目组人员不得中途更换，确需更换的须以书面形式征得采购人同意。如因中标供应商的人力、能力不足致使项目不能按计划完成时，采购人可要求中标供应商增加或替换为满足采购人要求的工作人员，中标供应商不得拒绝。</w:t>
            </w:r>
          </w:p>
          <w:p>
            <w:pPr>
              <w:ind w:firstLine="480"/>
              <w:jc w:val="both"/>
            </w:pPr>
            <w:r>
              <w:rPr>
                <w:b/>
                <w:sz w:val="21"/>
              </w:rPr>
              <w:t>（二）会场设计要求</w:t>
            </w:r>
          </w:p>
          <w:p>
            <w:pPr>
              <w:ind w:firstLine="480"/>
              <w:jc w:val="both"/>
            </w:pPr>
            <w:r>
              <w:rPr>
                <w:sz w:val="21"/>
              </w:rPr>
              <w:t>1.</w:t>
            </w:r>
            <w:r>
              <w:rPr>
                <w:sz w:val="21"/>
              </w:rPr>
              <w:t>整体形象设计制作要求主题鲜明，吸引力强。</w:t>
            </w:r>
          </w:p>
          <w:p>
            <w:pPr>
              <w:ind w:firstLine="480"/>
              <w:jc w:val="both"/>
            </w:pPr>
            <w:r>
              <w:rPr>
                <w:sz w:val="21"/>
              </w:rPr>
              <w:t>2.</w:t>
            </w:r>
            <w:r>
              <w:rPr>
                <w:sz w:val="21"/>
              </w:rPr>
              <w:t>中标供应商负责会场统一形象标识设计制作，形象标识应生动形象、寓意深刻，并在展区及其他各展位悬挂统一形象标识。</w:t>
            </w:r>
          </w:p>
          <w:p>
            <w:pPr>
              <w:ind w:firstLine="480"/>
              <w:jc w:val="both"/>
            </w:pPr>
            <w:r>
              <w:rPr>
                <w:sz w:val="21"/>
              </w:rPr>
              <w:t>3.</w:t>
            </w:r>
            <w:r>
              <w:rPr>
                <w:sz w:val="21"/>
              </w:rPr>
              <w:t>总体布局符合场地环境要求，可采用声、光、电，动态显示等现代装饰布展手法，可用金属或木质结构。结构设计应符合国家有关设计规范和招标文件对有关布展项目的要求。造型能准确实施，并符合施工安全、使用安全、消防安全要求和符合会场的相关要求。制作材料符合节能环保低碳的原则。布置参观路线流畅，易于组织参观。</w:t>
            </w:r>
          </w:p>
          <w:p>
            <w:pPr>
              <w:ind w:firstLine="480"/>
              <w:jc w:val="both"/>
            </w:pPr>
            <w:r>
              <w:rPr>
                <w:sz w:val="21"/>
              </w:rPr>
              <w:t>4.</w:t>
            </w:r>
            <w:r>
              <w:rPr>
                <w:sz w:val="21"/>
              </w:rPr>
              <w:t>采购人有权对中标供应商的设计方案进行修改，中标供应商必须积极配合采购人，根据采购人的意图，对其设计方案做出最终深化设计方案，深化设计方案必须经采购人同意后才能投入制作。</w:t>
            </w:r>
          </w:p>
          <w:p>
            <w:pPr>
              <w:ind w:firstLine="480"/>
              <w:jc w:val="both"/>
            </w:pPr>
            <w:r>
              <w:rPr>
                <w:b/>
                <w:sz w:val="21"/>
              </w:rPr>
              <w:t>（三）制作、布展及服务要求</w:t>
            </w:r>
          </w:p>
          <w:p>
            <w:pPr>
              <w:ind w:firstLine="480"/>
              <w:jc w:val="both"/>
            </w:pPr>
            <w:r>
              <w:rPr>
                <w:sz w:val="21"/>
              </w:rPr>
              <w:t>1.</w:t>
            </w:r>
            <w:r>
              <w:rPr>
                <w:sz w:val="21"/>
              </w:rPr>
              <w:t>中标供应商必须保证不以任何理由将项目转包给其他单位。</w:t>
            </w:r>
          </w:p>
          <w:p>
            <w:pPr>
              <w:ind w:firstLine="480"/>
              <w:jc w:val="both"/>
            </w:pPr>
            <w:r>
              <w:rPr>
                <w:sz w:val="21"/>
              </w:rPr>
              <w:t>2.</w:t>
            </w:r>
            <w:r>
              <w:rPr>
                <w:sz w:val="21"/>
              </w:rPr>
              <w:t>中标供应商负责所有本项目工作人员的安全，在施工、制作及活动举办期间中出现的一切安全问题由中标供应商负责。</w:t>
            </w:r>
          </w:p>
          <w:p>
            <w:pPr>
              <w:ind w:firstLine="480"/>
              <w:jc w:val="both"/>
            </w:pPr>
            <w:r>
              <w:rPr>
                <w:sz w:val="21"/>
              </w:rPr>
              <w:t>3.</w:t>
            </w:r>
            <w:r>
              <w:rPr>
                <w:sz w:val="21"/>
              </w:rPr>
              <w:t>活动举办期间，因中标供应商项目质量问题及存在的安全隐患对任何人员造成的伤害，由中标供应商全权负责并承担相应法律责任。</w:t>
            </w:r>
          </w:p>
          <w:p>
            <w:pPr>
              <w:ind w:firstLine="480"/>
              <w:jc w:val="both"/>
            </w:pPr>
            <w:r>
              <w:rPr>
                <w:sz w:val="21"/>
              </w:rPr>
              <w:t>4.</w:t>
            </w:r>
            <w:r>
              <w:rPr>
                <w:sz w:val="21"/>
              </w:rPr>
              <w:t>项目实施内容以经采购人确认的深化设计方案为基准。</w:t>
            </w:r>
          </w:p>
          <w:p>
            <w:pPr>
              <w:ind w:firstLine="480"/>
              <w:jc w:val="both"/>
            </w:pPr>
            <w:r>
              <w:rPr>
                <w:sz w:val="21"/>
              </w:rPr>
              <w:t>5.</w:t>
            </w:r>
            <w:r>
              <w:rPr>
                <w:sz w:val="21"/>
              </w:rPr>
              <w:t>全部制作件所选用材料必须符合国家的消防安全要求及大型活动的消防要求和实施管理规定。</w:t>
            </w:r>
          </w:p>
          <w:p>
            <w:pPr>
              <w:ind w:firstLine="480"/>
              <w:jc w:val="both"/>
            </w:pPr>
            <w:r>
              <w:rPr>
                <w:sz w:val="21"/>
              </w:rPr>
              <w:t>6.</w:t>
            </w:r>
            <w:r>
              <w:rPr>
                <w:sz w:val="21"/>
              </w:rPr>
              <w:t>木结构制作件面材贴粘要平整，不鼓包，拉缝不明显且不存在色差，裸露或背面部分需经防火处理。</w:t>
            </w:r>
          </w:p>
          <w:p>
            <w:pPr>
              <w:ind w:firstLine="480"/>
              <w:jc w:val="both"/>
            </w:pPr>
            <w:r>
              <w:rPr>
                <w:sz w:val="21"/>
              </w:rPr>
              <w:t>7.</w:t>
            </w:r>
            <w:r>
              <w:rPr>
                <w:sz w:val="21"/>
              </w:rPr>
              <w:t>金属制作件焊接口要求打磨平顺，表面漆面处理要平滑，面漆要厚，有一定的光泽质感。</w:t>
            </w:r>
          </w:p>
          <w:p>
            <w:pPr>
              <w:ind w:firstLine="480"/>
              <w:jc w:val="both"/>
            </w:pPr>
            <w:r>
              <w:rPr>
                <w:sz w:val="21"/>
              </w:rPr>
              <w:t>8.</w:t>
            </w:r>
            <w:r>
              <w:rPr>
                <w:sz w:val="21"/>
              </w:rPr>
              <w:t>所有玻璃结构件要求钢化处理。</w:t>
            </w:r>
          </w:p>
          <w:p>
            <w:pPr>
              <w:ind w:firstLine="480"/>
              <w:jc w:val="both"/>
            </w:pPr>
            <w:r>
              <w:rPr>
                <w:sz w:val="21"/>
              </w:rPr>
              <w:t>9.</w:t>
            </w:r>
            <w:r>
              <w:rPr>
                <w:sz w:val="21"/>
              </w:rPr>
              <w:t>灯具、插座、电源线等必须使用公安消防部门检验合格的产品，电缆电线通过地毯时，中间不能有接口，否则要套管。</w:t>
            </w:r>
          </w:p>
          <w:p>
            <w:pPr>
              <w:ind w:firstLine="480"/>
              <w:jc w:val="both"/>
            </w:pPr>
            <w:r>
              <w:rPr>
                <w:sz w:val="21"/>
              </w:rPr>
              <w:t>10.</w:t>
            </w:r>
            <w:r>
              <w:rPr>
                <w:sz w:val="21"/>
              </w:rPr>
              <w:t>金属框架结构专电线或安装灯具等必须做电气跨接并做安全接地，各电气回路必须有专用保护地线。电器电源必须保障有对应的电压输入，不能用低电压供高功率电器运行。</w:t>
            </w:r>
          </w:p>
          <w:p>
            <w:pPr>
              <w:ind w:firstLine="480"/>
              <w:jc w:val="both"/>
            </w:pPr>
            <w:r>
              <w:rPr>
                <w:sz w:val="21"/>
              </w:rPr>
              <w:t>11.</w:t>
            </w:r>
            <w:r>
              <w:rPr>
                <w:sz w:val="21"/>
              </w:rPr>
              <w:t>灯箱展板、灯柱内须留对流散热孔，日光灯镇流器应采用消防科研单位检验合格产品。</w:t>
            </w:r>
          </w:p>
          <w:p>
            <w:pPr>
              <w:ind w:firstLine="480"/>
              <w:jc w:val="both"/>
            </w:pPr>
            <w:r>
              <w:rPr>
                <w:sz w:val="21"/>
              </w:rPr>
              <w:t>12.</w:t>
            </w:r>
            <w:r>
              <w:rPr>
                <w:sz w:val="21"/>
              </w:rPr>
              <w:t>搭建帐篷的顶棚须防雨防风，具备抗</w:t>
            </w:r>
            <w:r>
              <w:rPr>
                <w:sz w:val="21"/>
              </w:rPr>
              <w:t>12</w:t>
            </w:r>
            <w:r>
              <w:rPr>
                <w:sz w:val="21"/>
              </w:rPr>
              <w:t>级台风和暴雨要求，现场有清理积水设备和管渠等。</w:t>
            </w:r>
          </w:p>
          <w:p>
            <w:pPr>
              <w:ind w:firstLine="480"/>
              <w:jc w:val="both"/>
            </w:pPr>
            <w:r>
              <w:rPr>
                <w:sz w:val="21"/>
              </w:rPr>
              <w:t>13.</w:t>
            </w:r>
            <w:r>
              <w:rPr>
                <w:sz w:val="21"/>
              </w:rPr>
              <w:t>全部制作件结构必须牢固，特别是跨度大的构件要加强安全性。</w:t>
            </w:r>
          </w:p>
          <w:p>
            <w:pPr>
              <w:ind w:firstLine="480"/>
              <w:jc w:val="both"/>
            </w:pPr>
            <w:r>
              <w:rPr>
                <w:sz w:val="21"/>
              </w:rPr>
              <w:t>14.</w:t>
            </w:r>
            <w:r>
              <w:rPr>
                <w:sz w:val="21"/>
              </w:rPr>
              <w:t>地毯铺设要平整，不存在色差。</w:t>
            </w:r>
          </w:p>
          <w:p>
            <w:pPr>
              <w:ind w:firstLine="480"/>
              <w:jc w:val="both"/>
            </w:pPr>
            <w:r>
              <w:rPr>
                <w:sz w:val="21"/>
              </w:rPr>
              <w:t>15.</w:t>
            </w:r>
            <w:r>
              <w:rPr>
                <w:sz w:val="21"/>
              </w:rPr>
              <w:t>美工安装、喷画裱贴等，要求平整，接口整齐，画面连贯。</w:t>
            </w:r>
          </w:p>
          <w:p>
            <w:pPr>
              <w:ind w:firstLine="480"/>
              <w:jc w:val="both"/>
            </w:pPr>
            <w:r>
              <w:rPr>
                <w:sz w:val="21"/>
              </w:rPr>
              <w:t>16.</w:t>
            </w:r>
            <w:r>
              <w:rPr>
                <w:sz w:val="21"/>
              </w:rPr>
              <w:t>因大多在开放地带（多为工地）布展，须保障音像及通信信号、音视效、电力等保障活动成功举办的主要方面有备用设备及预案。</w:t>
            </w:r>
          </w:p>
          <w:p>
            <w:pPr>
              <w:ind w:firstLine="480"/>
              <w:jc w:val="both"/>
            </w:pPr>
            <w:r>
              <w:rPr>
                <w:sz w:val="21"/>
              </w:rPr>
              <w:t>17.</w:t>
            </w:r>
            <w:r>
              <w:rPr>
                <w:sz w:val="21"/>
              </w:rPr>
              <w:t>涉及施工安全或重大安全隐患的重大项目集中动工活动会场布展工作的，中标供应商必须采用具备相关资质要求的专业化团队进行实施作业，相关设备、设施、人员应具备执行相关服务工作所需的标准、资质，国家和相关部门有规定的从其规定。</w:t>
            </w:r>
          </w:p>
          <w:p>
            <w:pPr>
              <w:ind w:firstLine="480"/>
              <w:jc w:val="both"/>
            </w:pPr>
            <w:r>
              <w:rPr>
                <w:b/>
                <w:sz w:val="21"/>
              </w:rPr>
              <w:t>（四）安全实施计划</w:t>
            </w:r>
          </w:p>
          <w:p>
            <w:pPr>
              <w:ind w:firstLine="480"/>
              <w:jc w:val="both"/>
            </w:pPr>
            <w:r>
              <w:rPr>
                <w:sz w:val="21"/>
              </w:rPr>
              <w:t>1.</w:t>
            </w:r>
            <w:r>
              <w:rPr>
                <w:sz w:val="21"/>
              </w:rPr>
              <w:t>在与安全有关的场所和位置，应设置疏散指示安全标志。</w:t>
            </w:r>
          </w:p>
          <w:p>
            <w:pPr>
              <w:ind w:firstLine="480"/>
              <w:jc w:val="both"/>
            </w:pPr>
            <w:r>
              <w:rPr>
                <w:sz w:val="21"/>
              </w:rPr>
              <w:t>2.</w:t>
            </w:r>
            <w:r>
              <w:rPr>
                <w:sz w:val="21"/>
              </w:rPr>
              <w:t>安全标志应在醒目的位置设立，清晰易辨，不应设在可移动的物体上，以免这些物体位置移动后，看不见安全标志。</w:t>
            </w:r>
          </w:p>
          <w:p>
            <w:pPr>
              <w:ind w:firstLine="480"/>
              <w:jc w:val="both"/>
            </w:pPr>
            <w:r>
              <w:rPr>
                <w:sz w:val="21"/>
              </w:rPr>
              <w:t>3.</w:t>
            </w:r>
            <w:r>
              <w:rPr>
                <w:sz w:val="21"/>
              </w:rPr>
              <w:t>所有可操作和接触的展项，其被观众的手、脚、头等身体接触的部位，必须考虑可能会出现的各种机械伤害并做出保护设计。</w:t>
            </w:r>
          </w:p>
          <w:p>
            <w:pPr>
              <w:ind w:firstLine="480"/>
              <w:jc w:val="both"/>
            </w:pPr>
            <w:r>
              <w:rPr>
                <w:sz w:val="21"/>
              </w:rPr>
              <w:t>4.</w:t>
            </w:r>
            <w:r>
              <w:rPr>
                <w:sz w:val="21"/>
              </w:rPr>
              <w:t>中标供应商必须制定严谨的项目安全实施计划，保证项目实施、服务期及展期的安全。</w:t>
            </w:r>
          </w:p>
          <w:p>
            <w:pPr>
              <w:ind w:firstLine="480"/>
              <w:jc w:val="both"/>
            </w:pPr>
            <w:r>
              <w:rPr>
                <w:sz w:val="21"/>
              </w:rPr>
              <w:t>5.</w:t>
            </w:r>
            <w:r>
              <w:rPr>
                <w:sz w:val="21"/>
              </w:rPr>
              <w:t>安全实施计划内容包括但不限于制作件安全，项目实施、服务期及展期安全，人员安全保障等。</w:t>
            </w:r>
          </w:p>
          <w:p>
            <w:pPr>
              <w:ind w:firstLine="480"/>
              <w:jc w:val="both"/>
            </w:pPr>
            <w:r>
              <w:rPr>
                <w:b/>
                <w:sz w:val="21"/>
              </w:rPr>
              <w:t>（</w:t>
            </w:r>
            <w:r>
              <w:rPr>
                <w:b/>
                <w:sz w:val="21"/>
              </w:rPr>
              <w:t>五</w:t>
            </w:r>
            <w:r>
              <w:rPr>
                <w:b/>
                <w:sz w:val="21"/>
              </w:rPr>
              <w:t>）其他</w:t>
            </w:r>
            <w:r>
              <w:rPr>
                <w:b/>
                <w:sz w:val="21"/>
              </w:rPr>
              <w:t>要求</w:t>
            </w:r>
          </w:p>
          <w:p>
            <w:pPr>
              <w:ind w:firstLine="442"/>
              <w:jc w:val="both"/>
            </w:pPr>
            <w:r>
              <w:rPr>
                <w:sz w:val="21"/>
              </w:rPr>
              <w:t>1.</w:t>
            </w:r>
            <w:r>
              <w:rPr>
                <w:sz w:val="21"/>
              </w:rPr>
              <w:t>设计理念方案</w:t>
            </w:r>
          </w:p>
          <w:p>
            <w:pPr>
              <w:ind w:firstLine="442"/>
              <w:jc w:val="both"/>
            </w:pPr>
            <w:r>
              <w:rPr>
                <w:sz w:val="21"/>
              </w:rPr>
              <w:t>投标人</w:t>
            </w:r>
            <w:r>
              <w:rPr>
                <w:sz w:val="21"/>
              </w:rPr>
              <w:t>须充分</w:t>
            </w:r>
            <w:r>
              <w:rPr>
                <w:sz w:val="21"/>
              </w:rPr>
              <w:t>充分认识理解本项目总体内容及任务目标</w:t>
            </w:r>
            <w:r>
              <w:rPr>
                <w:sz w:val="21"/>
              </w:rPr>
              <w:t>，针对</w:t>
            </w:r>
            <w:r>
              <w:rPr>
                <w:sz w:val="21"/>
              </w:rPr>
              <w:t>项目</w:t>
            </w:r>
            <w:r>
              <w:rPr>
                <w:sz w:val="21"/>
              </w:rPr>
              <w:t>提出</w:t>
            </w:r>
            <w:r>
              <w:rPr>
                <w:sz w:val="21"/>
              </w:rPr>
              <w:t>设计理念方案</w:t>
            </w:r>
            <w:r>
              <w:rPr>
                <w:sz w:val="21"/>
              </w:rPr>
              <w:t>，以保证完成工作的质量及进度</w:t>
            </w:r>
            <w:r>
              <w:rPr>
                <w:sz w:val="21"/>
              </w:rPr>
              <w:t>，对如下内容作出详细说明：</w:t>
            </w:r>
          </w:p>
          <w:p>
            <w:pPr>
              <w:ind w:firstLine="442"/>
              <w:jc w:val="both"/>
            </w:pPr>
            <w:r>
              <w:rPr>
                <w:sz w:val="21"/>
              </w:rPr>
              <w:t>（</w:t>
            </w:r>
            <w:r>
              <w:rPr>
                <w:sz w:val="21"/>
              </w:rPr>
              <w:t>1）项目的总体认识理解；</w:t>
            </w:r>
          </w:p>
          <w:p>
            <w:pPr>
              <w:ind w:firstLine="442"/>
              <w:jc w:val="both"/>
            </w:pPr>
            <w:r>
              <w:rPr>
                <w:sz w:val="21"/>
              </w:rPr>
              <w:t>（</w:t>
            </w:r>
            <w:r>
              <w:rPr>
                <w:sz w:val="21"/>
              </w:rPr>
              <w:t>2）项目的任务目标理解；</w:t>
            </w:r>
          </w:p>
          <w:p>
            <w:pPr>
              <w:ind w:firstLine="442"/>
              <w:jc w:val="both"/>
            </w:pPr>
            <w:r>
              <w:rPr>
                <w:sz w:val="21"/>
              </w:rPr>
              <w:t>（</w:t>
            </w:r>
            <w:r>
              <w:rPr>
                <w:sz w:val="21"/>
              </w:rPr>
              <w:t>3）会场设计理念和设想。</w:t>
            </w:r>
          </w:p>
          <w:p>
            <w:pPr>
              <w:ind w:firstLine="442"/>
              <w:jc w:val="both"/>
            </w:pPr>
            <w:r>
              <w:rPr>
                <w:sz w:val="21"/>
              </w:rPr>
              <w:t>2.</w:t>
            </w:r>
            <w:r>
              <w:rPr>
                <w:sz w:val="21"/>
              </w:rPr>
              <w:t>实施</w:t>
            </w:r>
            <w:r>
              <w:rPr>
                <w:sz w:val="21"/>
              </w:rPr>
              <w:t>方案</w:t>
            </w:r>
          </w:p>
          <w:p>
            <w:pPr>
              <w:ind w:firstLine="442"/>
              <w:jc w:val="both"/>
            </w:pPr>
            <w:r>
              <w:rPr>
                <w:sz w:val="21"/>
              </w:rPr>
              <w:t>投标人</w:t>
            </w:r>
            <w:r>
              <w:rPr>
                <w:sz w:val="21"/>
              </w:rPr>
              <w:t>根据所投项目的实际情况，科学合理地拟定项目</w:t>
            </w:r>
            <w:r>
              <w:rPr>
                <w:sz w:val="21"/>
              </w:rPr>
              <w:t>实施</w:t>
            </w:r>
            <w:r>
              <w:rPr>
                <w:sz w:val="21"/>
              </w:rPr>
              <w:t>方案，对如下内容作出详细说明：</w:t>
            </w:r>
          </w:p>
          <w:p>
            <w:pPr>
              <w:ind w:firstLine="442"/>
              <w:jc w:val="both"/>
            </w:pPr>
            <w:r>
              <w:rPr>
                <w:sz w:val="21"/>
              </w:rPr>
              <w:t>（</w:t>
            </w:r>
            <w:r>
              <w:rPr>
                <w:sz w:val="21"/>
              </w:rPr>
              <w:t>1）项目重点、难点分析；</w:t>
            </w:r>
          </w:p>
          <w:p>
            <w:pPr>
              <w:ind w:firstLine="442"/>
              <w:jc w:val="both"/>
            </w:pPr>
            <w:r>
              <w:rPr>
                <w:sz w:val="21"/>
              </w:rPr>
              <w:t>（</w:t>
            </w:r>
            <w:r>
              <w:rPr>
                <w:sz w:val="21"/>
              </w:rPr>
              <w:t>2）工作标准；</w:t>
            </w:r>
          </w:p>
          <w:p>
            <w:pPr>
              <w:ind w:firstLine="442"/>
              <w:jc w:val="both"/>
            </w:pPr>
            <w:r>
              <w:rPr>
                <w:sz w:val="21"/>
              </w:rPr>
              <w:t>（</w:t>
            </w:r>
            <w:r>
              <w:rPr>
                <w:sz w:val="21"/>
              </w:rPr>
              <w:t>3）工作流程</w:t>
            </w:r>
            <w:r>
              <w:rPr>
                <w:sz w:val="21"/>
              </w:rPr>
              <w:t>；</w:t>
            </w:r>
          </w:p>
          <w:p>
            <w:pPr>
              <w:ind w:firstLine="442"/>
              <w:jc w:val="both"/>
            </w:pPr>
            <w:r>
              <w:rPr>
                <w:sz w:val="21"/>
              </w:rPr>
              <w:t>（</w:t>
            </w:r>
            <w:r>
              <w:rPr>
                <w:sz w:val="21"/>
              </w:rPr>
              <w:t>4）服务内容；</w:t>
            </w:r>
          </w:p>
          <w:p>
            <w:pPr>
              <w:ind w:firstLine="442"/>
              <w:jc w:val="both"/>
            </w:pPr>
            <w:r>
              <w:rPr>
                <w:sz w:val="21"/>
              </w:rPr>
              <w:t>（</w:t>
            </w:r>
            <w:r>
              <w:rPr>
                <w:sz w:val="21"/>
              </w:rPr>
              <w:t>5）服务方式。</w:t>
            </w:r>
          </w:p>
          <w:p>
            <w:pPr>
              <w:ind w:firstLine="442"/>
              <w:jc w:val="both"/>
            </w:pPr>
            <w:r>
              <w:rPr>
                <w:sz w:val="21"/>
              </w:rPr>
              <w:t>3.会场场地保障方案</w:t>
            </w:r>
          </w:p>
          <w:p>
            <w:pPr>
              <w:ind w:firstLine="442"/>
              <w:jc w:val="both"/>
            </w:pPr>
            <w:r>
              <w:rPr>
                <w:sz w:val="21"/>
              </w:rPr>
              <w:t>投标人</w:t>
            </w:r>
            <w:r>
              <w:rPr>
                <w:sz w:val="21"/>
              </w:rPr>
              <w:t>根据所投项目的实际情况，科学合理地拟定项目的</w:t>
            </w:r>
            <w:r>
              <w:rPr>
                <w:sz w:val="21"/>
              </w:rPr>
              <w:t>工作人员培训及管理</w:t>
            </w:r>
            <w:r>
              <w:rPr>
                <w:sz w:val="21"/>
              </w:rPr>
              <w:t>方案</w:t>
            </w:r>
            <w:r>
              <w:rPr>
                <w:sz w:val="21"/>
              </w:rPr>
              <w:t>，对如下内容作出详细说明：</w:t>
            </w:r>
          </w:p>
          <w:p>
            <w:pPr>
              <w:ind w:firstLine="442"/>
              <w:jc w:val="both"/>
            </w:pPr>
            <w:r>
              <w:rPr>
                <w:sz w:val="21"/>
              </w:rPr>
              <w:t>（</w:t>
            </w:r>
            <w:r>
              <w:rPr>
                <w:sz w:val="21"/>
              </w:rPr>
              <w:t>1）服务人员的岗前培训；</w:t>
            </w:r>
          </w:p>
          <w:p>
            <w:pPr>
              <w:ind w:firstLine="442"/>
              <w:jc w:val="both"/>
            </w:pPr>
            <w:r>
              <w:rPr>
                <w:sz w:val="21"/>
              </w:rPr>
              <w:t>（</w:t>
            </w:r>
            <w:r>
              <w:rPr>
                <w:sz w:val="21"/>
              </w:rPr>
              <w:t>2）在岗培训及考勤；</w:t>
            </w:r>
          </w:p>
          <w:p>
            <w:pPr>
              <w:ind w:firstLine="442"/>
              <w:jc w:val="both"/>
            </w:pPr>
            <w:r>
              <w:rPr>
                <w:sz w:val="21"/>
              </w:rPr>
              <w:t>（</w:t>
            </w:r>
            <w:r>
              <w:rPr>
                <w:sz w:val="21"/>
              </w:rPr>
              <w:t>3）定期考核管理。</w:t>
            </w:r>
          </w:p>
          <w:p>
            <w:pPr>
              <w:ind w:firstLine="442"/>
              <w:jc w:val="both"/>
            </w:pPr>
            <w:r>
              <w:rPr>
                <w:sz w:val="21"/>
              </w:rPr>
              <w:t>4.</w:t>
            </w:r>
            <w:r>
              <w:rPr>
                <w:sz w:val="21"/>
              </w:rPr>
              <w:t>质量控制方案</w:t>
            </w:r>
          </w:p>
          <w:p>
            <w:pPr>
              <w:ind w:firstLine="442"/>
              <w:jc w:val="both"/>
            </w:pPr>
            <w:r>
              <w:rPr>
                <w:sz w:val="21"/>
              </w:rPr>
              <w:t>投标人</w:t>
            </w:r>
            <w:r>
              <w:rPr>
                <w:sz w:val="21"/>
              </w:rPr>
              <w:t>根据所投项目的实际情况，科学合理地拟定项目的</w:t>
            </w:r>
            <w:r>
              <w:rPr>
                <w:sz w:val="21"/>
              </w:rPr>
              <w:t>质量控制方案</w:t>
            </w:r>
            <w:r>
              <w:rPr>
                <w:sz w:val="21"/>
              </w:rPr>
              <w:t>,对如下内容作出详细说明：</w:t>
            </w:r>
          </w:p>
          <w:p>
            <w:pPr>
              <w:ind w:firstLine="442"/>
              <w:jc w:val="both"/>
            </w:pPr>
            <w:r>
              <w:rPr>
                <w:sz w:val="21"/>
              </w:rPr>
              <w:t>（</w:t>
            </w:r>
            <w:r>
              <w:rPr>
                <w:sz w:val="21"/>
              </w:rPr>
              <w:t>1</w:t>
            </w:r>
            <w:r>
              <w:rPr>
                <w:sz w:val="21"/>
              </w:rPr>
              <w:t>）</w:t>
            </w:r>
            <w:r>
              <w:rPr>
                <w:sz w:val="21"/>
              </w:rPr>
              <w:t>活动的设计；</w:t>
            </w:r>
          </w:p>
          <w:p>
            <w:pPr>
              <w:ind w:firstLine="442"/>
              <w:jc w:val="both"/>
            </w:pPr>
            <w:r>
              <w:rPr>
                <w:sz w:val="21"/>
              </w:rPr>
              <w:t>（</w:t>
            </w:r>
            <w:r>
              <w:rPr>
                <w:sz w:val="21"/>
              </w:rPr>
              <w:t>2）活动的策划；</w:t>
            </w:r>
          </w:p>
          <w:p>
            <w:pPr>
              <w:ind w:firstLine="442"/>
              <w:jc w:val="both"/>
            </w:pPr>
            <w:r>
              <w:rPr>
                <w:sz w:val="21"/>
              </w:rPr>
              <w:t>（</w:t>
            </w:r>
            <w:r>
              <w:rPr>
                <w:sz w:val="21"/>
              </w:rPr>
              <w:t>3）活动组织过程</w:t>
            </w:r>
            <w:r>
              <w:rPr>
                <w:sz w:val="21"/>
              </w:rPr>
              <w:t>；</w:t>
            </w:r>
          </w:p>
          <w:p>
            <w:pPr>
              <w:ind w:firstLine="442"/>
              <w:jc w:val="both"/>
            </w:pPr>
            <w:r>
              <w:rPr>
                <w:sz w:val="21"/>
              </w:rPr>
              <w:t>（</w:t>
            </w:r>
            <w:r>
              <w:rPr>
                <w:sz w:val="21"/>
              </w:rPr>
              <w:t>4</w:t>
            </w:r>
            <w:r>
              <w:rPr>
                <w:sz w:val="21"/>
              </w:rPr>
              <w:t>）</w:t>
            </w:r>
            <w:r>
              <w:rPr>
                <w:sz w:val="21"/>
              </w:rPr>
              <w:t>各环节关键节点质量保证措施。</w:t>
            </w:r>
          </w:p>
          <w:p>
            <w:pPr>
              <w:ind w:firstLine="442"/>
              <w:jc w:val="both"/>
            </w:pPr>
            <w:r>
              <w:rPr>
                <w:sz w:val="21"/>
              </w:rPr>
              <w:t>5.</w:t>
            </w:r>
            <w:r>
              <w:rPr>
                <w:sz w:val="21"/>
              </w:rPr>
              <w:t>突发事件应急方案</w:t>
            </w:r>
          </w:p>
          <w:p>
            <w:pPr>
              <w:ind w:firstLine="442"/>
              <w:jc w:val="both"/>
            </w:pPr>
            <w:r>
              <w:rPr>
                <w:sz w:val="21"/>
              </w:rPr>
              <w:t>投标人</w:t>
            </w:r>
            <w:r>
              <w:rPr>
                <w:sz w:val="21"/>
              </w:rPr>
              <w:t>根据所投采购包的实际情况</w:t>
            </w:r>
            <w:r>
              <w:rPr>
                <w:sz w:val="21"/>
              </w:rPr>
              <w:t>,科学合理地拟定项目的</w:t>
            </w:r>
            <w:r>
              <w:rPr>
                <w:sz w:val="21"/>
              </w:rPr>
              <w:t>突发事件应急方案</w:t>
            </w:r>
            <w:r>
              <w:rPr>
                <w:sz w:val="21"/>
              </w:rPr>
              <w:t>,对如下内容作出详细说明:</w:t>
            </w:r>
          </w:p>
          <w:p>
            <w:pPr>
              <w:ind w:firstLine="442"/>
              <w:jc w:val="both"/>
            </w:pPr>
            <w:r>
              <w:rPr>
                <w:sz w:val="21"/>
              </w:rPr>
              <w:t>（</w:t>
            </w:r>
            <w:r>
              <w:rPr>
                <w:sz w:val="21"/>
              </w:rPr>
              <w:t>1）项目正常进行的方案；</w:t>
            </w:r>
          </w:p>
          <w:p>
            <w:pPr>
              <w:ind w:firstLine="442"/>
              <w:jc w:val="both"/>
            </w:pPr>
            <w:r>
              <w:rPr>
                <w:sz w:val="21"/>
              </w:rPr>
              <w:t>（</w:t>
            </w:r>
            <w:r>
              <w:rPr>
                <w:sz w:val="21"/>
              </w:rPr>
              <w:t>2）突发事件干预方案；</w:t>
            </w:r>
          </w:p>
          <w:p>
            <w:pPr>
              <w:ind w:firstLine="442"/>
              <w:jc w:val="both"/>
            </w:pPr>
            <w:r>
              <w:rPr>
                <w:sz w:val="21"/>
              </w:rPr>
              <w:t>（</w:t>
            </w:r>
            <w:r>
              <w:rPr>
                <w:sz w:val="21"/>
              </w:rPr>
              <w:t>3）突发事件响应方案；</w:t>
            </w:r>
          </w:p>
          <w:p>
            <w:pPr>
              <w:ind w:firstLine="442"/>
              <w:jc w:val="both"/>
            </w:pPr>
            <w:r>
              <w:rPr>
                <w:sz w:val="21"/>
              </w:rPr>
              <w:t>（</w:t>
            </w:r>
            <w:r>
              <w:rPr>
                <w:sz w:val="21"/>
              </w:rPr>
              <w:t>4）处理流程及应急能力</w:t>
            </w:r>
            <w:r>
              <w:rPr>
                <w:sz w:val="21"/>
              </w:rPr>
              <w:t>。</w:t>
            </w:r>
          </w:p>
        </w:tc>
      </w:tr>
      <w:tr>
        <w:tc>
          <w:tcPr>
            <w:tcW w:type="dxa" w:w="2076"/>
          </w:tcPr>
          <w:p/>
        </w:tc>
        <w:tc>
          <w:tcPr>
            <w:tcW w:type="dxa" w:w="415"/>
          </w:tcPr>
          <w:p>
            <w:r>
              <w:rPr/>
              <w:t>3</w:t>
            </w:r>
          </w:p>
        </w:tc>
        <w:tc>
          <w:tcPr>
            <w:tcW w:type="dxa" w:w="5814"/>
          </w:tcPr>
          <w:p>
            <w:pPr>
              <w:jc w:val="both"/>
            </w:pPr>
            <w:r>
              <w:rPr>
                <w:b/>
                <w:sz w:val="21"/>
              </w:rPr>
              <w:t>质量保证</w:t>
            </w:r>
          </w:p>
          <w:p>
            <w:pPr>
              <w:ind w:firstLine="480"/>
              <w:jc w:val="both"/>
            </w:pPr>
            <w:r>
              <w:rPr>
                <w:sz w:val="21"/>
              </w:rPr>
              <w:t>在服务期限内的每次活动：</w:t>
            </w:r>
          </w:p>
          <w:p>
            <w:pPr>
              <w:ind w:firstLine="480"/>
              <w:jc w:val="both"/>
            </w:pPr>
            <w:r>
              <w:rPr>
                <w:sz w:val="21"/>
              </w:rPr>
              <w:t>（一）中标供应商必须确保会场所有配套件的完整性。对于服务要求没有列出，而对正常使用和维护必不可少的且应属于货物需求配带的部件、配件等，以及提供服务应具备的条件，中标供应商有责任给予补充。</w:t>
            </w:r>
          </w:p>
          <w:p>
            <w:pPr>
              <w:ind w:firstLine="480"/>
              <w:jc w:val="both"/>
            </w:pPr>
            <w:r>
              <w:rPr>
                <w:sz w:val="21"/>
              </w:rPr>
              <w:t>（二）中标供应商提供的所有材料及设备都必须的是符合相关法规标准的、全新的成熟产品。</w:t>
            </w:r>
          </w:p>
          <w:p>
            <w:pPr>
              <w:ind w:firstLine="480"/>
              <w:jc w:val="both"/>
            </w:pPr>
            <w:r>
              <w:rPr>
                <w:sz w:val="21"/>
              </w:rPr>
              <w:t>（三）中标供应商应设有安装调试负责人，负责所供货物（设备）的安装调试，并派出技术人员负责技术指导、质量监督，安装调试现场测试，安装调试质量检查认可等。</w:t>
            </w:r>
          </w:p>
          <w:p>
            <w:pPr>
              <w:ind w:firstLine="480"/>
              <w:jc w:val="both"/>
            </w:pPr>
            <w:r>
              <w:rPr>
                <w:sz w:val="21"/>
              </w:rPr>
              <w:t>（四）安装工作包括货物就位、货物安装及调试在内的全部现场作业。</w:t>
            </w:r>
          </w:p>
          <w:p>
            <w:pPr>
              <w:ind w:firstLine="480"/>
              <w:jc w:val="both"/>
            </w:pPr>
            <w:r>
              <w:rPr>
                <w:sz w:val="21"/>
              </w:rPr>
              <w:t>（五）搭建主体内部的布线要求合理、隐蔽、美观、抗干扰强。</w:t>
            </w:r>
          </w:p>
          <w:p>
            <w:pPr>
              <w:ind w:firstLine="480"/>
              <w:jc w:val="both"/>
            </w:pPr>
            <w:r>
              <w:rPr>
                <w:sz w:val="21"/>
              </w:rPr>
              <w:t>（六）所有施工人员必须是专业施工人员。中标供应商负责所有项目工作人员的安全，为所有施工人员购买保险，做好安全防范措施，在施工、制作及活动举办期间中出现的一切安全问题由中标供应商负责。</w:t>
            </w:r>
          </w:p>
          <w:p>
            <w:pPr>
              <w:ind w:firstLine="480"/>
              <w:jc w:val="both"/>
            </w:pPr>
            <w:r>
              <w:rPr>
                <w:sz w:val="21"/>
              </w:rPr>
              <w:t>（七）活动举办期间，因中标供应商施工质量问题及存在的安全隐患对任何人员造成的伤害，由中标供应商全权负责并承担相应的法律责任。</w:t>
            </w:r>
          </w:p>
          <w:p>
            <w:pPr>
              <w:ind w:firstLine="480"/>
              <w:jc w:val="both"/>
            </w:pPr>
            <w:r>
              <w:rPr>
                <w:sz w:val="21"/>
              </w:rPr>
              <w:t>（八）活动期间，如遇设备故障等情况，中标供应商应第一时间处理，活动展示期间发生的一切损失由中标供应商负责，采购人不作任何补偿。如导致采购人有所损失的，要对采购人做出相应的赔偿。情节严重的，采购人可以视情况解除合同，并要求赔偿其损失。</w:t>
            </w:r>
          </w:p>
          <w:p>
            <w:pPr>
              <w:ind w:firstLine="424"/>
              <w:jc w:val="both"/>
            </w:pPr>
            <w:r>
              <w:rPr>
                <w:sz w:val="21"/>
              </w:rPr>
              <w:t>（九）活动结束后，中标供应商须按采购人要求进行清场处理。</w:t>
            </w:r>
          </w:p>
          <w:p>
            <w:pPr>
              <w:ind w:firstLine="424"/>
              <w:jc w:val="both"/>
            </w:pPr>
            <w:r>
              <w:rPr>
                <w:sz w:val="21"/>
              </w:rPr>
              <w:t>（十）为确保节假日期间的应急保障需要，如遇活动在节假日举办的，中标供应商必须确保有足够的工作人员留守值班，随时接受采购人下发的工作任务。若因中标供应商原因耽误采购人工作的，采购人将依照损失情况扣除中标供应商当次活动费用。</w:t>
            </w:r>
          </w:p>
        </w:tc>
      </w:tr>
      <w:tr>
        <w:tc>
          <w:tcPr>
            <w:tcW w:type="dxa" w:w="2076"/>
          </w:tcPr>
          <w:p/>
        </w:tc>
        <w:tc>
          <w:tcPr>
            <w:tcW w:type="dxa" w:w="415"/>
          </w:tcPr>
          <w:p>
            <w:r>
              <w:rPr/>
              <w:t>4</w:t>
            </w:r>
          </w:p>
        </w:tc>
        <w:tc>
          <w:tcPr>
            <w:tcW w:type="dxa" w:w="5814"/>
          </w:tcPr>
          <w:p>
            <w:pPr>
              <w:jc w:val="both"/>
            </w:pPr>
            <w:r>
              <w:rPr>
                <w:b/>
                <w:sz w:val="21"/>
              </w:rPr>
              <w:t>附件（仅供参考主要物料及服务工作量，采购人根据实际发生情况和项目据实结算）</w:t>
            </w:r>
          </w:p>
          <w:p>
            <w:pPr>
              <w:jc w:val="both"/>
            </w:pPr>
            <w:r>
              <w:rPr>
                <w:b/>
                <w:sz w:val="21"/>
              </w:rPr>
              <w:t>单次活动会场设计及现场布置、制作费用预算清单</w:t>
            </w:r>
          </w:p>
          <w:tbl>
            <w:tblPr>
              <w:tblBorders>
                <w:top w:val="none" w:color="000000" w:sz="4"/>
                <w:left w:val="none" w:color="000000" w:sz="4"/>
                <w:bottom w:val="none" w:color="000000" w:sz="4"/>
                <w:right w:val="none" w:color="000000" w:sz="4"/>
                <w:insideH w:val="none"/>
                <w:insideV w:val="none"/>
              </w:tblBorders>
            </w:tblPr>
            <w:tblGrid>
              <w:gridCol w:w="302"/>
              <w:gridCol w:w="625"/>
              <w:gridCol w:w="2301"/>
              <w:gridCol w:w="639"/>
              <w:gridCol w:w="676"/>
              <w:gridCol w:w="1055"/>
            </w:tblGrid>
            <w:tr>
              <w:tc>
                <w:tcPr>
                  <w:tcW w:type="dxa" w:w="302"/>
                  <w:tcBorders>
                    <w:top w:val="single" w:color="000000" w:sz="4"/>
                    <w:left w:val="single" w:color="000000" w:sz="4"/>
                    <w:bottom w:val="single" w:color="000000" w:sz="4"/>
                    <w:right w:val="single" w:color="000000" w:sz="4"/>
                  </w:tcBorders>
                  <w:vAlign w:val="top"/>
                </w:tcPr>
                <w:p>
                  <w:pPr>
                    <w:jc w:val="left"/>
                  </w:pPr>
                  <w:r>
                    <w:rPr>
                      <w:b/>
                      <w:sz w:val="21"/>
                    </w:rPr>
                    <w:t>序号</w:t>
                  </w:r>
                </w:p>
              </w:tc>
              <w:tc>
                <w:tcPr>
                  <w:tcW w:type="dxa" w:w="625"/>
                  <w:tcBorders>
                    <w:top w:val="single" w:color="000000" w:sz="4"/>
                    <w:left w:val="single" w:color="000000" w:sz="4"/>
                    <w:bottom w:val="single" w:color="000000" w:sz="4"/>
                    <w:right w:val="single" w:color="000000" w:sz="4"/>
                  </w:tcBorders>
                  <w:vAlign w:val="top"/>
                </w:tcPr>
                <w:p>
                  <w:pPr>
                    <w:jc w:val="center"/>
                  </w:pPr>
                  <w:r>
                    <w:rPr>
                      <w:b/>
                      <w:sz w:val="21"/>
                    </w:rPr>
                    <w:t>内容</w:t>
                  </w:r>
                </w:p>
              </w:tc>
              <w:tc>
                <w:tcPr>
                  <w:tcW w:type="dxa" w:w="2301"/>
                  <w:tcBorders>
                    <w:top w:val="single" w:color="000000" w:sz="4"/>
                    <w:left w:val="single" w:color="000000" w:sz="4"/>
                    <w:bottom w:val="single" w:color="000000" w:sz="4"/>
                    <w:right w:val="single" w:color="000000" w:sz="4"/>
                  </w:tcBorders>
                  <w:vAlign w:val="top"/>
                </w:tcPr>
                <w:p>
                  <w:pPr>
                    <w:jc w:val="center"/>
                  </w:pPr>
                  <w:r>
                    <w:rPr>
                      <w:b/>
                      <w:sz w:val="21"/>
                    </w:rPr>
                    <w:t>说明</w:t>
                  </w:r>
                </w:p>
              </w:tc>
              <w:tc>
                <w:tcPr>
                  <w:tcW w:type="dxa" w:w="639"/>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676"/>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1055"/>
                  <w:tcBorders>
                    <w:top w:val="single" w:color="000000" w:sz="4"/>
                    <w:left w:val="single" w:color="000000" w:sz="4"/>
                    <w:bottom w:val="single" w:color="000000" w:sz="4"/>
                    <w:right w:val="single" w:color="000000" w:sz="4"/>
                  </w:tcBorders>
                  <w:vAlign w:val="top"/>
                </w:tcPr>
                <w:p>
                  <w:pPr>
                    <w:jc w:val="center"/>
                  </w:pPr>
                  <w:r>
                    <w:rPr>
                      <w:b/>
                      <w:sz w:val="21"/>
                    </w:rPr>
                    <w:t>最高</w:t>
                  </w:r>
                  <w:r>
                    <w:rPr>
                      <w:b/>
                      <w:sz w:val="21"/>
                    </w:rPr>
                    <w:t>单价</w:t>
                  </w:r>
                </w:p>
                <w:p>
                  <w:pPr>
                    <w:jc w:val="center"/>
                  </w:pPr>
                  <w:r>
                    <w:rPr>
                      <w:b/>
                      <w:sz w:val="21"/>
                    </w:rPr>
                    <w:t>限价</w:t>
                  </w:r>
                  <w:r>
                    <w:rPr>
                      <w:b/>
                      <w:sz w:val="21"/>
                    </w:rPr>
                    <w:t>（元）</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1</w:t>
                  </w:r>
                </w:p>
              </w:tc>
              <w:tc>
                <w:tcPr>
                  <w:tcW w:type="dxa" w:w="625"/>
                  <w:tcBorders>
                    <w:top w:val="none" w:color="000000" w:sz="4"/>
                    <w:left w:val="single" w:color="000000" w:sz="4"/>
                    <w:bottom w:val="single" w:color="000000" w:sz="4"/>
                    <w:right w:val="single" w:color="000000" w:sz="4"/>
                  </w:tcBorders>
                  <w:vAlign w:val="top"/>
                </w:tcPr>
                <w:p>
                  <w:pPr>
                    <w:jc w:val="left"/>
                  </w:pPr>
                  <w:r>
                    <w:rPr>
                      <w:sz w:val="21"/>
                    </w:rPr>
                    <w:t>全场地毯</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全场铺灰色地毯</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2485</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17.83</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2</w:t>
                  </w:r>
                </w:p>
              </w:tc>
              <w:tc>
                <w:tcPr>
                  <w:tcW w:type="dxa" w:w="625"/>
                  <w:vMerge w:val="restart"/>
                  <w:tcBorders>
                    <w:top w:val="none" w:color="000000" w:sz="4"/>
                    <w:left w:val="single" w:color="000000" w:sz="4"/>
                    <w:bottom w:val="single" w:color="000000" w:sz="4"/>
                    <w:right w:val="single" w:color="000000" w:sz="4"/>
                  </w:tcBorders>
                  <w:vAlign w:val="top"/>
                </w:tcPr>
                <w:p>
                  <w:pPr>
                    <w:jc w:val="left"/>
                  </w:pPr>
                  <w:r>
                    <w:rPr>
                      <w:sz w:val="21"/>
                    </w:rPr>
                    <w:t>全场地台</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全场铺地台</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2485</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69.67</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3</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地台斜坡，长度为</w:t>
                  </w:r>
                  <w:r>
                    <w:rPr>
                      <w:sz w:val="21"/>
                    </w:rPr>
                    <w:t>30米长，宽度1.2米，材质：10公分高度的斜坡，木结构制作</w:t>
                  </w:r>
                </w:p>
              </w:tc>
              <w:tc>
                <w:tcPr>
                  <w:tcW w:type="dxa" w:w="639"/>
                  <w:tcBorders>
                    <w:top w:val="none" w:color="000000" w:sz="4"/>
                    <w:left w:val="single" w:color="000000" w:sz="4"/>
                    <w:bottom w:val="single" w:color="000000" w:sz="4"/>
                    <w:right w:val="single" w:color="000000" w:sz="4"/>
                  </w:tcBorders>
                  <w:vAlign w:val="top"/>
                </w:tcPr>
                <w:p>
                  <w:pPr>
                    <w:jc w:val="left"/>
                  </w:pPr>
                  <w:r>
                    <w:rPr>
                      <w:sz w:val="21"/>
                    </w:rPr>
                    <w:t>30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米</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90.00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4</w:t>
                  </w:r>
                </w:p>
              </w:tc>
              <w:tc>
                <w:tcPr>
                  <w:tcW w:type="dxa" w:w="625"/>
                  <w:tcBorders>
                    <w:top w:val="none" w:color="000000" w:sz="4"/>
                    <w:left w:val="single" w:color="000000" w:sz="4"/>
                    <w:bottom w:val="single" w:color="000000" w:sz="4"/>
                    <w:right w:val="single" w:color="000000" w:sz="4"/>
                  </w:tcBorders>
                  <w:vAlign w:val="top"/>
                </w:tcPr>
                <w:p>
                  <w:pPr>
                    <w:jc w:val="left"/>
                  </w:pPr>
                  <w:r>
                    <w:rPr>
                      <w:sz w:val="21"/>
                    </w:rPr>
                    <w:t>全场灯光</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主会场灯光设备</w:t>
                  </w:r>
                  <w:r>
                    <w:rPr>
                      <w:sz w:val="21"/>
                    </w:rPr>
                    <w:t>+会见洽谈区灯光设备</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项</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8000.00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5</w:t>
                  </w:r>
                </w:p>
              </w:tc>
              <w:tc>
                <w:tcPr>
                  <w:tcW w:type="dxa" w:w="625"/>
                  <w:vMerge w:val="restart"/>
                  <w:tcBorders>
                    <w:top w:val="none" w:color="000000" w:sz="4"/>
                    <w:left w:val="single" w:color="000000" w:sz="4"/>
                    <w:bottom w:val="single" w:color="000000" w:sz="4"/>
                    <w:right w:val="single" w:color="000000" w:sz="4"/>
                  </w:tcBorders>
                  <w:vAlign w:val="top"/>
                </w:tcPr>
                <w:p>
                  <w:pPr>
                    <w:jc w:val="left"/>
                  </w:pPr>
                  <w:r>
                    <w:rPr>
                      <w:sz w:val="21"/>
                    </w:rPr>
                    <w:t>宣传展示区</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活动项目宣传展板，桁架</w:t>
                  </w:r>
                  <w:r>
                    <w:rPr>
                      <w:sz w:val="21"/>
                    </w:rPr>
                    <w:t>+黑底灯布，尺寸为（38+12）*3.5米高，单面</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175</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120.00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6</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户外立体字，例：材质为</w:t>
                  </w:r>
                  <w:r>
                    <w:rPr>
                      <w:sz w:val="21"/>
                    </w:rPr>
                    <w:t>2+2厘夹板雕刻+喷漆，背部做3cm方管的背板结构，尺寸约1.8m*1.8m一个字，16个字</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16</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900.00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7</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产品展台，钢木结构展台，圆形直径</w:t>
                  </w:r>
                  <w:r>
                    <w:rPr>
                      <w:sz w:val="21"/>
                    </w:rPr>
                    <w:t>30cm高度1.1米</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790.00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8</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产品展台，钢木结构展台，长方形</w:t>
                  </w:r>
                  <w:r>
                    <w:rPr>
                      <w:sz w:val="21"/>
                    </w:rPr>
                    <w:t>30*70cm高度1.1米</w:t>
                  </w:r>
                </w:p>
              </w:tc>
              <w:tc>
                <w:tcPr>
                  <w:tcW w:type="dxa" w:w="639"/>
                  <w:tcBorders>
                    <w:top w:val="none" w:color="000000" w:sz="4"/>
                    <w:left w:val="single" w:color="000000" w:sz="4"/>
                    <w:bottom w:val="single" w:color="000000" w:sz="4"/>
                    <w:right w:val="single" w:color="000000" w:sz="4"/>
                  </w:tcBorders>
                  <w:vAlign w:val="top"/>
                </w:tcPr>
                <w:p>
                  <w:pPr>
                    <w:jc w:val="left"/>
                  </w:pPr>
                  <w:r>
                    <w:rPr>
                      <w:sz w:val="21"/>
                    </w:rPr>
                    <w:t>5</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1210.00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9</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产品玻璃罩，例：制作尺寸为</w:t>
                  </w:r>
                  <w:r>
                    <w:rPr>
                      <w:sz w:val="21"/>
                    </w:rPr>
                    <w:t>30cm圆*30cm高*2个，30*70*30cm高*5个，共7个</w:t>
                  </w:r>
                </w:p>
              </w:tc>
              <w:tc>
                <w:tcPr>
                  <w:tcW w:type="dxa" w:w="639"/>
                  <w:tcBorders>
                    <w:top w:val="none" w:color="000000" w:sz="4"/>
                    <w:left w:val="single" w:color="000000" w:sz="4"/>
                    <w:bottom w:val="single" w:color="000000" w:sz="4"/>
                    <w:right w:val="single" w:color="000000" w:sz="4"/>
                  </w:tcBorders>
                  <w:vAlign w:val="top"/>
                </w:tcPr>
                <w:p>
                  <w:pPr>
                    <w:jc w:val="left"/>
                  </w:pPr>
                  <w:r>
                    <w:rPr>
                      <w:sz w:val="21"/>
                    </w:rPr>
                    <w:t>7</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600.00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10</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展示区顶棚，桁架</w:t>
                  </w:r>
                  <w:r>
                    <w:rPr>
                      <w:sz w:val="21"/>
                    </w:rPr>
                    <w:t>+防雨牛津布，尺寸为53*6.5米宽</w:t>
                  </w:r>
                </w:p>
              </w:tc>
              <w:tc>
                <w:tcPr>
                  <w:tcW w:type="dxa" w:w="639"/>
                  <w:tcBorders>
                    <w:top w:val="none" w:color="000000" w:sz="4"/>
                    <w:left w:val="single" w:color="000000" w:sz="4"/>
                    <w:bottom w:val="single" w:color="000000" w:sz="4"/>
                    <w:right w:val="single" w:color="000000" w:sz="4"/>
                  </w:tcBorders>
                  <w:vAlign w:val="top"/>
                </w:tcPr>
                <w:p>
                  <w:pPr>
                    <w:jc w:val="left"/>
                  </w:pPr>
                  <w:r>
                    <w:rPr>
                      <w:sz w:val="21"/>
                    </w:rPr>
                    <w:t>344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120.67</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11</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展示区顶棚，三角支架，桁架支撑</w:t>
                  </w:r>
                  <w:r>
                    <w:rPr>
                      <w:sz w:val="21"/>
                    </w:rPr>
                    <w:t>+灯布包装，尺寸为6米宽*1米高*0.2米厚</w:t>
                  </w:r>
                </w:p>
              </w:tc>
              <w:tc>
                <w:tcPr>
                  <w:tcW w:type="dxa" w:w="639"/>
                  <w:tcBorders>
                    <w:top w:val="none" w:color="000000" w:sz="4"/>
                    <w:left w:val="single" w:color="000000" w:sz="4"/>
                    <w:bottom w:val="single" w:color="000000" w:sz="4"/>
                    <w:right w:val="single" w:color="000000" w:sz="4"/>
                  </w:tcBorders>
                  <w:vAlign w:val="top"/>
                </w:tcPr>
                <w:p>
                  <w:pPr>
                    <w:jc w:val="left"/>
                  </w:pPr>
                  <w:r>
                    <w:rPr>
                      <w:sz w:val="21"/>
                    </w:rPr>
                    <w:t>6</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805.00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12</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展示区顶棚，支撑脚架，桁架支撑</w:t>
                  </w:r>
                  <w:r>
                    <w:rPr>
                      <w:sz w:val="21"/>
                    </w:rPr>
                    <w:t>+KT版包装，14根支脚</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根</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13</w:t>
                  </w:r>
                </w:p>
              </w:tc>
              <w:tc>
                <w:tcPr>
                  <w:tcW w:type="dxa" w:w="625"/>
                  <w:vMerge w:val="restart"/>
                  <w:tcBorders>
                    <w:top w:val="none" w:color="000000" w:sz="4"/>
                    <w:left w:val="single" w:color="000000" w:sz="4"/>
                    <w:bottom w:val="single" w:color="000000" w:sz="4"/>
                    <w:right w:val="single" w:color="000000" w:sz="4"/>
                  </w:tcBorders>
                  <w:vAlign w:val="top"/>
                </w:tcPr>
                <w:p>
                  <w:pPr>
                    <w:jc w:val="left"/>
                  </w:pPr>
                  <w:r>
                    <w:rPr>
                      <w:sz w:val="21"/>
                    </w:rPr>
                    <w:t>主会场区</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truss架帐篷租赁，尺寸为26*45*5米高</w:t>
                  </w:r>
                </w:p>
              </w:tc>
              <w:tc>
                <w:tcPr>
                  <w:tcW w:type="dxa" w:w="639"/>
                  <w:tcBorders>
                    <w:top w:val="none" w:color="000000" w:sz="4"/>
                    <w:left w:val="single" w:color="000000" w:sz="4"/>
                    <w:bottom w:val="single" w:color="000000" w:sz="4"/>
                    <w:right w:val="single" w:color="000000" w:sz="4"/>
                  </w:tcBorders>
                  <w:vAlign w:val="top"/>
                </w:tcPr>
                <w:p>
                  <w:pPr>
                    <w:jc w:val="left"/>
                  </w:pPr>
                  <w:r>
                    <w:rPr>
                      <w:sz w:val="21"/>
                    </w:rPr>
                    <w:t>96</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69.50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14</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truss架帐篷棚顶区及三角区做灯布画面，尺寸为27*45*2套+26*7*2套</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2794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12.08</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15</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truss架防雷，铁板支脚连接地棒埋地</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项</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16</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主舞台搭建，租赁钢木结构舞台板，面铺一层五厘板找平，尺寸预计</w:t>
                  </w:r>
                  <w:r>
                    <w:rPr>
                      <w:sz w:val="21"/>
                    </w:rPr>
                    <w:t>24*4.8*0.6米高</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1200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17</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舞台地毯，尺寸为</w:t>
                  </w:r>
                  <w:r>
                    <w:rPr>
                      <w:sz w:val="21"/>
                    </w:rPr>
                    <w:t>24*6米</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144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25.00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18</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舞台背景板，桁架拉黑底灯布，尺寸为</w:t>
                  </w:r>
                  <w:r>
                    <w:rPr>
                      <w:sz w:val="21"/>
                    </w:rPr>
                    <w:t>22*4.4米高</w:t>
                  </w:r>
                </w:p>
              </w:tc>
              <w:tc>
                <w:tcPr>
                  <w:tcW w:type="dxa" w:w="639"/>
                  <w:tcBorders>
                    <w:top w:val="none" w:color="000000" w:sz="4"/>
                    <w:left w:val="single" w:color="000000" w:sz="4"/>
                    <w:bottom w:val="single" w:color="000000" w:sz="4"/>
                    <w:right w:val="single" w:color="000000" w:sz="4"/>
                  </w:tcBorders>
                  <w:vAlign w:val="top"/>
                </w:tcPr>
                <w:p>
                  <w:pPr>
                    <w:jc w:val="left"/>
                  </w:pPr>
                  <w:r>
                    <w:rPr>
                      <w:sz w:val="21"/>
                    </w:rPr>
                    <w:t>96.8</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120.00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19</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舞台正面台阶，</w:t>
                  </w:r>
                  <w:r>
                    <w:rPr>
                      <w:sz w:val="21"/>
                    </w:rPr>
                    <w:t>20米一套</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5000.00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20</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舞台侧面台阶，</w:t>
                  </w:r>
                  <w:r>
                    <w:rPr>
                      <w:sz w:val="21"/>
                    </w:rPr>
                    <w:t>4.8米</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21</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舞台讲台，木结构烤漆制作（含活动主题贴画）</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800.00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22</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沙发租赁</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320.00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23</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茶几租赁，木质茶几</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24</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嘉宾桌租赁，</w:t>
                  </w:r>
                  <w:r>
                    <w:rPr>
                      <w:sz w:val="21"/>
                    </w:rPr>
                    <w:t>IBM桌+蓝色桌布1.6m</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张</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60.00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25</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嘉宾椅租赁，配白色弹力布</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400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张</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20.00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26</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嘉宾用水，矿泉水</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400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瓶</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3.50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27</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有机透明</w:t>
                  </w:r>
                  <w:r>
                    <w:rPr>
                      <w:sz w:val="21"/>
                    </w:rPr>
                    <w:t>T形台卡20*10，内夹双面彩印名牌纸</w:t>
                  </w:r>
                </w:p>
              </w:tc>
              <w:tc>
                <w:tcPr>
                  <w:tcW w:type="dxa" w:w="639"/>
                  <w:tcBorders>
                    <w:top w:val="none" w:color="000000" w:sz="4"/>
                    <w:left w:val="single" w:color="000000" w:sz="4"/>
                    <w:bottom w:val="single" w:color="000000" w:sz="4"/>
                    <w:right w:val="single" w:color="000000" w:sz="4"/>
                  </w:tcBorders>
                  <w:vAlign w:val="top"/>
                </w:tcPr>
                <w:p>
                  <w:pPr>
                    <w:jc w:val="left"/>
                  </w:pPr>
                  <w:r>
                    <w:rPr>
                      <w:sz w:val="21"/>
                    </w:rPr>
                    <w:t>60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12.50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28</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椅背贴，不干胶彩印</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400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29</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LED屏幕搭建，户外p3高精度防雨屏幕，尺寸为22*4米，配A6控台、视频无缝切换器等</w:t>
                  </w:r>
                </w:p>
              </w:tc>
              <w:tc>
                <w:tcPr>
                  <w:tcW w:type="dxa" w:w="639"/>
                  <w:tcBorders>
                    <w:top w:val="none" w:color="000000" w:sz="4"/>
                    <w:left w:val="single" w:color="000000" w:sz="4"/>
                    <w:bottom w:val="single" w:color="000000" w:sz="4"/>
                    <w:right w:val="single" w:color="000000" w:sz="4"/>
                  </w:tcBorders>
                  <w:vAlign w:val="top"/>
                </w:tcPr>
                <w:p>
                  <w:pPr>
                    <w:jc w:val="left"/>
                  </w:pPr>
                  <w:r>
                    <w:rPr>
                      <w:sz w:val="21"/>
                    </w:rPr>
                    <w:t>88</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520.00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30</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主会场音响，大型户外线阵音响设备</w:t>
                  </w:r>
                  <w:r>
                    <w:rPr>
                      <w:sz w:val="21"/>
                    </w:rPr>
                    <w:t>+中场补音音响，覆盖户外1000平方会场效果</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16000.00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31</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提词器，</w:t>
                  </w:r>
                  <w:r>
                    <w:rPr>
                      <w:sz w:val="21"/>
                    </w:rPr>
                    <w:t>LED屏幕搭建，LED尺寸为5*3米，下部加支撑结构5米宽*2.3米高，两侧封桁架灯布围挡，尺寸为1.5米宽*5.3米高</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11000.00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32</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空调租赁（</w:t>
                  </w:r>
                  <w:r>
                    <w:rPr>
                      <w:sz w:val="21"/>
                    </w:rPr>
                    <w:t>40匹）</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台</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12000.00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33</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空调扇租赁</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600.00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34</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水雾风扇租赁</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35</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嘉宾桌面垫板</w:t>
                  </w:r>
                  <w:r>
                    <w:rPr>
                      <w:sz w:val="21"/>
                    </w:rPr>
                    <w:t>+笔</w:t>
                  </w:r>
                </w:p>
              </w:tc>
              <w:tc>
                <w:tcPr>
                  <w:tcW w:type="dxa" w:w="639"/>
                  <w:tcBorders>
                    <w:top w:val="none" w:color="000000" w:sz="4"/>
                    <w:left w:val="single" w:color="000000" w:sz="4"/>
                    <w:bottom w:val="single" w:color="000000" w:sz="4"/>
                    <w:right w:val="single" w:color="000000" w:sz="4"/>
                  </w:tcBorders>
                  <w:vAlign w:val="top"/>
                </w:tcPr>
                <w:p>
                  <w:pPr>
                    <w:jc w:val="left"/>
                  </w:pPr>
                  <w:r>
                    <w:rPr>
                      <w:sz w:val="21"/>
                    </w:rPr>
                    <w:t>50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36</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媒体区舞台</w:t>
                  </w:r>
                  <w:r>
                    <w:rPr>
                      <w:sz w:val="21"/>
                    </w:rPr>
                    <w:t>4.8*2.4*0.6，加两侧台阶</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1500.00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37</w:t>
                  </w:r>
                </w:p>
              </w:tc>
              <w:tc>
                <w:tcPr>
                  <w:tcW w:type="dxa" w:w="625"/>
                  <w:vMerge w:val="restart"/>
                  <w:tcBorders>
                    <w:top w:val="none" w:color="000000" w:sz="4"/>
                    <w:left w:val="single" w:color="000000" w:sz="4"/>
                    <w:bottom w:val="single" w:color="000000" w:sz="4"/>
                    <w:right w:val="single" w:color="000000" w:sz="4"/>
                  </w:tcBorders>
                  <w:vAlign w:val="top"/>
                </w:tcPr>
                <w:p>
                  <w:pPr>
                    <w:jc w:val="left"/>
                  </w:pPr>
                  <w:r>
                    <w:rPr>
                      <w:sz w:val="21"/>
                    </w:rPr>
                    <w:t>会见洽谈区</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欧式帐篷租赁，尺寸为</w:t>
                  </w:r>
                  <w:r>
                    <w:rPr>
                      <w:sz w:val="21"/>
                    </w:rPr>
                    <w:t>20*10*4米高</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200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60.83</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38</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欧式帐篷顶部加印灯布画面，尺寸为</w:t>
                  </w:r>
                  <w:r>
                    <w:rPr>
                      <w:sz w:val="21"/>
                    </w:rPr>
                    <w:t>20*11.5米</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230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12.08</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39</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顶封银白间隔布幔，按</w:t>
                  </w:r>
                  <w:r>
                    <w:rPr>
                      <w:sz w:val="21"/>
                    </w:rPr>
                    <w:t>1:2.4打褶皱</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480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15.00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40</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四面封</w:t>
                  </w:r>
                  <w:r>
                    <w:rPr>
                      <w:sz w:val="21"/>
                    </w:rPr>
                    <w:t>ABS扣板，60米</w:t>
                  </w:r>
                </w:p>
              </w:tc>
              <w:tc>
                <w:tcPr>
                  <w:tcW w:type="dxa" w:w="639"/>
                  <w:tcBorders>
                    <w:top w:val="none" w:color="000000" w:sz="4"/>
                    <w:left w:val="single" w:color="000000" w:sz="4"/>
                    <w:bottom w:val="single" w:color="000000" w:sz="4"/>
                    <w:right w:val="single" w:color="000000" w:sz="4"/>
                  </w:tcBorders>
                  <w:vAlign w:val="top"/>
                </w:tcPr>
                <w:p>
                  <w:pPr>
                    <w:jc w:val="left"/>
                  </w:pPr>
                  <w:r>
                    <w:rPr>
                      <w:sz w:val="21"/>
                    </w:rPr>
                    <w:t>60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m</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200.00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41</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四面背景画面，桁架拉黑底灯布背景板，尺寸为</w:t>
                  </w:r>
                  <w:r>
                    <w:rPr>
                      <w:sz w:val="21"/>
                    </w:rPr>
                    <w:t>60*3.8</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228</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119.77</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43</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沙发租赁</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321.67</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44</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茶几租赁，木质茶几</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100.33</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45</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音响，适用于采访、讲话用麦</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6000.00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46</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玻璃门租赁，</w:t>
                  </w:r>
                  <w:r>
                    <w:rPr>
                      <w:sz w:val="21"/>
                    </w:rPr>
                    <w:t>2个玻璃门，2.4米宽</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w:t>
                  </w:r>
                </w:p>
              </w:tc>
              <w:tc>
                <w:tcPr>
                  <w:tcW w:type="dxa" w:w="676"/>
                  <w:tcBorders>
                    <w:top w:val="none" w:color="000000" w:sz="4"/>
                    <w:left w:val="single" w:color="000000" w:sz="4"/>
                    <w:bottom w:val="single" w:color="000000" w:sz="4"/>
                    <w:right w:val="single" w:color="000000" w:sz="4"/>
                  </w:tcBorders>
                  <w:vAlign w:val="top"/>
                </w:tcPr>
                <w:p>
                  <w:pPr>
                    <w:jc w:val="left"/>
                  </w:pPr>
                  <w:r>
                    <w:rPr>
                      <w:sz w:val="21"/>
                    </w:rPr>
                    <w:t>门</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1500.00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47</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空调租赁（</w:t>
                  </w:r>
                  <w:r>
                    <w:rPr>
                      <w:sz w:val="21"/>
                    </w:rPr>
                    <w:t>5匹）</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台</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1600.00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48</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会见洽谈区出口防雨通道顶棚，桁架</w:t>
                  </w:r>
                  <w:r>
                    <w:rPr>
                      <w:sz w:val="21"/>
                    </w:rPr>
                    <w:t>+画面，尺寸为10*4米宽</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120.00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49</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会客洽谈区出口防雨通道顶棚，背面画面，尺寸为</w:t>
                  </w:r>
                  <w:r>
                    <w:rPr>
                      <w:sz w:val="21"/>
                    </w:rPr>
                    <w:t>10*4米宽，单独画面费用</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40.83</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50</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会见洽谈区出口通道顶棚支撑架，桁架支撑</w:t>
                  </w:r>
                  <w:r>
                    <w:rPr>
                      <w:sz w:val="21"/>
                    </w:rPr>
                    <w:t>+KT版包装，4段支脚</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段</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51</w:t>
                  </w:r>
                </w:p>
              </w:tc>
              <w:tc>
                <w:tcPr>
                  <w:tcW w:type="dxa" w:w="625"/>
                  <w:vMerge w:val="restart"/>
                  <w:tcBorders>
                    <w:top w:val="none" w:color="000000" w:sz="4"/>
                    <w:left w:val="single" w:color="000000" w:sz="4"/>
                    <w:bottom w:val="single" w:color="000000" w:sz="4"/>
                    <w:right w:val="single" w:color="000000" w:sz="4"/>
                  </w:tcBorders>
                  <w:vAlign w:val="top"/>
                </w:tcPr>
                <w:p>
                  <w:pPr>
                    <w:jc w:val="left"/>
                  </w:pPr>
                  <w:r>
                    <w:rPr>
                      <w:sz w:val="21"/>
                    </w:rPr>
                    <w:t>仪式道具</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电子签约，利用平板电脑，现场实时签约（</w:t>
                  </w:r>
                  <w:r>
                    <w:rPr>
                      <w:sz w:val="21"/>
                    </w:rPr>
                    <w:t>16个平板签约设备）</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16</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52</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签约台</w:t>
                  </w:r>
                  <w:r>
                    <w:rPr>
                      <w:sz w:val="21"/>
                    </w:rPr>
                    <w:t>/柱租赁</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16</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350.00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53</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签约系统</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项</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4000.00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54</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纸质签约，签约本</w:t>
                  </w:r>
                  <w:r>
                    <w:rPr>
                      <w:sz w:val="21"/>
                    </w:rPr>
                    <w:t>+笔</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16</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55</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揭牌仪式道具，揭牌背板</w:t>
                  </w:r>
                  <w:r>
                    <w:rPr>
                      <w:sz w:val="21"/>
                    </w:rPr>
                    <w:t>+牌匾制作（牌匾尺寸70*50cm）</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2000.00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56</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启动台（含升降启动效果、灯带等），</w:t>
                  </w:r>
                  <w:r>
                    <w:rPr>
                      <w:sz w:val="21"/>
                    </w:rPr>
                    <w:t>8米冰屏，含效果视频制作</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1103.75</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57</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启动柱（含启动效果、灯带等），</w:t>
                  </w:r>
                  <w:r>
                    <w:rPr>
                      <w:sz w:val="21"/>
                    </w:rPr>
                    <w:t>20亚克力发光启动柱</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根</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600.00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58</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彩带装置，飞天彩虹，</w:t>
                  </w:r>
                  <w:r>
                    <w:rPr>
                      <w:sz w:val="21"/>
                    </w:rPr>
                    <w:t>8条</w:t>
                  </w:r>
                </w:p>
              </w:tc>
              <w:tc>
                <w:tcPr>
                  <w:tcW w:type="dxa" w:w="639"/>
                  <w:tcBorders>
                    <w:top w:val="none" w:color="000000" w:sz="4"/>
                    <w:left w:val="single" w:color="000000" w:sz="4"/>
                    <w:bottom w:val="single" w:color="000000" w:sz="4"/>
                    <w:right w:val="single" w:color="000000" w:sz="4"/>
                  </w:tcBorders>
                  <w:vAlign w:val="top"/>
                </w:tcPr>
                <w:p>
                  <w:pPr>
                    <w:jc w:val="left"/>
                  </w:pPr>
                  <w:r>
                    <w:rPr>
                      <w:sz w:val="21"/>
                    </w:rPr>
                    <w:t>8</w:t>
                  </w:r>
                </w:p>
              </w:tc>
              <w:tc>
                <w:tcPr>
                  <w:tcW w:type="dxa" w:w="676"/>
                  <w:tcBorders>
                    <w:top w:val="none" w:color="000000" w:sz="4"/>
                    <w:left w:val="single" w:color="000000" w:sz="4"/>
                    <w:bottom w:val="single" w:color="000000" w:sz="4"/>
                    <w:right w:val="single" w:color="000000" w:sz="4"/>
                  </w:tcBorders>
                  <w:vAlign w:val="top"/>
                </w:tcPr>
                <w:p>
                  <w:pPr>
                    <w:jc w:val="left"/>
                  </w:pPr>
                  <w:r>
                    <w:rPr>
                      <w:sz w:val="21"/>
                    </w:rPr>
                    <w:t>条</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2000.00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59</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会议手册印刷，</w:t>
                  </w:r>
                  <w:r>
                    <w:rPr>
                      <w:sz w:val="21"/>
                    </w:rPr>
                    <w:t>100本（封面250铜板内页128铜板，双面四色印，骑马钉，预计40p/本）</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100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本</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70.00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60</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移动洗手间，需租赁</w:t>
                  </w:r>
                  <w:r>
                    <w:rPr>
                      <w:sz w:val="21"/>
                    </w:rPr>
                    <w:t>3天</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1500.00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61</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区域分隔围板，嘉宾洗手间（</w:t>
                  </w:r>
                  <w:r>
                    <w:rPr>
                      <w:sz w:val="21"/>
                    </w:rPr>
                    <w:t>5+8+3）*2.4米高，会见洽谈区手间（3+3+3）*2.4米高，控台（4.8+1.2）*1.4米高</w:t>
                  </w:r>
                </w:p>
              </w:tc>
              <w:tc>
                <w:tcPr>
                  <w:tcW w:type="dxa" w:w="639"/>
                  <w:tcBorders>
                    <w:top w:val="none" w:color="000000" w:sz="4"/>
                    <w:left w:val="single" w:color="000000" w:sz="4"/>
                    <w:bottom w:val="single" w:color="000000" w:sz="4"/>
                    <w:right w:val="single" w:color="000000" w:sz="4"/>
                  </w:tcBorders>
                  <w:vAlign w:val="top"/>
                </w:tcPr>
                <w:p>
                  <w:pPr>
                    <w:jc w:val="left"/>
                  </w:pPr>
                  <w:r>
                    <w:rPr>
                      <w:sz w:val="21"/>
                    </w:rPr>
                    <w:t>68.4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120.00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62</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贵宾栏租赁</w:t>
                  </w:r>
                </w:p>
              </w:tc>
              <w:tc>
                <w:tcPr>
                  <w:tcW w:type="dxa" w:w="639"/>
                  <w:tcBorders>
                    <w:top w:val="none" w:color="000000" w:sz="4"/>
                    <w:left w:val="single" w:color="000000" w:sz="4"/>
                    <w:bottom w:val="single" w:color="000000" w:sz="4"/>
                    <w:right w:val="single" w:color="000000" w:sz="4"/>
                  </w:tcBorders>
                  <w:vAlign w:val="top"/>
                </w:tcPr>
                <w:p>
                  <w:pPr>
                    <w:jc w:val="left"/>
                  </w:pPr>
                  <w:r>
                    <w:rPr>
                      <w:sz w:val="21"/>
                    </w:rPr>
                    <w:t>50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25.00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63</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现场道旗布置，高度</w:t>
                  </w:r>
                  <w:r>
                    <w:rPr>
                      <w:sz w:val="21"/>
                    </w:rPr>
                    <w:t>5米路引旗，铁底座+ 5米铁杆+双面木框绷画面</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个</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700.00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64</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沿路指示牌，桁架拉灯布</w:t>
                  </w:r>
                  <w:r>
                    <w:rPr>
                      <w:sz w:val="21"/>
                    </w:rPr>
                    <w:t>2.4*2.4，加支撑固定</w:t>
                  </w:r>
                </w:p>
              </w:tc>
              <w:tc>
                <w:tcPr>
                  <w:tcW w:type="dxa" w:w="639"/>
                  <w:tcBorders>
                    <w:top w:val="none" w:color="000000" w:sz="4"/>
                    <w:left w:val="single" w:color="000000" w:sz="4"/>
                    <w:bottom w:val="single" w:color="000000" w:sz="4"/>
                    <w:right w:val="single" w:color="000000" w:sz="4"/>
                  </w:tcBorders>
                  <w:vAlign w:val="top"/>
                </w:tcPr>
                <w:p>
                  <w:pPr>
                    <w:jc w:val="left"/>
                  </w:pPr>
                  <w:r>
                    <w:rPr>
                      <w:sz w:val="21"/>
                    </w:rPr>
                    <w:t>8</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500.00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65</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区域指示牌，木结构展板</w:t>
                  </w:r>
                  <w:r>
                    <w:rPr>
                      <w:sz w:val="21"/>
                    </w:rPr>
                    <w:t>+写真画面，双面，T型牌1.9*1m（停车场、洗手间、会见洽谈区、主会场、展示区）</w:t>
                  </w:r>
                </w:p>
              </w:tc>
              <w:tc>
                <w:tcPr>
                  <w:tcW w:type="dxa" w:w="639"/>
                  <w:tcBorders>
                    <w:top w:val="none" w:color="000000" w:sz="4"/>
                    <w:left w:val="single" w:color="000000" w:sz="4"/>
                    <w:bottom w:val="single" w:color="000000" w:sz="4"/>
                    <w:right w:val="single" w:color="000000" w:sz="4"/>
                  </w:tcBorders>
                  <w:vAlign w:val="top"/>
                </w:tcPr>
                <w:p>
                  <w:pPr>
                    <w:jc w:val="left"/>
                  </w:pPr>
                  <w:r>
                    <w:rPr>
                      <w:sz w:val="21"/>
                    </w:rPr>
                    <w:t>5</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900.00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66</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活动会场停车场画线（含工作人员）</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项</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1500.00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67</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道具准备间</w:t>
                  </w:r>
                  <w:r>
                    <w:rPr>
                      <w:sz w:val="21"/>
                    </w:rPr>
                    <w:t>5*5欧式帐篷，四周围布</w:t>
                  </w:r>
                </w:p>
              </w:tc>
              <w:tc>
                <w:tcPr>
                  <w:tcW w:type="dxa" w:w="639"/>
                  <w:tcBorders>
                    <w:top w:val="none" w:color="000000" w:sz="4"/>
                    <w:left w:val="single" w:color="000000" w:sz="4"/>
                    <w:bottom w:val="single" w:color="000000" w:sz="4"/>
                    <w:right w:val="single" w:color="000000" w:sz="4"/>
                  </w:tcBorders>
                  <w:vAlign w:val="top"/>
                </w:tcPr>
                <w:p>
                  <w:pPr>
                    <w:jc w:val="left"/>
                  </w:pPr>
                  <w:r>
                    <w:rPr>
                      <w:sz w:val="21"/>
                    </w:rPr>
                    <w:t>3</w:t>
                  </w:r>
                </w:p>
              </w:tc>
              <w:tc>
                <w:tcPr>
                  <w:tcW w:type="dxa" w:w="676"/>
                  <w:tcBorders>
                    <w:top w:val="none" w:color="000000" w:sz="4"/>
                    <w:left w:val="single" w:color="000000" w:sz="4"/>
                    <w:bottom w:val="single" w:color="000000" w:sz="4"/>
                    <w:right w:val="single" w:color="000000" w:sz="4"/>
                  </w:tcBorders>
                  <w:vAlign w:val="top"/>
                </w:tcPr>
                <w:p>
                  <w:pPr>
                    <w:jc w:val="left"/>
                  </w:pPr>
                  <w:r>
                    <w:rPr>
                      <w:sz w:val="21"/>
                    </w:rPr>
                    <w:t>顶</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68</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打印机租赁</w:t>
                  </w:r>
                </w:p>
              </w:tc>
              <w:tc>
                <w:tcPr>
                  <w:tcW w:type="dxa" w:w="639"/>
                  <w:tcBorders>
                    <w:top w:val="none" w:color="000000" w:sz="4"/>
                    <w:left w:val="single" w:color="000000" w:sz="4"/>
                    <w:bottom w:val="single" w:color="000000" w:sz="4"/>
                    <w:right w:val="single" w:color="000000" w:sz="4"/>
                  </w:tcBorders>
                  <w:vAlign w:val="top"/>
                </w:tcPr>
                <w:p>
                  <w:pPr>
                    <w:jc w:val="left"/>
                  </w:pPr>
                  <w:r>
                    <w:rPr>
                      <w:sz w:val="21"/>
                    </w:rPr>
                    <w:t>3</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台</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103.33</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69</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雨伞</w:t>
                  </w:r>
                </w:p>
              </w:tc>
              <w:tc>
                <w:tcPr>
                  <w:tcW w:type="dxa" w:w="639"/>
                  <w:tcBorders>
                    <w:top w:val="none" w:color="000000" w:sz="4"/>
                    <w:left w:val="single" w:color="000000" w:sz="4"/>
                    <w:bottom w:val="single" w:color="000000" w:sz="4"/>
                    <w:right w:val="single" w:color="000000" w:sz="4"/>
                  </w:tcBorders>
                  <w:vAlign w:val="top"/>
                </w:tcPr>
                <w:p>
                  <w:pPr>
                    <w:jc w:val="left"/>
                  </w:pPr>
                  <w:r>
                    <w:rPr>
                      <w:sz w:val="21"/>
                    </w:rPr>
                    <w:t>50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把</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50.00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70</w:t>
                  </w:r>
                </w:p>
              </w:tc>
              <w:tc>
                <w:tcPr>
                  <w:tcW w:type="dxa" w:w="625"/>
                  <w:tcBorders>
                    <w:top w:val="none" w:color="000000" w:sz="4"/>
                    <w:left w:val="single" w:color="000000" w:sz="4"/>
                    <w:bottom w:val="single" w:color="000000" w:sz="4"/>
                    <w:right w:val="single" w:color="000000" w:sz="4"/>
                  </w:tcBorders>
                  <w:vAlign w:val="top"/>
                </w:tcPr>
                <w:p>
                  <w:pPr>
                    <w:jc w:val="left"/>
                  </w:pPr>
                  <w:r>
                    <w:rPr>
                      <w:sz w:val="21"/>
                    </w:rPr>
                    <w:t>活动直播及实时连线设备</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例：</w:t>
                  </w:r>
                  <w:r>
                    <w:rPr>
                      <w:sz w:val="21"/>
                    </w:rPr>
                    <w:t>1个主会场+8个分会场，现场连线对话、画面转切，5ms内无延迟；启动等环节，分会场画面体现在主会场屏幕上，保障画面稳定，收音清晰</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套</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200000.00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71</w:t>
                  </w:r>
                </w:p>
              </w:tc>
              <w:tc>
                <w:tcPr>
                  <w:tcW w:type="dxa" w:w="625"/>
                  <w:vMerge w:val="restart"/>
                  <w:tcBorders>
                    <w:top w:val="none" w:color="000000" w:sz="4"/>
                    <w:left w:val="single" w:color="000000" w:sz="4"/>
                    <w:bottom w:val="single" w:color="000000" w:sz="4"/>
                    <w:right w:val="single" w:color="000000" w:sz="4"/>
                  </w:tcBorders>
                  <w:vAlign w:val="top"/>
                </w:tcPr>
                <w:p>
                  <w:pPr>
                    <w:jc w:val="left"/>
                  </w:pPr>
                  <w:r>
                    <w:rPr>
                      <w:sz w:val="21"/>
                    </w:rPr>
                    <w:t>电力保障</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租赁</w:t>
                  </w:r>
                  <w:r>
                    <w:rPr>
                      <w:sz w:val="21"/>
                    </w:rPr>
                    <w:t>UPS应急电源，200kw，2天</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天</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14000.00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72</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租赁发电车用于现场设备供电，实用功率为</w:t>
                  </w:r>
                  <w:r>
                    <w:rPr>
                      <w:sz w:val="21"/>
                    </w:rPr>
                    <w:t>120kw/台，需使用3天</w:t>
                  </w:r>
                </w:p>
              </w:tc>
              <w:tc>
                <w:tcPr>
                  <w:tcW w:type="dxa" w:w="639"/>
                  <w:tcBorders>
                    <w:top w:val="none" w:color="000000" w:sz="4"/>
                    <w:left w:val="single" w:color="000000" w:sz="4"/>
                    <w:bottom w:val="single" w:color="000000" w:sz="4"/>
                    <w:right w:val="single" w:color="000000" w:sz="4"/>
                  </w:tcBorders>
                  <w:vAlign w:val="top"/>
                </w:tcPr>
                <w:p>
                  <w:pPr>
                    <w:jc w:val="left"/>
                  </w:pPr>
                  <w:r>
                    <w:rPr>
                      <w:sz w:val="21"/>
                    </w:rPr>
                    <w:t>2</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台</w:t>
                  </w:r>
                  <w:r>
                    <w:rPr>
                      <w:sz w:val="21"/>
                    </w:rPr>
                    <w:t>/天</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7000.00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73</w:t>
                  </w:r>
                </w:p>
              </w:tc>
              <w:tc>
                <w:tcPr>
                  <w:tcW w:type="dxa" w:w="625"/>
                  <w:vMerge w:val="restart"/>
                  <w:tcBorders>
                    <w:top w:val="none" w:color="000000" w:sz="4"/>
                    <w:left w:val="single" w:color="000000" w:sz="4"/>
                    <w:bottom w:val="single" w:color="000000" w:sz="4"/>
                    <w:right w:val="single" w:color="000000" w:sz="4"/>
                  </w:tcBorders>
                  <w:vAlign w:val="top"/>
                </w:tcPr>
                <w:p>
                  <w:pPr>
                    <w:jc w:val="left"/>
                  </w:pPr>
                  <w:r>
                    <w:rPr>
                      <w:sz w:val="21"/>
                    </w:rPr>
                    <w:t>人力保障</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灯光监控，</w:t>
                  </w:r>
                  <w:r>
                    <w:rPr>
                      <w:sz w:val="21"/>
                    </w:rPr>
                    <w:t>DJ，音乐监控，音乐编剪，需工作2天（含彩排）</w:t>
                  </w:r>
                </w:p>
              </w:tc>
              <w:tc>
                <w:tcPr>
                  <w:tcW w:type="dxa" w:w="639"/>
                  <w:tcBorders>
                    <w:top w:val="none" w:color="000000" w:sz="4"/>
                    <w:left w:val="single" w:color="000000" w:sz="4"/>
                    <w:bottom w:val="single" w:color="000000" w:sz="4"/>
                    <w:right w:val="single" w:color="000000" w:sz="4"/>
                  </w:tcBorders>
                  <w:vAlign w:val="top"/>
                </w:tcPr>
                <w:p>
                  <w:pPr>
                    <w:jc w:val="left"/>
                  </w:pPr>
                  <w:r>
                    <w:rPr>
                      <w:sz w:val="21"/>
                    </w:rPr>
                    <w:t>5</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人</w:t>
                  </w:r>
                  <w:r>
                    <w:rPr>
                      <w:sz w:val="21"/>
                    </w:rPr>
                    <w:t>/天</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503.33</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74</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专业摄影师活动当天跟拍</w:t>
                  </w:r>
                </w:p>
              </w:tc>
              <w:tc>
                <w:tcPr>
                  <w:tcW w:type="dxa" w:w="639"/>
                  <w:tcBorders>
                    <w:top w:val="none" w:color="000000" w:sz="4"/>
                    <w:left w:val="single" w:color="000000" w:sz="4"/>
                    <w:bottom w:val="single" w:color="000000" w:sz="4"/>
                    <w:right w:val="single" w:color="000000" w:sz="4"/>
                  </w:tcBorders>
                  <w:vAlign w:val="top"/>
                </w:tcPr>
                <w:p>
                  <w:pPr>
                    <w:jc w:val="left"/>
                  </w:pPr>
                  <w:r>
                    <w:rPr>
                      <w:sz w:val="21"/>
                    </w:rPr>
                    <w:t>3</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人</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1500.00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75</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专业摄像师活动跟拍，主机位</w:t>
                  </w:r>
                  <w:r>
                    <w:rPr>
                      <w:sz w:val="21"/>
                    </w:rPr>
                    <w:t>1人，游机1人，花絮1人（活动当天3人，彩排当天1人）</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人</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2000.00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76</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摇臂设备</w:t>
                  </w:r>
                  <w:r>
                    <w:rPr>
                      <w:sz w:val="21"/>
                    </w:rPr>
                    <w:t>+操作人员，需工作2天（含彩排）</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天</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3800.00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77</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航拍设备</w:t>
                  </w:r>
                  <w:r>
                    <w:rPr>
                      <w:sz w:val="21"/>
                    </w:rPr>
                    <w:t>+操作人员（活动当天）</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人</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3000.00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78</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保洁，清洁等服务人员，需工作</w:t>
                  </w:r>
                  <w:r>
                    <w:rPr>
                      <w:sz w:val="21"/>
                    </w:rPr>
                    <w:t>2天（含彩排）</w:t>
                  </w:r>
                </w:p>
              </w:tc>
              <w:tc>
                <w:tcPr>
                  <w:tcW w:type="dxa" w:w="639"/>
                  <w:tcBorders>
                    <w:top w:val="none" w:color="000000" w:sz="4"/>
                    <w:left w:val="single" w:color="000000" w:sz="4"/>
                    <w:bottom w:val="single" w:color="000000" w:sz="4"/>
                    <w:right w:val="single" w:color="000000" w:sz="4"/>
                  </w:tcBorders>
                  <w:vAlign w:val="top"/>
                </w:tcPr>
                <w:p>
                  <w:pPr>
                    <w:jc w:val="left"/>
                  </w:pPr>
                  <w:r>
                    <w:rPr>
                      <w:sz w:val="21"/>
                    </w:rPr>
                    <w:t>4</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人</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355.00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79</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区域工作人员（仪式道具搬运），需工作</w:t>
                  </w:r>
                  <w:r>
                    <w:rPr>
                      <w:sz w:val="21"/>
                    </w:rPr>
                    <w:t>2天（含彩排）</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16</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人</w:t>
                  </w:r>
                  <w:r>
                    <w:rPr>
                      <w:sz w:val="21"/>
                    </w:rPr>
                    <w:t>/天</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80</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搭建工人劳务，预计</w:t>
                  </w:r>
                  <w:r>
                    <w:rPr>
                      <w:sz w:val="21"/>
                    </w:rPr>
                    <w:t>30人/天</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150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人</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81</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撤场工人劳务，当天撤场完毕</w:t>
                  </w:r>
                </w:p>
              </w:tc>
              <w:tc>
                <w:tcPr>
                  <w:tcW w:type="dxa" w:w="639"/>
                  <w:tcBorders>
                    <w:top w:val="none" w:color="000000" w:sz="4"/>
                    <w:left w:val="single" w:color="000000" w:sz="4"/>
                    <w:bottom w:val="single" w:color="000000" w:sz="4"/>
                    <w:right w:val="single" w:color="000000" w:sz="4"/>
                  </w:tcBorders>
                  <w:vAlign w:val="top"/>
                </w:tcPr>
                <w:p>
                  <w:pPr>
                    <w:jc w:val="left"/>
                  </w:pPr>
                  <w:r>
                    <w:rPr>
                      <w:sz w:val="21"/>
                    </w:rPr>
                    <w:t>30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人</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300.00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82</w:t>
                  </w:r>
                </w:p>
              </w:tc>
              <w:tc>
                <w:tcPr>
                  <w:tcW w:type="dxa" w:w="625"/>
                  <w:vMerge w:val="restart"/>
                  <w:tcBorders>
                    <w:top w:val="none" w:color="000000" w:sz="4"/>
                    <w:left w:val="single" w:color="000000" w:sz="4"/>
                    <w:bottom w:val="single" w:color="000000" w:sz="4"/>
                    <w:right w:val="single" w:color="000000" w:sz="4"/>
                  </w:tcBorders>
                  <w:vAlign w:val="top"/>
                </w:tcPr>
                <w:p>
                  <w:pPr>
                    <w:jc w:val="left"/>
                  </w:pPr>
                  <w:r>
                    <w:rPr>
                      <w:sz w:val="21"/>
                    </w:rPr>
                    <w:t>运输保障</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物料运输费用，</w:t>
                  </w:r>
                  <w:r>
                    <w:rPr>
                      <w:sz w:val="21"/>
                    </w:rPr>
                    <w:t>10米货车，搭建及撤场</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趟</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1200.00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83</w:t>
                  </w:r>
                </w:p>
              </w:tc>
              <w:tc>
                <w:tcPr>
                  <w:tcW w:type="dxa" w:w="625"/>
                  <w:vMerge/>
                  <w:tcBorders>
                    <w:top w:val="none" w:color="000000" w:sz="4"/>
                    <w:left w:val="single" w:color="000000" w:sz="4"/>
                    <w:bottom w:val="single" w:color="000000" w:sz="4"/>
                    <w:right w:val="single" w:color="000000" w:sz="4"/>
                  </w:tcBorders>
                </w:tcPr>
                <w:p/>
              </w:tc>
              <w:tc>
                <w:tcPr>
                  <w:tcW w:type="dxa" w:w="2301"/>
                  <w:tcBorders>
                    <w:top w:val="none" w:color="000000" w:sz="4"/>
                    <w:left w:val="single" w:color="000000" w:sz="4"/>
                    <w:bottom w:val="single" w:color="000000" w:sz="4"/>
                    <w:right w:val="single" w:color="000000" w:sz="4"/>
                  </w:tcBorders>
                  <w:vAlign w:val="top"/>
                </w:tcPr>
                <w:p>
                  <w:pPr>
                    <w:jc w:val="left"/>
                  </w:pPr>
                  <w:r>
                    <w:rPr>
                      <w:sz w:val="21"/>
                    </w:rPr>
                    <w:t>工人交通（面包车</w:t>
                  </w:r>
                  <w:r>
                    <w:rPr>
                      <w:sz w:val="21"/>
                    </w:rPr>
                    <w:t>/小巴）</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10</w:t>
                  </w:r>
                </w:p>
              </w:tc>
              <w:tc>
                <w:tcPr>
                  <w:tcW w:type="dxa" w:w="676"/>
                  <w:tcBorders>
                    <w:top w:val="none" w:color="000000" w:sz="4"/>
                    <w:left w:val="single" w:color="000000" w:sz="4"/>
                    <w:bottom w:val="single" w:color="000000" w:sz="4"/>
                    <w:right w:val="single" w:color="000000" w:sz="4"/>
                  </w:tcBorders>
                  <w:vAlign w:val="top"/>
                </w:tcPr>
                <w:p>
                  <w:pPr>
                    <w:jc w:val="left"/>
                  </w:pPr>
                  <w:r>
                    <w:rPr>
                      <w:sz w:val="21"/>
                    </w:rPr>
                    <w:t>趟</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400.00</w:t>
                  </w:r>
                </w:p>
              </w:tc>
            </w:tr>
            <w:tr>
              <w:tc>
                <w:tcPr>
                  <w:tcW w:type="dxa" w:w="302"/>
                  <w:tcBorders>
                    <w:top w:val="none" w:color="000000" w:sz="4"/>
                    <w:left w:val="single" w:color="000000" w:sz="4"/>
                    <w:bottom w:val="single" w:color="000000" w:sz="4"/>
                    <w:right w:val="single" w:color="000000" w:sz="4"/>
                  </w:tcBorders>
                  <w:vAlign w:val="top"/>
                </w:tcPr>
                <w:p>
                  <w:pPr>
                    <w:jc w:val="left"/>
                  </w:pPr>
                  <w:r>
                    <w:rPr>
                      <w:sz w:val="21"/>
                    </w:rPr>
                    <w:t>84</w:t>
                  </w:r>
                </w:p>
              </w:tc>
              <w:tc>
                <w:tcPr>
                  <w:tcW w:type="dxa" w:w="625"/>
                  <w:tcBorders>
                    <w:top w:val="none" w:color="000000" w:sz="4"/>
                    <w:left w:val="single" w:color="000000" w:sz="4"/>
                    <w:bottom w:val="single" w:color="000000" w:sz="4"/>
                    <w:right w:val="single" w:color="000000" w:sz="4"/>
                  </w:tcBorders>
                  <w:vAlign w:val="top"/>
                </w:tcPr>
                <w:p>
                  <w:pPr>
                    <w:jc w:val="left"/>
                  </w:pPr>
                  <w:r>
                    <w:rPr>
                      <w:sz w:val="21"/>
                    </w:rPr>
                    <w:t>设计费及策划费</w:t>
                  </w:r>
                </w:p>
              </w:tc>
              <w:tc>
                <w:tcPr>
                  <w:tcW w:type="dxa" w:w="2301"/>
                  <w:tcBorders>
                    <w:top w:val="none" w:color="000000" w:sz="4"/>
                    <w:left w:val="single" w:color="000000" w:sz="4"/>
                    <w:bottom w:val="single" w:color="000000" w:sz="4"/>
                    <w:right w:val="single" w:color="000000" w:sz="4"/>
                  </w:tcBorders>
                  <w:vAlign w:val="top"/>
                </w:tcPr>
                <w:p>
                  <w:pPr>
                    <w:jc w:val="left"/>
                  </w:pPr>
                  <w:r>
                    <w:rPr>
                      <w:sz w:val="21"/>
                    </w:rPr>
                    <w:t>广告公司设计费，含三维设计、主画面设计、展示区设计，活动执行监控费等</w:t>
                  </w:r>
                </w:p>
              </w:tc>
              <w:tc>
                <w:tcPr>
                  <w:tcW w:type="dxa" w:w="639"/>
                  <w:tcBorders>
                    <w:top w:val="none" w:color="000000" w:sz="4"/>
                    <w:left w:val="single" w:color="000000" w:sz="4"/>
                    <w:bottom w:val="single" w:color="000000" w:sz="4"/>
                    <w:right w:val="single" w:color="000000" w:sz="4"/>
                  </w:tcBorders>
                  <w:vAlign w:val="top"/>
                </w:tcPr>
                <w:p>
                  <w:pPr>
                    <w:jc w:val="left"/>
                  </w:pPr>
                  <w:r>
                    <w:rPr>
                      <w:sz w:val="21"/>
                    </w:rPr>
                    <w:t>1</w:t>
                  </w:r>
                </w:p>
              </w:tc>
              <w:tc>
                <w:tcPr>
                  <w:tcW w:type="dxa" w:w="676"/>
                  <w:tcBorders>
                    <w:top w:val="none" w:color="000000" w:sz="4"/>
                    <w:left w:val="single" w:color="000000" w:sz="4"/>
                    <w:bottom w:val="single" w:color="000000" w:sz="4"/>
                    <w:right w:val="single" w:color="000000" w:sz="4"/>
                  </w:tcBorders>
                  <w:vAlign w:val="top"/>
                </w:tcPr>
                <w:p>
                  <w:pPr>
                    <w:jc w:val="left"/>
                  </w:pPr>
                  <w:r>
                    <w:rPr>
                      <w:sz w:val="21"/>
                    </w:rPr>
                    <w:t>项</w:t>
                  </w:r>
                </w:p>
              </w:tc>
              <w:tc>
                <w:tcPr>
                  <w:tcW w:type="dxa" w:w="1055"/>
                  <w:tcBorders>
                    <w:top w:val="none" w:color="000000" w:sz="4"/>
                    <w:left w:val="single" w:color="000000" w:sz="4"/>
                    <w:bottom w:val="single" w:color="000000" w:sz="4"/>
                    <w:right w:val="single" w:color="000000" w:sz="4"/>
                  </w:tcBorders>
                  <w:vAlign w:val="top"/>
                </w:tcPr>
                <w:p>
                  <w:pPr>
                    <w:jc w:val="left"/>
                  </w:pPr>
                  <w:r>
                    <w:rPr>
                      <w:sz w:val="21"/>
                    </w:rPr>
                    <w:t>50000.00</w:t>
                  </w:r>
                </w:p>
              </w:tc>
            </w:tr>
          </w:tbl>
          <w:p>
            <w:r>
              <w:rPr>
                <w:sz w:val="21"/>
              </w:rPr>
              <w:t>备注：最终综合总报价</w:t>
            </w:r>
            <w:r>
              <w:rPr>
                <w:sz w:val="21"/>
              </w:rPr>
              <w:t>=</w:t>
            </w:r>
            <w:r>
              <w:rPr>
                <w:sz w:val="21"/>
              </w:rPr>
              <w:t>（各产品报价</w:t>
            </w:r>
            <w:r>
              <w:rPr>
                <w:sz w:val="21"/>
              </w:rPr>
              <w:t>×</w:t>
            </w:r>
            <w:r>
              <w:rPr>
                <w:sz w:val="21"/>
              </w:rPr>
              <w:t>各项产品权重）的相加值</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广州开发区民营经济和企业服务局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开发区民营经济和企业服务局2024年度重大项目集中签约动工及竣工投试产等活动会场设计及布展等服务工作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采购包1（广州开发区民营经济和企业服务局2024年度重大项目集中签约动工及竣工投试产等活动会场设计及布展等服务工作项目）：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采购包1（广州开发区民营经济和企业服务局2024年度重大项目集中签约动工及竣工投试产等活动会场设计及布展等服务工作项目）：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采购包1（广州开发区民营经济和企业服务局2024年度重大项目集中签约动工及竣工投试产等活动会场设计及布展等服务工作项目）：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投标综合折扣率是固定唯一，且0%＜投标综合折扣率≤100%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采购包1(广州开发区民营经济和企业服务局2024年度重大项目集中签约动工及竣工投试产等活动会场设计及布展等服务工作项目):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设计理念方案（一） (3.0分)</w:t>
            </w:r>
          </w:p>
        </w:tc>
        <w:tc>
          <w:tcPr>
            <w:tcW w:type="dxa" w:w="5076"/>
          </w:tcPr>
          <w:p>
            <w:pPr>
              <w:jc w:val="left"/>
            </w:pPr>
            <w:r>
              <w:rPr/>
              <w:t>投标人须充分认识理解本项目总体内容及任务目标，针对项目提出设计理念方案，以保证完成工作的质量及进度，至少包括下述内容： （1）项目的总体认识理解； （2）项目的任务目标理解； （3）会场设计理念和设想； 提供全部内容 得3分，每缺1项扣1分。</w:t>
            </w:r>
          </w:p>
        </w:tc>
      </w:tr>
      <w:tr>
        <w:tc>
          <w:tcPr>
            <w:tcW w:type="dxa" w:w="922"/>
            <w:gridSpan w:val="2"/>
            <w:vMerge/>
          </w:tcPr>
          <w:p/>
        </w:tc>
        <w:tc>
          <w:tcPr>
            <w:tcW w:type="dxa" w:w="2307"/>
          </w:tcPr>
          <w:p>
            <w:pPr>
              <w:jc w:val="left"/>
            </w:pPr>
            <w:r>
              <w:rPr/>
              <w:t>设计理念方案（二） (9.0分)</w:t>
            </w:r>
          </w:p>
        </w:tc>
        <w:tc>
          <w:tcPr>
            <w:tcW w:type="dxa" w:w="5076"/>
          </w:tcPr>
          <w:p>
            <w:pPr>
              <w:jc w:val="left"/>
            </w:pPr>
            <w:r>
              <w:rPr/>
              <w:t>评标委员会根据投标人提供设计理念方案（一）的详细内容进行综合评审： （1）从项目的总体认识理解、任务目标理解、会场设计理念和设想方面综合评审，对项目理解透彻，能提供完整的设计理念和设想方案；满足项目实施要求的，能有效保障本项目实施，有利于实现服务效果的，得9分； （2）从项目的总体认识理解、任务目标理解、会场设计理念和设想方面综合评审，对项目理解基本透彻，能初步提供设计理念和设想方案，能基本保障本项目服务实施，基本满足服务效果的，得5分； （3）从项目的总体认识理解、任务目标理解、会场设计理念和设想方面综合评审，对项目理解不够透彻，提供设计概念和设想方案存在不足或缺陷的，难以本项目服务实施或难以达到服务效果的，得1分；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实施方案（一） (2.5分)</w:t>
            </w:r>
          </w:p>
        </w:tc>
        <w:tc>
          <w:tcPr>
            <w:tcW w:type="dxa" w:w="5076"/>
          </w:tcPr>
          <w:p>
            <w:pPr>
              <w:jc w:val="left"/>
            </w:pPr>
            <w:r>
              <w:rPr/>
              <w:t>评标委员会根据投标人提供的实施方案进行综合评审，方案应包括： （1）项目重点、难点分析；  （2）工作标准； （3）工作流程 （4）服务内容； （5）服务方式； 提供全部内容得2.5分，每缺1项扣0.5分。</w:t>
            </w:r>
          </w:p>
        </w:tc>
      </w:tr>
      <w:tr>
        <w:tc>
          <w:tcPr>
            <w:tcW w:type="dxa" w:w="922"/>
            <w:gridSpan w:val="2"/>
            <w:vMerge/>
          </w:tcPr>
          <w:p/>
        </w:tc>
        <w:tc>
          <w:tcPr>
            <w:tcW w:type="dxa" w:w="2307"/>
          </w:tcPr>
          <w:p>
            <w:pPr>
              <w:jc w:val="left"/>
            </w:pPr>
            <w:r>
              <w:rPr/>
              <w:t>实施方案（二） (9.0分)</w:t>
            </w:r>
          </w:p>
        </w:tc>
        <w:tc>
          <w:tcPr>
            <w:tcW w:type="dxa" w:w="5076"/>
          </w:tcPr>
          <w:p>
            <w:pPr>
              <w:jc w:val="left"/>
            </w:pPr>
            <w:r>
              <w:rPr/>
              <w:t>评标委员会根据投标人提供实施方案（一）的详细内容进行综合评审： （1）实施方案对需求充分响应，对需求全面剖析，针对重点、难点、要点需求全面理解，分别提出具备专业性、实用性的实施方案并有合理可行保障措施，有效保障本项目实施，有利于实现服务效果，得9分； （2）实施方案对需求充分响应，对部分需求进行剖析，针对部分重点、难点、要点需求进行理解，提出部分具备专业性、实用性的实施方案或者部分合理可行保障措施，基本保障本项目服务实施，部分满足服务效果，得5分； （3）实施方案对需求响应不充分，没有对需求进行理解进行剖析，没有提出体现专业性或针对性的措施，或者措施方案不合理不可行的，无法保障本项目服务实施，达不到服务效果，得1分； （4）无提供的得0分。</w:t>
            </w:r>
          </w:p>
        </w:tc>
      </w:tr>
      <w:tr>
        <w:tc>
          <w:tcPr>
            <w:tcW w:type="dxa" w:w="922"/>
            <w:gridSpan w:val="2"/>
            <w:vMerge/>
          </w:tcPr>
          <w:p/>
        </w:tc>
        <w:tc>
          <w:tcPr>
            <w:tcW w:type="dxa" w:w="2307"/>
          </w:tcPr>
          <w:p>
            <w:pPr>
              <w:jc w:val="left"/>
            </w:pPr>
            <w:r>
              <w:rPr/>
              <w:t>工作人员培训及管理（一） (1.5分)</w:t>
            </w:r>
          </w:p>
        </w:tc>
        <w:tc>
          <w:tcPr>
            <w:tcW w:type="dxa" w:w="5076"/>
          </w:tcPr>
          <w:p>
            <w:pPr>
              <w:jc w:val="left"/>
            </w:pPr>
            <w:r>
              <w:rPr/>
              <w:t>评标委员会根据投标人提供的工作人员培训及管理进行综合评审，方案应包括： （1）服务人员的岗前培训；  （2）在岗培训及考勤； （3）定期考核管理； 提供全部内容得1.5分，每缺1项扣0.5分。</w:t>
            </w:r>
          </w:p>
        </w:tc>
      </w:tr>
      <w:tr>
        <w:tc>
          <w:tcPr>
            <w:tcW w:type="dxa" w:w="922"/>
            <w:gridSpan w:val="2"/>
            <w:vMerge/>
          </w:tcPr>
          <w:p/>
        </w:tc>
        <w:tc>
          <w:tcPr>
            <w:tcW w:type="dxa" w:w="2307"/>
          </w:tcPr>
          <w:p>
            <w:pPr>
              <w:jc w:val="left"/>
            </w:pPr>
            <w:r>
              <w:rPr/>
              <w:t>工作人员培训及管理（二） (9.0分)</w:t>
            </w:r>
          </w:p>
        </w:tc>
        <w:tc>
          <w:tcPr>
            <w:tcW w:type="dxa" w:w="5076"/>
          </w:tcPr>
          <w:p>
            <w:pPr>
              <w:jc w:val="left"/>
            </w:pPr>
            <w:r>
              <w:rPr/>
              <w:t>评标委员会根据投标人提供工作人员培训及管理（一）的详细内容进行综合评审： （1）从服务人员进行岗前培训、在岗培训、考勤、定期考核管理方面综合评审，能够针对本项目的情况提供具体服务内容和要求，并承诺相关培训情况可作为验收材料，流程清晰详尽，满足项目实施要求的，能有效保障本项目实施，有利于实现服务效果的，得9分； （2）从服务人员进行岗前培训、在岗培训、考勤、定期考核管理方面综合评审，部分服务内容和要求基本符合本项目，能基本保障本项目服务实施，基本满足服务效果的，得5分； （3）从服务人员进行岗前培训、在岗培训、考勤、定期考核管理方面综合评审，没有针对本项目的情况提供具体服务内容和要求，方案存在不足或缺陷的，难以本项目服务实施或难以达到服务效果的，得1分；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质量控制方案（一） (4.0分)</w:t>
            </w:r>
          </w:p>
        </w:tc>
        <w:tc>
          <w:tcPr>
            <w:tcW w:type="dxa" w:w="5076"/>
          </w:tcPr>
          <w:p>
            <w:pPr>
              <w:jc w:val="left"/>
            </w:pPr>
            <w:r>
              <w:rPr/>
              <w:t>评标委员会根据投标人提供的质量控制方案进行综合评审，方案应包括： （1）活动的设计；  （2）活动的策划； （3）活动组织过程； （4）各环节关键节点质量保证措施； 提供全部内容得4分，每缺1项扣1分。</w:t>
            </w:r>
          </w:p>
        </w:tc>
      </w:tr>
      <w:tr>
        <w:tc>
          <w:tcPr>
            <w:tcW w:type="dxa" w:w="922"/>
            <w:gridSpan w:val="2"/>
            <w:vMerge/>
          </w:tcPr>
          <w:p/>
        </w:tc>
        <w:tc>
          <w:tcPr>
            <w:tcW w:type="dxa" w:w="2307"/>
          </w:tcPr>
          <w:p>
            <w:pPr>
              <w:jc w:val="left"/>
            </w:pPr>
            <w:r>
              <w:rPr/>
              <w:t>质量控制方案（二） (9.0分)</w:t>
            </w:r>
          </w:p>
        </w:tc>
        <w:tc>
          <w:tcPr>
            <w:tcW w:type="dxa" w:w="5076"/>
          </w:tcPr>
          <w:p>
            <w:pPr>
              <w:jc w:val="left"/>
            </w:pPr>
            <w:r>
              <w:rPr/>
              <w:t>评标委员会根据投标人提供质量控制方案（一）的详细内容进行综合评审： （1）从活动的设计、策划、组织过程、各环节关键节点质量保证措施方面综合评审，满足项目实施要求的，能有效保障本项目实施，有利于实现服务效果的，得9分； （2）从活动的设计、策划、组织过程、各环节关键节点质量保证措施方面综合评审，能基本保障本项目服务实施，基本满足服务效果的，得5分； （3）从活动的设计、策划、组织过程、各环节关键节点质量保证措施方面综合评审，方案存在不足或缺陷的，难以本项目服务实施或难以达到服务效果的，得1分；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突发事件应急方案（一） (4.0分)</w:t>
            </w:r>
          </w:p>
        </w:tc>
        <w:tc>
          <w:tcPr>
            <w:tcW w:type="dxa" w:w="5076"/>
          </w:tcPr>
          <w:p>
            <w:pPr>
              <w:jc w:val="left"/>
            </w:pPr>
            <w:r>
              <w:rPr/>
              <w:t>评标委员会根据投标人提供的突发事件应急方案进行综合评审，方案应包括： （1）项目正常进行的方案；  （2）突发事件干预方案； （3）突发事件响应方案； （4）处理流程及应急能力； 提供全部内容得4分，每缺1项扣1分。</w:t>
            </w:r>
          </w:p>
        </w:tc>
      </w:tr>
      <w:tr>
        <w:tc>
          <w:tcPr>
            <w:tcW w:type="dxa" w:w="922"/>
            <w:gridSpan w:val="2"/>
            <w:vMerge/>
          </w:tcPr>
          <w:p/>
        </w:tc>
        <w:tc>
          <w:tcPr>
            <w:tcW w:type="dxa" w:w="2307"/>
          </w:tcPr>
          <w:p>
            <w:pPr>
              <w:jc w:val="left"/>
            </w:pPr>
            <w:r>
              <w:rPr/>
              <w:t>突发事件应急方案（二） (9.0分)</w:t>
            </w:r>
          </w:p>
        </w:tc>
        <w:tc>
          <w:tcPr>
            <w:tcW w:type="dxa" w:w="5076"/>
          </w:tcPr>
          <w:p>
            <w:pPr>
              <w:jc w:val="left"/>
            </w:pPr>
            <w:r>
              <w:rPr/>
              <w:t>评标委员会根据投标人提供突发事件应急方案（一）的详细内容进行综合评审： （1）从项目正常进行的方案、突发事件干预方案、突发事件响应方案、处理流程及应急能力方面综合评审，满足项目实施要求的，能有效保障本项目实施，有利于实现服务效果的，得9分； （2）从项目正常进行的方案、突发事件干预方案、突发事件响应方案、处理流程及应急能力方面综合评审，能基本保障本项目服务实施，基本满足服务效果的，得5分； （3）从项目正常进行的方案、突发事件干预方案、突发事件响应方案、处理流程及应急能力方面综合评审，方案存在不足或缺陷的，难以本项目服务实施或难以达到服务效果的，得1分； （4）不提供或方案没有实质性内容的，得0分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投标供应商提供2021年1月1日至今同类项目业绩情况，每提供一项合同业绩得2分，最高得6分。  【注：提供合同关键页，以合同签订时间为准、合同标的物（如合同标的物信息无法判定是否属于同类项目，需另提供对应合同标的物说明）等关键信息，关键页应无遮挡。提供合同模糊专家无法认定的不得分。】</w:t>
            </w:r>
          </w:p>
        </w:tc>
      </w:tr>
      <w:tr>
        <w:tc>
          <w:tcPr>
            <w:tcW w:type="dxa" w:w="922"/>
            <w:gridSpan w:val="2"/>
            <w:vMerge/>
          </w:tcPr>
          <w:p/>
        </w:tc>
        <w:tc>
          <w:tcPr>
            <w:tcW w:type="dxa" w:w="2307"/>
          </w:tcPr>
          <w:p>
            <w:pPr>
              <w:jc w:val="left"/>
            </w:pPr>
            <w:r>
              <w:rPr/>
              <w:t>拟投入本项目的项目经理情况  (10.0分)</w:t>
            </w:r>
          </w:p>
        </w:tc>
        <w:tc>
          <w:tcPr>
            <w:tcW w:type="dxa" w:w="5076"/>
          </w:tcPr>
          <w:p>
            <w:pPr>
              <w:jc w:val="left"/>
            </w:pPr>
            <w:r>
              <w:rPr/>
              <w:t>项目经理：具有活动类项目策划统筹经验，每提供1个活动类项目证明资料，得1.25分，满分10分。 【注：须提供项目负责人身份证复印件、近六个月内任一个月的社保证明、项目经理本人签名的项目合同或项目经理本人参与活动现场的照片、投标人出具的项目经理履历表及履历表相应工作经历的社保证明（两者保持一致，否则不得分）。不同公司项目可累计，未提供或提供资料不全的不得分。】</w:t>
            </w:r>
          </w:p>
        </w:tc>
      </w:tr>
      <w:tr>
        <w:tc>
          <w:tcPr>
            <w:tcW w:type="dxa" w:w="922"/>
            <w:gridSpan w:val="2"/>
            <w:vMerge/>
          </w:tcPr>
          <w:p/>
        </w:tc>
        <w:tc>
          <w:tcPr>
            <w:tcW w:type="dxa" w:w="2307"/>
          </w:tcPr>
          <w:p>
            <w:pPr>
              <w:jc w:val="left"/>
            </w:pPr>
            <w:r>
              <w:rPr/>
              <w:t>拟派本项目服务团队成员同类项目经验 (9.0分)</w:t>
            </w:r>
          </w:p>
        </w:tc>
        <w:tc>
          <w:tcPr>
            <w:tcW w:type="dxa" w:w="5076"/>
          </w:tcPr>
          <w:p>
            <w:pPr>
              <w:jc w:val="left"/>
            </w:pPr>
            <w:r>
              <w:rPr/>
              <w:t>拟派本项目服务团队成员具有活动类项目组织经验，每人至少三个活动类项目组织经验，提供5个及以上团队成员，得9分；3（含）-5（不含）个团队成员，得5分；1（含）-3（不含）个团队成员，得1分。 （注：①不同人员参与同一项目可计分；②提供相关服务团队成员身份证复印件、本人参与活动现场的照片以及截止本项目投标之日起前六个月内任意一个月的社保证明复印件并加盖投标供应商公章，提供不全或者不符合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注：本合同条款仅供参考，最终以甲方提供的样本并经甲乙双方协商一致的合同为准。</w:t>
      </w:r>
    </w:p>
    <w:p>
      <w:pPr>
        <w:jc w:val="left"/>
      </w:pPr>
      <w:r>
        <w:rPr/>
        <w:t xml:space="preserve"> </w:t>
      </w:r>
    </w:p>
    <w:p>
      <w:pPr>
        <w:jc w:val="center"/>
      </w:pPr>
    </w:p>
    <w:p>
      <w:pPr>
        <w:jc w:val="center"/>
      </w:pPr>
    </w:p>
    <w:p>
      <w:pPr>
        <w:jc w:val="center"/>
      </w:pPr>
    </w:p>
    <w:p>
      <w:pPr>
        <w:jc w:val="center"/>
      </w:pPr>
    </w:p>
    <w:p>
      <w:pPr>
        <w:jc w:val="center"/>
      </w:pPr>
      <w:r>
        <w:rPr>
          <w:b/>
          <w:sz w:val="44"/>
        </w:rPr>
        <w:t>广州开发区民营经济和企业服务局</w:t>
      </w:r>
      <w:r>
        <w:rPr>
          <w:b/>
          <w:sz w:val="44"/>
        </w:rPr>
        <w:t>2024年度</w:t>
      </w:r>
    </w:p>
    <w:p>
      <w:pPr>
        <w:jc w:val="center"/>
      </w:pPr>
      <w:r>
        <w:rPr>
          <w:b/>
          <w:sz w:val="44"/>
        </w:rPr>
        <w:t>重大项目集中签约动工及竣工投试产等</w:t>
      </w:r>
    </w:p>
    <w:p>
      <w:pPr>
        <w:jc w:val="center"/>
      </w:pPr>
      <w:r>
        <w:rPr>
          <w:b/>
          <w:sz w:val="44"/>
        </w:rPr>
        <w:t>活动会场设计及布展等服务工作项目</w:t>
      </w:r>
      <w:r>
        <w:rPr>
          <w:b/>
          <w:sz w:val="44"/>
        </w:rPr>
        <w:t>合同</w:t>
      </w:r>
    </w:p>
    <w:p>
      <w:pPr>
        <w:jc w:val="left"/>
      </w:pPr>
    </w:p>
    <w:p>
      <w:pPr>
        <w:ind w:firstLine="643"/>
        <w:jc w:val="left"/>
      </w:pPr>
    </w:p>
    <w:p>
      <w:pPr>
        <w:ind w:firstLine="643"/>
        <w:jc w:val="left"/>
      </w:pPr>
    </w:p>
    <w:p>
      <w:pPr>
        <w:ind w:firstLine="643"/>
        <w:jc w:val="left"/>
      </w:pPr>
    </w:p>
    <w:p>
      <w:pPr>
        <w:ind w:firstLine="643"/>
        <w:jc w:val="left"/>
      </w:pPr>
    </w:p>
    <w:p>
      <w:pPr>
        <w:ind w:firstLine="643"/>
        <w:jc w:val="left"/>
      </w:pPr>
    </w:p>
    <w:p>
      <w:pPr>
        <w:jc w:val="left"/>
      </w:pPr>
    </w:p>
    <w:p>
      <w:pPr>
        <w:ind w:firstLine="1606"/>
        <w:jc w:val="left"/>
      </w:pPr>
      <w:r>
        <w:rPr/>
        <w:t xml:space="preserve"> </w:t>
      </w:r>
    </w:p>
    <w:p>
      <w:pPr>
        <w:ind w:firstLine="1606"/>
        <w:jc w:val="left"/>
      </w:pPr>
      <w:r>
        <w:rPr/>
        <w:t xml:space="preserve"> </w:t>
      </w:r>
    </w:p>
    <w:p>
      <w:pPr>
        <w:ind w:firstLine="1606"/>
        <w:jc w:val="left"/>
      </w:pPr>
      <w:r>
        <w:rPr>
          <w:b/>
          <w:sz w:val="32"/>
        </w:rPr>
        <w:t>甲方：</w:t>
      </w:r>
      <w:r>
        <w:rPr>
          <w:b/>
          <w:sz w:val="32"/>
          <w:u w:val="single"/>
        </w:rPr>
        <w:t>广州开发区民营经济和企业服务局</w:t>
      </w:r>
    </w:p>
    <w:p>
      <w:pPr>
        <w:jc w:val="both"/>
      </w:pPr>
    </w:p>
    <w:p>
      <w:pPr>
        <w:ind w:firstLine="1606"/>
        <w:jc w:val="both"/>
      </w:pPr>
      <w:r>
        <w:rPr>
          <w:b/>
          <w:sz w:val="32"/>
        </w:rPr>
        <w:t>乙方：</w:t>
      </w:r>
      <w:r>
        <w:rPr>
          <w:b/>
          <w:sz w:val="21"/>
          <w:u w:val="single"/>
        </w:rPr>
        <w:t xml:space="preserve">                              </w:t>
      </w:r>
    </w:p>
    <w:p>
      <w:pPr>
        <w:ind w:firstLine="640"/>
        <w:jc w:val="both"/>
      </w:pPr>
    </w:p>
    <w:p>
      <w:pPr>
        <w:jc w:val="both"/>
      </w:pPr>
    </w:p>
    <w:p>
      <w:pPr>
        <w:jc w:val="center"/>
      </w:pPr>
    </w:p>
    <w:p>
      <w:pPr>
        <w:jc w:val="center"/>
      </w:pPr>
    </w:p>
    <w:p>
      <w:pPr>
        <w:jc w:val="center"/>
      </w:pPr>
      <w:r>
        <w:rPr/>
        <w:t xml:space="preserve"> </w:t>
      </w:r>
    </w:p>
    <w:p>
      <w:pPr>
        <w:jc w:val="center"/>
      </w:pPr>
      <w:r>
        <w:rPr>
          <w:b/>
          <w:sz w:val="32"/>
        </w:rPr>
        <w:t>202</w:t>
      </w:r>
      <w:r>
        <w:rPr>
          <w:b/>
          <w:sz w:val="32"/>
        </w:rPr>
        <w:t>4</w:t>
      </w:r>
      <w:r>
        <w:rPr>
          <w:b/>
          <w:sz w:val="32"/>
        </w:rPr>
        <w:t>年</w:t>
      </w:r>
      <w:r>
        <w:rPr>
          <w:b/>
          <w:sz w:val="21"/>
          <w:u w:val="single"/>
        </w:rPr>
        <w:t xml:space="preserve">    </w:t>
      </w:r>
      <w:r>
        <w:rPr>
          <w:b/>
          <w:sz w:val="32"/>
        </w:rPr>
        <w:t>月</w:t>
      </w:r>
      <w:r>
        <w:rPr>
          <w:b/>
          <w:sz w:val="21"/>
          <w:u w:val="single"/>
        </w:rPr>
        <w:t xml:space="preserve">    </w:t>
      </w:r>
      <w:r>
        <w:rPr>
          <w:b/>
          <w:sz w:val="32"/>
        </w:rPr>
        <w:t>日</w:t>
      </w:r>
    </w:p>
    <w:p>
      <w:pPr>
        <w:jc w:val="center"/>
      </w:pPr>
    </w:p>
    <w:p>
      <w:pPr>
        <w:jc w:val="both"/>
      </w:pPr>
    </w:p>
    <w:p>
      <w:pPr>
        <w:jc w:val="center"/>
      </w:pPr>
      <w:r>
        <w:rPr/>
        <w:t xml:space="preserve"> </w:t>
      </w:r>
    </w:p>
    <w:p>
      <w:pPr>
        <w:jc w:val="center"/>
      </w:pPr>
      <w:r>
        <w:rPr/>
        <w:t xml:space="preserve"> </w:t>
      </w:r>
    </w:p>
    <w:p>
      <w:pPr>
        <w:jc w:val="center"/>
      </w:pPr>
      <w:r>
        <w:rPr>
          <w:b/>
          <w:sz w:val="32"/>
        </w:rPr>
        <w:t>第一部分</w:t>
      </w:r>
      <w:r>
        <w:rPr>
          <w:b/>
          <w:sz w:val="32"/>
        </w:rPr>
        <w:t>广州开发区民营经济和企业服务局</w:t>
      </w:r>
      <w:r>
        <w:rPr>
          <w:b/>
          <w:sz w:val="32"/>
        </w:rPr>
        <w:t>2024年度重大项目</w:t>
      </w:r>
    </w:p>
    <w:p>
      <w:pPr>
        <w:jc w:val="center"/>
      </w:pPr>
      <w:r>
        <w:rPr>
          <w:b/>
          <w:sz w:val="32"/>
        </w:rPr>
        <w:t>集中签约动工及竣工投试产等活动会场设计</w:t>
      </w:r>
    </w:p>
    <w:p>
      <w:pPr>
        <w:jc w:val="center"/>
      </w:pPr>
      <w:r>
        <w:rPr>
          <w:b/>
          <w:sz w:val="32"/>
        </w:rPr>
        <w:t>及布展等服务工作项目</w:t>
      </w:r>
      <w:r>
        <w:rPr>
          <w:b/>
          <w:sz w:val="32"/>
        </w:rPr>
        <w:t>合同</w:t>
      </w:r>
    </w:p>
    <w:p>
      <w:pPr>
        <w:ind w:firstLine="482"/>
        <w:jc w:val="left"/>
      </w:pPr>
      <w:r>
        <w:rPr/>
        <w:t xml:space="preserve"> </w:t>
      </w:r>
    </w:p>
    <w:p>
      <w:pPr>
        <w:ind w:firstLine="482"/>
        <w:jc w:val="left"/>
      </w:pPr>
      <w:r>
        <w:rPr/>
        <w:t xml:space="preserve"> </w:t>
      </w:r>
    </w:p>
    <w:p>
      <w:pPr>
        <w:ind w:firstLine="482"/>
        <w:jc w:val="left"/>
      </w:pPr>
      <w:r>
        <w:rPr>
          <w:b/>
          <w:sz w:val="24"/>
          <w:u w:val="single"/>
        </w:rPr>
        <w:t>广州开发区民营经济和企业服务局</w:t>
      </w:r>
      <w:r>
        <w:rPr>
          <w:sz w:val="24"/>
        </w:rPr>
        <w:t>［以下简称甲方］与</w:t>
      </w:r>
      <w:r>
        <w:rPr>
          <w:b/>
          <w:sz w:val="21"/>
          <w:u w:val="single"/>
        </w:rPr>
        <w:t xml:space="preserve">                 </w:t>
      </w:r>
    </w:p>
    <w:p>
      <w:pPr>
        <w:jc w:val="left"/>
      </w:pPr>
      <w:r>
        <w:rPr>
          <w:sz w:val="24"/>
        </w:rPr>
        <w:t>［以下简称乙方］经过双方协商一致，签订本合同。</w:t>
      </w:r>
    </w:p>
    <w:p>
      <w:pPr>
        <w:ind w:firstLine="480"/>
        <w:jc w:val="both"/>
      </w:pPr>
      <w:r>
        <w:rPr>
          <w:sz w:val="24"/>
        </w:rPr>
        <w:t>一、甲方委托乙方为以下项目提供动工活动会场设计及布展服务：</w:t>
      </w:r>
      <w:r>
        <w:rPr>
          <w:sz w:val="24"/>
        </w:rPr>
        <w:t xml:space="preserve">    </w:t>
      </w:r>
    </w:p>
    <w:p>
      <w:pPr>
        <w:ind w:firstLine="480"/>
        <w:jc w:val="both"/>
      </w:pPr>
      <w:r>
        <w:rPr>
          <w:sz w:val="24"/>
        </w:rPr>
        <w:t>1</w:t>
      </w:r>
      <w:r>
        <w:rPr>
          <w:sz w:val="24"/>
        </w:rPr>
        <w:t>.项目名称：</w:t>
      </w:r>
      <w:r>
        <w:rPr>
          <w:sz w:val="24"/>
        </w:rPr>
        <w:t>广州开发区民营经济和企业服务局</w:t>
      </w:r>
      <w:r>
        <w:rPr>
          <w:sz w:val="24"/>
        </w:rPr>
        <w:t>2024年度重大项目集中签约动工及竣工投试产等活动会场设计及布展等服务工作项目</w:t>
      </w:r>
    </w:p>
    <w:p>
      <w:pPr>
        <w:ind w:firstLine="480"/>
        <w:jc w:val="both"/>
      </w:pPr>
      <w:r>
        <w:rPr>
          <w:sz w:val="24"/>
        </w:rPr>
        <w:t>2.项目要求：乙方在合同履行期限内协助甲方举办2次重大项目动工活动、投试产活动或全区性集中签约动工活动、项目封顶活动、投试产活动等筹建相关活动。</w:t>
      </w:r>
    </w:p>
    <w:p>
      <w:pPr>
        <w:ind w:firstLine="480"/>
        <w:jc w:val="both"/>
      </w:pPr>
      <w:r>
        <w:rPr>
          <w:sz w:val="24"/>
        </w:rPr>
        <w:t>3.每次活动乙方提供的服务应包括：</w:t>
      </w:r>
    </w:p>
    <w:p>
      <w:pPr>
        <w:ind w:firstLine="480"/>
        <w:jc w:val="both"/>
      </w:pPr>
      <w:r>
        <w:rPr>
          <w:sz w:val="24"/>
        </w:rPr>
        <w:t>（</w:t>
      </w:r>
      <w:r>
        <w:rPr>
          <w:sz w:val="24"/>
        </w:rPr>
        <w:t>1）活动整体规划设计、会场布置、效果设计等；</w:t>
      </w:r>
    </w:p>
    <w:p>
      <w:pPr>
        <w:ind w:firstLine="480"/>
        <w:jc w:val="both"/>
      </w:pPr>
      <w:r>
        <w:rPr>
          <w:sz w:val="24"/>
        </w:rPr>
        <w:t>（</w:t>
      </w:r>
      <w:r>
        <w:rPr>
          <w:sz w:val="24"/>
        </w:rPr>
        <w:t>2）现场服务：活动前期、中期及后期根据甲方需求，组织人员分工、拟定应急方案，做好现场协调统筹、工作进度安排、会场设计、记录、搜集、制作、宣传等相关服务工作，保障甲方所要求的活动执行效果；</w:t>
      </w:r>
    </w:p>
    <w:p>
      <w:pPr>
        <w:ind w:firstLine="480"/>
        <w:jc w:val="both"/>
      </w:pPr>
      <w:r>
        <w:rPr>
          <w:sz w:val="24"/>
        </w:rPr>
        <w:t>（</w:t>
      </w:r>
      <w:r>
        <w:rPr>
          <w:sz w:val="24"/>
        </w:rPr>
        <w:t>3）会场物料布置：基本物料制作部分应包括活动现场舞台、座位区、休息区、展示区、停车区、工作区、指引线等区域物料制作，包括活动筹备期及后期物料，涉及工地、地面、门头、围挡、展板以及根据场地不同所提供辅助材料等；</w:t>
      </w:r>
    </w:p>
    <w:p>
      <w:pPr>
        <w:ind w:firstLine="480"/>
        <w:jc w:val="both"/>
      </w:pPr>
      <w:r>
        <w:rPr>
          <w:sz w:val="24"/>
        </w:rPr>
        <w:t>（</w:t>
      </w:r>
      <w:r>
        <w:rPr>
          <w:sz w:val="24"/>
        </w:rPr>
        <w:t>4）音像、视频、拍摄剪辑等服务：设备部分应包括：全方位立体摄影设备、显示输出及转换设备、AV音响、灯光、备用发电设备以及活动直播实时连线所需的专线网络、直播连线平台、终端设备、现场信号切换设备等；专业人员应包括摄影师、摄像师、技术人员（灯光监控，DJ及音乐监控编剪）、区域工作人员等；</w:t>
      </w:r>
    </w:p>
    <w:p>
      <w:pPr>
        <w:ind w:firstLine="480"/>
        <w:jc w:val="both"/>
      </w:pPr>
      <w:r>
        <w:rPr>
          <w:sz w:val="24"/>
        </w:rPr>
        <w:t>（</w:t>
      </w:r>
      <w:r>
        <w:rPr>
          <w:sz w:val="24"/>
        </w:rPr>
        <w:t>5）运输、辅料及撤场等服务：材料运输及车辆，活动交通工具，搭建、撤场、保洁、秩序维护、安全及应急服务等会场服务；</w:t>
      </w:r>
    </w:p>
    <w:p>
      <w:pPr>
        <w:ind w:firstLine="480"/>
        <w:jc w:val="both"/>
      </w:pPr>
      <w:r>
        <w:rPr>
          <w:sz w:val="24"/>
        </w:rPr>
        <w:t>（</w:t>
      </w:r>
      <w:r>
        <w:rPr>
          <w:sz w:val="24"/>
        </w:rPr>
        <w:t>6）运行保障</w:t>
      </w:r>
      <w:r>
        <w:rPr>
          <w:sz w:val="24"/>
        </w:rPr>
        <w:t>：人力、物力、电力储备应急、音像应急、制冷等保障；</w:t>
      </w:r>
    </w:p>
    <w:p>
      <w:pPr>
        <w:ind w:firstLine="480"/>
        <w:jc w:val="both"/>
      </w:pPr>
      <w:r>
        <w:rPr>
          <w:sz w:val="24"/>
        </w:rPr>
        <w:t>（</w:t>
      </w:r>
      <w:r>
        <w:rPr>
          <w:sz w:val="24"/>
        </w:rPr>
        <w:t>7</w:t>
      </w:r>
      <w:r>
        <w:rPr>
          <w:sz w:val="24"/>
        </w:rPr>
        <w:t>）健康防控保障：务必做好活动会场防控工作以及防控物资的准备，包括防护、消毒用品等，</w:t>
      </w:r>
      <w:r>
        <w:rPr>
          <w:sz w:val="24"/>
        </w:rPr>
        <w:t>同时</w:t>
      </w:r>
      <w:r>
        <w:rPr>
          <w:sz w:val="24"/>
        </w:rPr>
        <w:t>加强团队人员健康管理以及防控知识宣教。</w:t>
      </w:r>
    </w:p>
    <w:p>
      <w:pPr>
        <w:ind w:firstLine="480"/>
        <w:jc w:val="both"/>
      </w:pPr>
      <w:r>
        <w:rPr>
          <w:sz w:val="24"/>
        </w:rPr>
        <w:t>（</w:t>
      </w:r>
      <w:r>
        <w:rPr>
          <w:sz w:val="24"/>
        </w:rPr>
        <w:t>8）其它与活动举办有关的服务。</w:t>
      </w:r>
    </w:p>
    <w:p>
      <w:pPr>
        <w:ind w:firstLine="480"/>
        <w:jc w:val="both"/>
      </w:pPr>
      <w:r>
        <w:rPr>
          <w:sz w:val="24"/>
        </w:rPr>
        <w:t>二、本合同的措词和用语与所属</w:t>
      </w:r>
      <w:r>
        <w:rPr>
          <w:sz w:val="24"/>
        </w:rPr>
        <w:t>广州开发区民营经济和企业服务局</w:t>
      </w:r>
      <w:r>
        <w:rPr>
          <w:sz w:val="24"/>
        </w:rPr>
        <w:t>2024年度重大项目集中签约动工及竣工投试产等活动会场设计及布展等服务工作项目</w:t>
      </w:r>
      <w:r>
        <w:rPr>
          <w:sz w:val="24"/>
        </w:rPr>
        <w:t>合同条件及有关附件同义。</w:t>
      </w:r>
      <w:r>
        <w:rPr>
          <w:sz w:val="24"/>
        </w:rPr>
        <w:t xml:space="preserve">    </w:t>
      </w:r>
    </w:p>
    <w:p>
      <w:pPr>
        <w:ind w:firstLine="480"/>
        <w:jc w:val="both"/>
      </w:pPr>
      <w:r>
        <w:rPr>
          <w:sz w:val="24"/>
        </w:rPr>
        <w:t>三、下列文件均为本合同的组成部分：</w:t>
      </w:r>
      <w:r>
        <w:rPr>
          <w:sz w:val="24"/>
        </w:rPr>
        <w:t xml:space="preserve">    </w:t>
      </w:r>
    </w:p>
    <w:p>
      <w:pPr>
        <w:ind w:firstLine="480"/>
        <w:jc w:val="both"/>
      </w:pPr>
      <w:r>
        <w:rPr>
          <w:sz w:val="24"/>
        </w:rPr>
        <w:t>1.</w:t>
      </w:r>
      <w:r>
        <w:rPr>
          <w:sz w:val="24"/>
        </w:rPr>
        <w:t>广州开发区民营经济和企业服务局</w:t>
      </w:r>
      <w:r>
        <w:rPr>
          <w:sz w:val="24"/>
        </w:rPr>
        <w:t>2024年度重大项目集中签约动工及竣工投试产等活动会场设计及布展等服务工作项目</w:t>
      </w:r>
      <w:r>
        <w:rPr>
          <w:sz w:val="24"/>
        </w:rPr>
        <w:t>合同标准条件；</w:t>
      </w:r>
      <w:r>
        <w:rPr>
          <w:sz w:val="24"/>
        </w:rPr>
        <w:t xml:space="preserve">    </w:t>
      </w:r>
    </w:p>
    <w:p>
      <w:pPr>
        <w:ind w:firstLine="480"/>
        <w:jc w:val="both"/>
      </w:pPr>
      <w:r>
        <w:rPr>
          <w:sz w:val="24"/>
        </w:rPr>
        <w:t>2.</w:t>
      </w:r>
      <w:r>
        <w:rPr>
          <w:sz w:val="24"/>
        </w:rPr>
        <w:t>广州开发区民营经济和企业服务局</w:t>
      </w:r>
      <w:r>
        <w:rPr>
          <w:sz w:val="24"/>
        </w:rPr>
        <w:t>2024年度重大项目集中签约动工及竣工投试产等活动会场设计及布展等服务工作项目</w:t>
      </w:r>
      <w:r>
        <w:rPr>
          <w:sz w:val="24"/>
        </w:rPr>
        <w:t>合同专用条件；</w:t>
      </w:r>
    </w:p>
    <w:p>
      <w:pPr>
        <w:ind w:firstLine="480"/>
        <w:jc w:val="both"/>
      </w:pPr>
      <w:r>
        <w:rPr>
          <w:sz w:val="24"/>
        </w:rPr>
        <w:t>3.</w:t>
      </w:r>
      <w:r>
        <w:rPr>
          <w:sz w:val="24"/>
        </w:rPr>
        <w:t>广州开发区民营经济和企业服务局</w:t>
      </w:r>
      <w:r>
        <w:rPr>
          <w:sz w:val="24"/>
        </w:rPr>
        <w:t>2024年度重大项目集中签约动工及竣工投试产等活动会场设计及布展等服务工作项目</w:t>
      </w:r>
      <w:r>
        <w:rPr>
          <w:sz w:val="24"/>
        </w:rPr>
        <w:t>合同执</w:t>
      </w:r>
      <w:r>
        <w:rPr>
          <w:sz w:val="24"/>
        </w:rPr>
        <w:t>行中共同签署的补充与修正文件。</w:t>
      </w:r>
    </w:p>
    <w:p>
      <w:pPr>
        <w:ind w:firstLine="480"/>
        <w:jc w:val="both"/>
      </w:pPr>
      <w:r>
        <w:rPr>
          <w:sz w:val="24"/>
        </w:rPr>
        <w:t>四、乙方同意按照本合同的规定，承担本合同专用条件中议定范围内的活动会场设计及布展服务。</w:t>
      </w:r>
    </w:p>
    <w:p>
      <w:pPr>
        <w:ind w:firstLine="480"/>
        <w:jc w:val="both"/>
      </w:pPr>
      <w:r>
        <w:rPr>
          <w:sz w:val="24"/>
        </w:rPr>
        <w:t>五、甲方同意按照本合同规定的期限、方式、币种、额度向乙方支付酬金。</w:t>
      </w:r>
    </w:p>
    <w:p>
      <w:pPr>
        <w:ind w:firstLine="480"/>
        <w:jc w:val="both"/>
      </w:pPr>
      <w:r>
        <w:rPr>
          <w:sz w:val="24"/>
        </w:rPr>
        <w:t>六、本合同的动工活动会场设计及布展服务业务自</w:t>
      </w:r>
      <w:r>
        <w:rPr>
          <w:sz w:val="24"/>
          <w:u w:val="single"/>
        </w:rPr>
        <w:t>双方签字盖章</w:t>
      </w:r>
      <w:r>
        <w:rPr>
          <w:sz w:val="24"/>
        </w:rPr>
        <w:t>开始实施，至</w:t>
      </w:r>
      <w:r>
        <w:rPr>
          <w:sz w:val="24"/>
        </w:rPr>
        <w:t>202</w:t>
      </w:r>
      <w:r>
        <w:rPr>
          <w:sz w:val="24"/>
        </w:rPr>
        <w:t>4</w:t>
      </w:r>
      <w:r>
        <w:rPr>
          <w:sz w:val="24"/>
        </w:rPr>
        <w:t>年</w:t>
      </w:r>
      <w:r>
        <w:rPr>
          <w:sz w:val="24"/>
        </w:rPr>
        <w:t>12月31日，或者合同结算总金额大于或等于本项目预算金额时，又或者乙方已协助甲方举办2次重大项目动工活动、投试产活动或全区性集中签约动工活动、项目封顶活动、投试产活动等筹建相关活动（本项目下包含多次活动举办工作,活动次数可能因工作安排有所调整，最终具体次数以实际为准），双方依合同履行义务后，合同自动终止。</w:t>
      </w:r>
    </w:p>
    <w:p>
      <w:pPr>
        <w:ind w:firstLine="480"/>
        <w:jc w:val="both"/>
      </w:pPr>
      <w:r>
        <w:rPr>
          <w:sz w:val="24"/>
        </w:rPr>
        <w:t>七、本合同一式四份，具有同等法律效力，双方各执两份。</w:t>
      </w:r>
    </w:p>
    <w:p>
      <w:pPr>
        <w:jc w:val="left"/>
      </w:pPr>
      <w:r>
        <w:rPr>
          <w:sz w:val="24"/>
        </w:rPr>
        <w:t>甲方</w:t>
      </w:r>
      <w:r>
        <w:rPr>
          <w:sz w:val="21"/>
        </w:rPr>
        <w:t xml:space="preserve"> </w:t>
      </w:r>
      <w:r>
        <w:rPr>
          <w:sz w:val="24"/>
        </w:rPr>
        <w:t>：广州开发区民营经济和企业服务局</w:t>
      </w:r>
      <w:r>
        <w:rPr>
          <w:sz w:val="21"/>
        </w:rPr>
        <w:t xml:space="preserve">                  </w:t>
      </w:r>
      <w:r>
        <w:rPr>
          <w:sz w:val="24"/>
        </w:rPr>
        <w:t>乙方：</w:t>
      </w:r>
    </w:p>
    <w:p>
      <w:pPr>
        <w:jc w:val="both"/>
      </w:pPr>
      <w:r>
        <w:rPr>
          <w:sz w:val="24"/>
        </w:rPr>
        <w:t>法定代表人（签字）：</w:t>
      </w:r>
      <w:r>
        <w:rPr>
          <w:sz w:val="24"/>
        </w:rPr>
        <w:t xml:space="preserve">                  </w:t>
      </w:r>
      <w:r>
        <w:rPr>
          <w:sz w:val="21"/>
        </w:rPr>
        <w:t xml:space="preserve">              </w:t>
      </w:r>
      <w:r>
        <w:rPr>
          <w:sz w:val="24"/>
        </w:rPr>
        <w:t>法定代表人（签字）：</w:t>
      </w:r>
    </w:p>
    <w:p>
      <w:pPr>
        <w:jc w:val="both"/>
      </w:pPr>
      <w:r>
        <w:rPr>
          <w:sz w:val="24"/>
        </w:rPr>
        <w:t>委托代理人</w:t>
      </w:r>
      <w:r>
        <w:rPr>
          <w:sz w:val="24"/>
        </w:rPr>
        <w:t xml:space="preserve">(签字)：                         </w:t>
      </w:r>
      <w:r>
        <w:rPr>
          <w:sz w:val="21"/>
        </w:rPr>
        <w:t xml:space="preserve">         </w:t>
      </w:r>
      <w:r>
        <w:rPr>
          <w:sz w:val="24"/>
        </w:rPr>
        <w:t xml:space="preserve"> </w:t>
      </w:r>
      <w:r>
        <w:rPr>
          <w:sz w:val="24"/>
        </w:rPr>
        <w:t>委托代理人</w:t>
      </w:r>
      <w:r>
        <w:rPr>
          <w:sz w:val="24"/>
        </w:rPr>
        <w:t>(签字)：</w:t>
      </w:r>
    </w:p>
    <w:p>
      <w:pPr>
        <w:jc w:val="left"/>
      </w:pPr>
      <w:r>
        <w:rPr>
          <w:sz w:val="24"/>
        </w:rPr>
        <w:t>地址：广州市黄埔区香雪三路一号行政服务中心</w:t>
      </w:r>
      <w:r>
        <w:rPr>
          <w:sz w:val="24"/>
        </w:rPr>
        <w:t>E栋111室</w:t>
      </w:r>
      <w:r>
        <w:rPr>
          <w:sz w:val="24"/>
        </w:rPr>
        <w:t>地</w:t>
      </w:r>
      <w:r>
        <w:rPr>
          <w:sz w:val="24"/>
        </w:rPr>
        <w:t>址：</w:t>
      </w:r>
    </w:p>
    <w:p>
      <w:pPr>
        <w:jc w:val="left"/>
      </w:pPr>
      <w:r>
        <w:rPr>
          <w:sz w:val="24"/>
        </w:rPr>
        <w:t>开户银行：广州银行香雪路支行　　　　</w:t>
      </w:r>
      <w:r>
        <w:rPr>
          <w:sz w:val="24"/>
        </w:rPr>
        <w:t xml:space="preserve">     </w:t>
      </w:r>
      <w:r>
        <w:rPr>
          <w:sz w:val="21"/>
        </w:rPr>
        <w:t xml:space="preserve">           </w:t>
      </w:r>
      <w:r>
        <w:rPr>
          <w:sz w:val="24"/>
        </w:rPr>
        <w:t>开户银行：</w:t>
      </w:r>
    </w:p>
    <w:p>
      <w:pPr>
        <w:jc w:val="left"/>
      </w:pPr>
      <w:r>
        <w:rPr>
          <w:sz w:val="24"/>
        </w:rPr>
        <w:t>账户全称：广州开发区民营经济和企业服务局</w:t>
      </w:r>
      <w:r>
        <w:rPr>
          <w:sz w:val="24"/>
        </w:rPr>
        <w:t xml:space="preserve"> </w:t>
      </w:r>
      <w:r>
        <w:rPr>
          <w:sz w:val="21"/>
        </w:rPr>
        <w:t xml:space="preserve">           </w:t>
      </w:r>
      <w:r>
        <w:rPr>
          <w:sz w:val="24"/>
        </w:rPr>
        <w:t>账户全称：</w:t>
      </w:r>
    </w:p>
    <w:p>
      <w:pPr>
        <w:jc w:val="both"/>
      </w:pPr>
      <w:r>
        <w:rPr>
          <w:sz w:val="24"/>
        </w:rPr>
        <w:t>账　　号：</w:t>
      </w:r>
      <w:r>
        <w:rPr>
          <w:sz w:val="24"/>
        </w:rPr>
        <w:t xml:space="preserve">319808002054　　　　              </w:t>
      </w:r>
      <w:r>
        <w:rPr>
          <w:sz w:val="21"/>
        </w:rPr>
        <w:t xml:space="preserve">         </w:t>
      </w:r>
      <w:r>
        <w:rPr>
          <w:sz w:val="24"/>
        </w:rPr>
        <w:t>账　　号：</w:t>
      </w:r>
    </w:p>
    <w:p>
      <w:pPr>
        <w:jc w:val="both"/>
      </w:pPr>
      <w:r>
        <w:rPr>
          <w:sz w:val="24"/>
        </w:rPr>
        <w:t>邮　　编：</w:t>
      </w:r>
      <w:r>
        <w:rPr>
          <w:sz w:val="24"/>
        </w:rPr>
        <w:t xml:space="preserve">510530                            </w:t>
      </w:r>
      <w:r>
        <w:rPr>
          <w:sz w:val="21"/>
        </w:rPr>
        <w:t xml:space="preserve">         </w:t>
      </w:r>
      <w:r>
        <w:rPr>
          <w:sz w:val="24"/>
        </w:rPr>
        <w:t>邮</w:t>
      </w:r>
      <w:r>
        <w:rPr>
          <w:sz w:val="24"/>
        </w:rPr>
        <w:t xml:space="preserve"> </w:t>
      </w:r>
      <w:r>
        <w:rPr>
          <w:sz w:val="24"/>
        </w:rPr>
        <w:t>　编：</w:t>
      </w:r>
    </w:p>
    <w:p>
      <w:pPr>
        <w:jc w:val="left"/>
      </w:pPr>
      <w:r>
        <w:rPr>
          <w:sz w:val="24"/>
        </w:rPr>
        <w:t>电　　话：</w:t>
      </w:r>
      <w:r>
        <w:rPr>
          <w:sz w:val="24"/>
        </w:rPr>
        <w:t xml:space="preserve">020-82118222                      </w:t>
      </w:r>
      <w:r>
        <w:rPr>
          <w:sz w:val="21"/>
        </w:rPr>
        <w:t xml:space="preserve">         </w:t>
      </w:r>
      <w:r>
        <w:rPr>
          <w:sz w:val="24"/>
        </w:rPr>
        <w:t>电</w:t>
      </w:r>
      <w:r>
        <w:rPr>
          <w:sz w:val="24"/>
        </w:rPr>
        <w:t xml:space="preserve"> </w:t>
      </w:r>
      <w:r>
        <w:rPr>
          <w:sz w:val="24"/>
        </w:rPr>
        <w:t>　话：</w:t>
      </w:r>
    </w:p>
    <w:p>
      <w:pPr>
        <w:jc w:val="left"/>
      </w:pPr>
      <w:r>
        <w:rPr>
          <w:sz w:val="24"/>
        </w:rPr>
        <w:t>传</w:t>
      </w:r>
      <w:r>
        <w:rPr>
          <w:sz w:val="24"/>
        </w:rPr>
        <w:t xml:space="preserve">  </w:t>
      </w:r>
      <w:r>
        <w:rPr>
          <w:sz w:val="24"/>
        </w:rPr>
        <w:t>真：</w:t>
      </w:r>
      <w:r>
        <w:rPr>
          <w:sz w:val="24"/>
        </w:rPr>
        <w:t xml:space="preserve">020-82118222                       </w:t>
      </w:r>
      <w:r>
        <w:rPr>
          <w:sz w:val="21"/>
        </w:rPr>
        <w:t xml:space="preserve">         </w:t>
      </w:r>
      <w:r>
        <w:rPr>
          <w:sz w:val="24"/>
        </w:rPr>
        <w:t>传</w:t>
      </w:r>
      <w:r>
        <w:rPr>
          <w:sz w:val="24"/>
        </w:rPr>
        <w:t xml:space="preserve">   </w:t>
      </w:r>
      <w:r>
        <w:rPr>
          <w:sz w:val="24"/>
        </w:rPr>
        <w:t>真：</w:t>
      </w:r>
    </w:p>
    <w:p>
      <w:pPr>
        <w:jc w:val="both"/>
      </w:pPr>
      <w:r>
        <w:rPr>
          <w:sz w:val="24"/>
        </w:rPr>
        <w:t>签订时间：</w:t>
      </w:r>
      <w:r>
        <w:rPr>
          <w:sz w:val="24"/>
          <w:u w:val="single"/>
        </w:rPr>
        <w:t xml:space="preserve"> </w:t>
      </w:r>
      <w:r>
        <w:rPr>
          <w:sz w:val="24"/>
          <w:u w:val="single"/>
        </w:rPr>
        <w:t>202</w:t>
      </w:r>
      <w:r>
        <w:rPr>
          <w:sz w:val="24"/>
          <w:u w:val="single"/>
        </w:rPr>
        <w:t>4</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4"/>
        </w:rPr>
        <w:t xml:space="preserve">    </w:t>
      </w:r>
      <w:r>
        <w:rPr>
          <w:sz w:val="21"/>
        </w:rPr>
        <w:t xml:space="preserve">                      </w:t>
      </w:r>
      <w:r>
        <w:rPr>
          <w:sz w:val="24"/>
        </w:rPr>
        <w:t>签订地点：广州市黄埔区</w:t>
      </w:r>
      <w:r>
        <w:rPr>
          <w:sz w:val="21"/>
        </w:rPr>
        <w:t xml:space="preserve"> </w:t>
      </w:r>
    </w:p>
    <w:p>
      <w:pPr>
        <w:jc w:val="both"/>
      </w:pPr>
    </w:p>
    <w:p/>
    <w:p/>
    <w:p>
      <w:r>
        <w:rPr/>
        <w:t xml:space="preserve"> </w:t>
      </w:r>
    </w:p>
    <w:p>
      <w:pPr>
        <w:jc w:val="center"/>
      </w:pPr>
      <w:r>
        <w:rPr>
          <w:b/>
          <w:sz w:val="32"/>
        </w:rPr>
        <w:t>第二部分</w:t>
      </w:r>
      <w:r>
        <w:rPr>
          <w:b/>
          <w:sz w:val="32"/>
        </w:rPr>
        <w:t xml:space="preserve"> </w:t>
      </w:r>
      <w:r>
        <w:rPr>
          <w:b/>
          <w:sz w:val="32"/>
        </w:rPr>
        <w:t>广州开发区民营经济和企业服务局</w:t>
      </w:r>
      <w:r>
        <w:rPr>
          <w:b/>
          <w:sz w:val="32"/>
        </w:rPr>
        <w:t>202</w:t>
      </w:r>
      <w:r>
        <w:rPr>
          <w:b/>
          <w:sz w:val="32"/>
        </w:rPr>
        <w:t>4</w:t>
      </w:r>
      <w:r>
        <w:rPr>
          <w:b/>
          <w:sz w:val="32"/>
        </w:rPr>
        <w:t>年度</w:t>
      </w:r>
    </w:p>
    <w:p>
      <w:pPr>
        <w:jc w:val="center"/>
      </w:pPr>
      <w:r>
        <w:rPr>
          <w:b/>
          <w:sz w:val="32"/>
        </w:rPr>
        <w:t>重大项目集中</w:t>
      </w:r>
      <w:r>
        <w:rPr>
          <w:b/>
          <w:sz w:val="32"/>
        </w:rPr>
        <w:t>签约动工及竣工投试产</w:t>
      </w:r>
      <w:r>
        <w:rPr>
          <w:b/>
          <w:sz w:val="32"/>
        </w:rPr>
        <w:t>等活动会场设计</w:t>
      </w:r>
    </w:p>
    <w:p>
      <w:pPr>
        <w:jc w:val="center"/>
      </w:pPr>
      <w:r>
        <w:rPr>
          <w:b/>
          <w:sz w:val="32"/>
        </w:rPr>
        <w:t>及布展等服务工作项目合同标准条件</w:t>
      </w:r>
    </w:p>
    <w:p>
      <w:pPr>
        <w:ind w:firstLine="472"/>
        <w:jc w:val="both"/>
      </w:pPr>
    </w:p>
    <w:p>
      <w:pPr>
        <w:ind w:firstLine="472"/>
        <w:jc w:val="both"/>
      </w:pPr>
      <w:r>
        <w:rPr>
          <w:b/>
          <w:sz w:val="24"/>
        </w:rPr>
        <w:t>第一条　</w:t>
      </w:r>
      <w:r>
        <w:rPr>
          <w:sz w:val="24"/>
        </w:rPr>
        <w:t>下列名词和用语，除上下文另有规定外具有如下含义。</w:t>
      </w:r>
    </w:p>
    <w:p>
      <w:pPr>
        <w:ind w:firstLine="480"/>
        <w:jc w:val="both"/>
      </w:pPr>
      <w:r>
        <w:rPr>
          <w:sz w:val="24"/>
        </w:rPr>
        <w:t>1.1 “甲方”是指委托“</w:t>
      </w:r>
      <w:r>
        <w:rPr>
          <w:sz w:val="24"/>
        </w:rPr>
        <w:t>广州开发区民营经济和企业服务局</w:t>
      </w:r>
      <w:r>
        <w:rPr>
          <w:sz w:val="24"/>
        </w:rPr>
        <w:t>2024年度重大项目集中签约动工及竣工投试产等活动会场设计及布展等服务工作项目</w:t>
      </w:r>
      <w:r>
        <w:rPr>
          <w:sz w:val="24"/>
        </w:rPr>
        <w:t>”的一方，以及其合法继承人。</w:t>
      </w:r>
    </w:p>
    <w:p>
      <w:pPr>
        <w:ind w:firstLine="480"/>
        <w:jc w:val="both"/>
      </w:pPr>
      <w:r>
        <w:rPr>
          <w:sz w:val="24"/>
        </w:rPr>
        <w:t>1.2 “乙方”是指承担“</w:t>
      </w:r>
      <w:r>
        <w:rPr>
          <w:sz w:val="24"/>
        </w:rPr>
        <w:t>广州开发区民营经济和企业服务局</w:t>
      </w:r>
      <w:r>
        <w:rPr>
          <w:sz w:val="24"/>
        </w:rPr>
        <w:t>2024年度重大项目集中签约动工及竣工投试产等活动会场设计及布展等服务工作项目</w:t>
      </w:r>
      <w:r>
        <w:rPr>
          <w:sz w:val="24"/>
        </w:rPr>
        <w:t>”的一方，以及其合法继承人。</w:t>
      </w:r>
    </w:p>
    <w:p>
      <w:pPr>
        <w:ind w:firstLine="480"/>
        <w:jc w:val="both"/>
      </w:pPr>
      <w:r>
        <w:rPr>
          <w:sz w:val="24"/>
        </w:rPr>
        <w:t>1.3 "第三人"是指除甲方、乙方以外与本服务合同有关的当事人。</w:t>
      </w:r>
    </w:p>
    <w:p>
      <w:pPr>
        <w:ind w:firstLine="480"/>
        <w:jc w:val="both"/>
      </w:pPr>
      <w:r>
        <w:rPr>
          <w:sz w:val="24"/>
        </w:rPr>
        <w:t>1.4 "日"是指任何一天零时至第二天零时的时间段。</w:t>
      </w:r>
    </w:p>
    <w:p>
      <w:pPr>
        <w:ind w:firstLine="482"/>
        <w:jc w:val="both"/>
      </w:pPr>
      <w:r>
        <w:rPr>
          <w:b/>
          <w:sz w:val="24"/>
        </w:rPr>
        <w:t>第二条</w:t>
      </w:r>
      <w:r>
        <w:rPr>
          <w:sz w:val="24"/>
        </w:rPr>
        <w:t>本合同适用的是中国的法律、法规，以及专用条件中议定的部门规章、办法和规定或项目所在地的地方法规、地方规章。</w:t>
      </w:r>
    </w:p>
    <w:p>
      <w:pPr>
        <w:ind w:firstLine="482"/>
        <w:jc w:val="both"/>
      </w:pPr>
      <w:r>
        <w:rPr>
          <w:b/>
          <w:sz w:val="24"/>
        </w:rPr>
        <w:t>第三条</w:t>
      </w:r>
      <w:r>
        <w:rPr>
          <w:sz w:val="24"/>
        </w:rPr>
        <w:t>本合同的书写、解释和说明，以汉语为主导语言。当不同语言文本发生不同解释时，以汉语合同文本为准。</w:t>
      </w:r>
    </w:p>
    <w:p>
      <w:pPr>
        <w:jc w:val="center"/>
      </w:pPr>
      <w:r>
        <w:rPr>
          <w:b/>
          <w:sz w:val="24"/>
        </w:rPr>
        <w:t>双方的权利和义务</w:t>
      </w:r>
    </w:p>
    <w:p>
      <w:pPr>
        <w:ind w:firstLine="495"/>
        <w:jc w:val="both"/>
      </w:pPr>
      <w:r>
        <w:rPr>
          <w:b/>
          <w:sz w:val="24"/>
        </w:rPr>
        <w:t>第四条甲方的权利和义务</w:t>
      </w:r>
    </w:p>
    <w:p>
      <w:pPr>
        <w:ind w:firstLine="480"/>
        <w:jc w:val="both"/>
      </w:pPr>
      <w:r>
        <w:rPr>
          <w:sz w:val="24"/>
        </w:rPr>
        <w:t>4.1 甲方委托乙方作为“</w:t>
      </w:r>
      <w:r>
        <w:rPr>
          <w:sz w:val="24"/>
        </w:rPr>
        <w:t>广州开发区民营经济和企业服务局</w:t>
      </w:r>
      <w:r>
        <w:rPr>
          <w:sz w:val="24"/>
        </w:rPr>
        <w:t>2024年度重大项目集中签约动工及竣工投试产等活动会场设计及布展等服务工作项目</w:t>
      </w:r>
      <w:r>
        <w:rPr>
          <w:sz w:val="24"/>
        </w:rPr>
        <w:t>”合同履行期限内所有活动的策划、活动设计及活动执行单位。</w:t>
      </w:r>
    </w:p>
    <w:p>
      <w:pPr>
        <w:ind w:firstLine="480"/>
        <w:jc w:val="both"/>
      </w:pPr>
      <w:r>
        <w:rPr>
          <w:sz w:val="24"/>
        </w:rPr>
        <w:t>4.2 甲方根据自身的需要，应提出对每次活动委托项目的总体设计风格及制作要求。</w:t>
      </w:r>
    </w:p>
    <w:p>
      <w:pPr>
        <w:ind w:firstLine="480"/>
        <w:jc w:val="both"/>
      </w:pPr>
      <w:r>
        <w:rPr>
          <w:sz w:val="24"/>
        </w:rPr>
        <w:t>4.3 每次活动时，在甲方对乙方提交的设计方案及样稿进行定稿后，乙方须按甲方要求完成活动现场布置的制作，并于正式活动开始前在甲方指定地点完成所有物料的运输、安装、布置等，并必须保证不少于4天的安装及布置。</w:t>
      </w:r>
    </w:p>
    <w:p>
      <w:pPr>
        <w:ind w:firstLine="480"/>
        <w:jc w:val="both"/>
      </w:pPr>
      <w:r>
        <w:rPr>
          <w:sz w:val="24"/>
        </w:rPr>
        <w:t>4.4 单次活动中，甲方有权对该次活动各阶段整体设计方案提出修改意见和建议，对于乙方按照甲方修改意见修改完善后的最终设计方案应当经甲方确认后方可执行。</w:t>
      </w:r>
    </w:p>
    <w:p>
      <w:pPr>
        <w:ind w:firstLine="480"/>
        <w:jc w:val="both"/>
      </w:pPr>
      <w:r>
        <w:rPr>
          <w:sz w:val="24"/>
        </w:rPr>
        <w:t>4.5甲方在活动各阶段整体设计方案确定后，有提出局部修改完善意见的权利，乙方应配合修改完善。</w:t>
      </w:r>
    </w:p>
    <w:p>
      <w:pPr>
        <w:ind w:firstLine="480"/>
        <w:jc w:val="both"/>
      </w:pPr>
      <w:r>
        <w:rPr>
          <w:sz w:val="24"/>
        </w:rPr>
        <w:t>4.6 单次活动的各阶段工作全部完成后，甲方应按双方商定时间推进计划及时进行验收。其中，正式活动开始前彩排时视为该次活动项目一期验收，活动及所有工作结束后视为二期验收。</w:t>
      </w:r>
    </w:p>
    <w:p>
      <w:pPr>
        <w:ind w:firstLine="480"/>
        <w:jc w:val="both"/>
      </w:pPr>
      <w:r>
        <w:rPr>
          <w:sz w:val="24"/>
        </w:rPr>
        <w:t>4.7在活动举行期间甲方负责场地使用、场外市政配电用电、用水总协调，以确保活动顺利进行。</w:t>
      </w:r>
    </w:p>
    <w:p>
      <w:pPr>
        <w:ind w:firstLine="480"/>
        <w:jc w:val="both"/>
      </w:pPr>
      <w:r>
        <w:rPr>
          <w:b/>
          <w:sz w:val="24"/>
        </w:rPr>
        <w:t>第五条　乙方权利和义务</w:t>
      </w:r>
    </w:p>
    <w:p>
      <w:pPr>
        <w:ind w:firstLine="480"/>
        <w:jc w:val="both"/>
      </w:pPr>
      <w:r>
        <w:rPr>
          <w:sz w:val="24"/>
        </w:rPr>
        <w:t>5.1 乙方为甲方提供“</w:t>
      </w:r>
      <w:r>
        <w:rPr>
          <w:sz w:val="24"/>
        </w:rPr>
        <w:t>广州开发区民营经济和企业服务局</w:t>
      </w:r>
      <w:r>
        <w:rPr>
          <w:sz w:val="24"/>
        </w:rPr>
        <w:t>2024年度重大项目集中签约动工及竣工投试产等活动会场设计及布展等服务工作项目</w:t>
      </w:r>
      <w:r>
        <w:rPr>
          <w:sz w:val="24"/>
        </w:rPr>
        <w:t>”合同履行期限内所有活动的策划、活动设计及活动组织执行（含彩排）等服务。</w:t>
      </w:r>
    </w:p>
    <w:p>
      <w:pPr>
        <w:ind w:firstLine="480"/>
        <w:jc w:val="both"/>
      </w:pPr>
      <w:r>
        <w:rPr>
          <w:sz w:val="24"/>
        </w:rPr>
        <w:t>5.2 乙方根据甲方提出的每次活动总体设计风格及制作要求，按当次活动项目物料清单规定的内容，为甲方提供实物及制作方案，及实现活动成功按预期举办。</w:t>
      </w:r>
    </w:p>
    <w:p>
      <w:pPr>
        <w:ind w:firstLine="480"/>
        <w:jc w:val="both"/>
      </w:pPr>
      <w:r>
        <w:rPr>
          <w:sz w:val="24"/>
        </w:rPr>
        <w:t>5.3 乙方应对甲方提出的修正意见，在甲方发布实施、制作执行等合理时间内及时进行修改、调整。</w:t>
      </w:r>
    </w:p>
    <w:p>
      <w:pPr>
        <w:ind w:firstLine="480"/>
        <w:jc w:val="both"/>
      </w:pPr>
      <w:r>
        <w:rPr>
          <w:sz w:val="24"/>
        </w:rPr>
        <w:t>5.4 乙方在每次活动最终设计方案确认后，应严格按照设计方案和甲方确认的施工方案进行制作、安装并保证实施达到预期效果。乙方应做好物料设备的应急、预备及执行预案的准备，预备费用由乙方承担，所有预备预案以达到预期效果为目的进行准备。</w:t>
      </w:r>
    </w:p>
    <w:p>
      <w:pPr>
        <w:ind w:firstLine="480"/>
        <w:jc w:val="both"/>
      </w:pPr>
      <w:r>
        <w:rPr>
          <w:sz w:val="24"/>
        </w:rPr>
        <w:t>5.5 乙方负责每次活动期间的执行效果管控工作、协调执行统筹等工作；负责每次活动期间与执行人员的协调工作、工作进度安排、督促和实施；负责活动现场场景布置、维护、现场管理、视频音效、摄像、电力保障及服务提供等。由于乙方管理的失误或操作失当或不遵守场地管理制度而造成场地损失、器材损坏和活动效果未达预期等后果以及损失，与甲方无关，乙方应自行承担责任。</w:t>
      </w:r>
    </w:p>
    <w:p>
      <w:pPr>
        <w:ind w:firstLine="480"/>
        <w:jc w:val="both"/>
      </w:pPr>
      <w:r>
        <w:rPr>
          <w:sz w:val="24"/>
        </w:rPr>
        <w:t>5.6 乙方应保障每次整体活动及活动现场所有人员（包括但不限于双方工作人员、到场嘉宾、观众）的安全和活动效果。在进行活动物料布置安装过程和活动执行过程中所出现的一切安全事故，以及造成的经济损失和人员伤亡责任，均由乙方负责处理并承担所有法律责任。</w:t>
      </w:r>
    </w:p>
    <w:p>
      <w:pPr>
        <w:jc w:val="center"/>
      </w:pPr>
      <w:r>
        <w:rPr>
          <w:b/>
          <w:sz w:val="24"/>
        </w:rPr>
        <w:t>工作及验收</w:t>
      </w:r>
    </w:p>
    <w:p>
      <w:pPr>
        <w:ind w:firstLine="482"/>
        <w:jc w:val="both"/>
      </w:pPr>
      <w:r>
        <w:rPr>
          <w:b/>
          <w:sz w:val="24"/>
        </w:rPr>
        <w:t>第六条</w:t>
      </w:r>
      <w:r>
        <w:rPr>
          <w:sz w:val="24"/>
        </w:rPr>
        <w:t>　双方同意按照以下方式进行工作及验收：</w:t>
      </w:r>
    </w:p>
    <w:p>
      <w:pPr>
        <w:ind w:firstLine="480"/>
        <w:jc w:val="both"/>
      </w:pPr>
      <w:r>
        <w:rPr>
          <w:sz w:val="24"/>
        </w:rPr>
        <w:t>6.1 甲方应对每次活动的总体设计风格及制作要求提出口头或书面要求，如甲方无法提供此要求，将由乙方创意设计人员提供设计方案并征得甲方确认。</w:t>
      </w:r>
    </w:p>
    <w:p>
      <w:pPr>
        <w:ind w:firstLine="480"/>
        <w:jc w:val="both"/>
      </w:pPr>
      <w:r>
        <w:rPr>
          <w:sz w:val="24"/>
        </w:rPr>
        <w:t>6.2 乙方应保证工程质量、结构牢固性等指标达到行业标准及甲方规定的标准。如未达到前述标准的，乙方应承担返工及赔偿甲方由此产生的损失。</w:t>
      </w:r>
    </w:p>
    <w:p>
      <w:pPr>
        <w:ind w:firstLine="480"/>
        <w:jc w:val="both"/>
      </w:pPr>
      <w:r>
        <w:rPr>
          <w:sz w:val="24"/>
        </w:rPr>
        <w:t>6.3 乙方施工的质量要求和技术标准应符合双方共同认可的效果图、施工材质、物料的要求和效果要求，并以此作为一期、二期的验收标准（包括但不限于制作安全、牢固、美观、效果达标等等）。</w:t>
      </w:r>
    </w:p>
    <w:p>
      <w:pPr>
        <w:ind w:firstLine="480"/>
        <w:jc w:val="both"/>
      </w:pPr>
      <w:r>
        <w:rPr>
          <w:sz w:val="24"/>
        </w:rPr>
        <w:t>6.4 每次活动，甲方根据乙方的完成时间和质量以及是否达到预期效果来评判乙方的工作完成情况。验收分一期、二期。当次活动正式实施前彩排时，进行一期验收。一期验收标准如下表1。B、C类如在活动开始前完成，同视为一期达标，否则，按本合同约定承担违约责任。项目施工完毕并顺利举办后，进行二期验收。二期验收标准如下表1。乙方通知甲方进行验收时，双方应当在该次活动验收表中对各个制作的项目和执行、服务效果逐个进行验收，经验收合格，双方应当签字确认。在验收过程中发现问题，甲方应在验收表中及时填写，否则视为验收合格。如甲方对乙方服务和项目</w:t>
      </w:r>
      <w:r>
        <w:rPr>
          <w:sz w:val="24"/>
        </w:rPr>
        <w:t>有异议须在</w:t>
      </w:r>
      <w:r>
        <w:rPr>
          <w:sz w:val="24"/>
        </w:rPr>
        <w:t>48小时内以书面形式说明原因并加盖甲方公章告知乙方即为有效。</w:t>
      </w:r>
    </w:p>
    <w:tbl>
      <w:tblPr>
        <w:tblW w:w="0" w:type="auto"/>
        <w:tblBorders>
          <w:top w:val="none" w:color="000000" w:sz="4"/>
          <w:left w:val="none" w:color="000000" w:sz="4"/>
          <w:bottom w:val="none" w:color="000000" w:sz="4"/>
          <w:right w:val="none" w:color="000000" w:sz="4"/>
          <w:insideH w:val="none"/>
          <w:insideV w:val="none"/>
        </w:tblBorders>
      </w:tblPr>
      <w:tblGrid>
        <w:gridCol w:w="673"/>
        <w:gridCol w:w="1058"/>
        <w:gridCol w:w="1347"/>
        <w:gridCol w:w="1052"/>
        <w:gridCol w:w="7"/>
        <w:gridCol w:w="1261"/>
        <w:gridCol w:w="1337"/>
        <w:gridCol w:w="1010"/>
        <w:gridCol w:w="557"/>
      </w:tblGrid>
      <w:tr>
        <w:tc>
          <w:tcPr>
            <w:tcW w:type="dxa" w:w="673"/>
            <w:tcBorders>
              <w:top w:val="single" w:color="000000" w:sz="4"/>
              <w:left w:val="single" w:color="000000" w:sz="4"/>
              <w:bottom w:val="single" w:color="000000" w:sz="4"/>
              <w:right w:val="single" w:color="000000" w:sz="4"/>
            </w:tcBorders>
            <w:vAlign w:val="top"/>
          </w:tcPr>
          <w:p>
            <w:pPr>
              <w:jc w:val="center"/>
            </w:pPr>
          </w:p>
        </w:tc>
        <w:tc>
          <w:tcPr>
            <w:tcW w:type="dxa" w:w="3457"/>
            <w:gridSpan w:val="3"/>
            <w:tcBorders>
              <w:top w:val="single" w:color="000000" w:sz="4"/>
              <w:left w:val="none" w:color="000000" w:sz="4"/>
              <w:bottom w:val="single" w:color="000000" w:sz="4"/>
              <w:right w:val="single" w:color="000000" w:sz="4"/>
            </w:tcBorders>
            <w:vAlign w:val="top"/>
          </w:tcPr>
          <w:p>
            <w:pPr>
              <w:jc w:val="center"/>
            </w:pPr>
            <w:r>
              <w:rPr>
                <w:b/>
                <w:sz w:val="21"/>
              </w:rPr>
              <w:t>策划方案、物料、现场布置</w:t>
            </w:r>
          </w:p>
        </w:tc>
        <w:tc>
          <w:tcPr>
            <w:tcW w:type="dxa" w:w="3615"/>
            <w:gridSpan w:val="4"/>
            <w:tcBorders>
              <w:top w:val="single" w:color="000000" w:sz="4"/>
              <w:left w:val="none" w:color="000000" w:sz="4"/>
              <w:bottom w:val="single" w:color="000000" w:sz="4"/>
              <w:right w:val="single" w:color="000000" w:sz="4"/>
            </w:tcBorders>
            <w:vAlign w:val="top"/>
          </w:tcPr>
          <w:p>
            <w:pPr>
              <w:jc w:val="center"/>
            </w:pPr>
            <w:r>
              <w:rPr>
                <w:b/>
                <w:sz w:val="21"/>
              </w:rPr>
              <w:t>效果</w:t>
            </w:r>
          </w:p>
        </w:tc>
        <w:tc>
          <w:tcPr>
            <w:tcW w:type="dxa" w:w="557"/>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673"/>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none" w:color="000000" w:sz="4"/>
              <w:bottom w:val="single" w:color="000000" w:sz="4"/>
              <w:right w:val="single" w:color="000000" w:sz="4"/>
            </w:tcBorders>
            <w:vAlign w:val="top"/>
          </w:tcPr>
          <w:p>
            <w:pPr>
              <w:jc w:val="center"/>
            </w:pPr>
            <w:r>
              <w:rPr>
                <w:sz w:val="21"/>
              </w:rPr>
              <w:t>策划方案</w:t>
            </w:r>
          </w:p>
        </w:tc>
        <w:tc>
          <w:tcPr>
            <w:tcW w:type="dxa" w:w="1347"/>
            <w:tcBorders>
              <w:top w:val="none" w:color="000000" w:sz="4"/>
              <w:left w:val="none" w:color="000000" w:sz="4"/>
              <w:bottom w:val="single" w:color="000000" w:sz="4"/>
              <w:right w:val="single" w:color="000000" w:sz="4"/>
            </w:tcBorders>
            <w:vAlign w:val="top"/>
          </w:tcPr>
          <w:p>
            <w:pPr>
              <w:jc w:val="center"/>
            </w:pPr>
            <w:r>
              <w:rPr>
                <w:sz w:val="21"/>
              </w:rPr>
              <w:t>物料设备准备</w:t>
            </w:r>
          </w:p>
        </w:tc>
        <w:tc>
          <w:tcPr>
            <w:tcW w:type="dxa" w:w="1059"/>
            <w:gridSpan w:val="2"/>
            <w:tcBorders>
              <w:top w:val="none" w:color="000000" w:sz="4"/>
              <w:left w:val="none" w:color="000000" w:sz="4"/>
              <w:bottom w:val="single" w:color="000000" w:sz="4"/>
              <w:right w:val="single" w:color="000000" w:sz="4"/>
            </w:tcBorders>
            <w:vAlign w:val="top"/>
          </w:tcPr>
          <w:p>
            <w:pPr>
              <w:jc w:val="center"/>
            </w:pPr>
            <w:r>
              <w:rPr>
                <w:sz w:val="21"/>
              </w:rPr>
              <w:t>现场布置</w:t>
            </w:r>
          </w:p>
        </w:tc>
        <w:tc>
          <w:tcPr>
            <w:tcW w:type="dxa" w:w="1261"/>
            <w:tcBorders>
              <w:top w:val="single" w:color="000000" w:sz="4"/>
              <w:left w:val="none" w:color="000000" w:sz="4"/>
              <w:bottom w:val="single" w:color="000000" w:sz="4"/>
              <w:right w:val="single" w:color="000000" w:sz="4"/>
            </w:tcBorders>
            <w:vAlign w:val="top"/>
          </w:tcPr>
          <w:p>
            <w:pPr>
              <w:jc w:val="center"/>
            </w:pPr>
            <w:r>
              <w:rPr>
                <w:sz w:val="21"/>
              </w:rPr>
              <w:t>组织效果</w:t>
            </w:r>
          </w:p>
        </w:tc>
        <w:tc>
          <w:tcPr>
            <w:tcW w:type="dxa" w:w="1337"/>
            <w:tcBorders>
              <w:top w:val="single" w:color="000000" w:sz="4"/>
              <w:left w:val="none" w:color="000000" w:sz="4"/>
              <w:bottom w:val="single" w:color="000000" w:sz="4"/>
              <w:right w:val="single" w:color="000000" w:sz="4"/>
            </w:tcBorders>
            <w:vAlign w:val="top"/>
          </w:tcPr>
          <w:p>
            <w:pPr>
              <w:jc w:val="center"/>
            </w:pPr>
            <w:r>
              <w:rPr>
                <w:sz w:val="21"/>
              </w:rPr>
              <w:t>服务效果</w:t>
            </w:r>
          </w:p>
        </w:tc>
        <w:tc>
          <w:tcPr>
            <w:tcW w:type="dxa" w:w="1010"/>
            <w:tcBorders>
              <w:top w:val="single" w:color="000000" w:sz="4"/>
              <w:left w:val="none" w:color="000000" w:sz="4"/>
              <w:bottom w:val="single" w:color="000000" w:sz="4"/>
              <w:right w:val="single" w:color="000000" w:sz="4"/>
            </w:tcBorders>
            <w:vAlign w:val="top"/>
          </w:tcPr>
          <w:p>
            <w:pPr>
              <w:jc w:val="center"/>
            </w:pPr>
            <w:r>
              <w:rPr>
                <w:sz w:val="21"/>
              </w:rPr>
              <w:t>活动效果</w:t>
            </w:r>
          </w:p>
        </w:tc>
        <w:tc>
          <w:tcPr>
            <w:tcW w:type="dxa" w:w="557"/>
            <w:tcBorders>
              <w:top w:val="single" w:color="000000" w:sz="4"/>
              <w:left w:val="none" w:color="000000" w:sz="4"/>
              <w:bottom w:val="single" w:color="000000" w:sz="4"/>
              <w:right w:val="single" w:color="000000" w:sz="4"/>
            </w:tcBorders>
            <w:vAlign w:val="top"/>
          </w:tcPr>
          <w:p>
            <w:pPr>
              <w:jc w:val="center"/>
            </w:pPr>
          </w:p>
        </w:tc>
      </w:tr>
      <w:tr>
        <w:tc>
          <w:tcPr>
            <w:tcW w:type="dxa" w:w="673"/>
            <w:tcBorders>
              <w:top w:val="none" w:color="000000" w:sz="4"/>
              <w:left w:val="single" w:color="000000" w:sz="4"/>
              <w:bottom w:val="single" w:color="000000" w:sz="4"/>
              <w:right w:val="single" w:color="000000" w:sz="4"/>
            </w:tcBorders>
            <w:vAlign w:val="top"/>
          </w:tcPr>
          <w:p>
            <w:pPr>
              <w:jc w:val="both"/>
            </w:pPr>
            <w:r>
              <w:rPr>
                <w:sz w:val="21"/>
              </w:rPr>
              <w:t>达标：</w:t>
            </w:r>
            <w:r>
              <w:rPr>
                <w:sz w:val="21"/>
              </w:rPr>
              <w:t>A档</w:t>
            </w:r>
          </w:p>
        </w:tc>
        <w:tc>
          <w:tcPr>
            <w:tcW w:type="dxa" w:w="1058"/>
            <w:tcBorders>
              <w:top w:val="none" w:color="000000" w:sz="4"/>
              <w:left w:val="none" w:color="000000" w:sz="4"/>
              <w:bottom w:val="single" w:color="000000" w:sz="4"/>
              <w:right w:val="single" w:color="000000" w:sz="4"/>
            </w:tcBorders>
            <w:vAlign w:val="top"/>
          </w:tcPr>
          <w:p>
            <w:pPr>
              <w:jc w:val="center"/>
            </w:pPr>
            <w:r>
              <w:rPr>
                <w:sz w:val="21"/>
              </w:rPr>
              <w:t>各项设计、策划方案等达到主办方要求效果；能发挥专业特长，根据总效果要求设计出实际效果佳的方案</w:t>
            </w:r>
          </w:p>
        </w:tc>
        <w:tc>
          <w:tcPr>
            <w:tcW w:type="dxa" w:w="1347"/>
            <w:tcBorders>
              <w:top w:val="none" w:color="000000" w:sz="4"/>
              <w:left w:val="none" w:color="000000" w:sz="4"/>
              <w:bottom w:val="single" w:color="000000" w:sz="4"/>
              <w:right w:val="single" w:color="000000" w:sz="4"/>
            </w:tcBorders>
            <w:vAlign w:val="top"/>
          </w:tcPr>
          <w:p>
            <w:pPr>
              <w:jc w:val="center"/>
            </w:pPr>
            <w:r>
              <w:rPr>
                <w:sz w:val="21"/>
              </w:rPr>
              <w:t>物料按活动需求准备，数量充足，质量优质达标；关键性设备有备用设备，如音箱、麦克风、电力输送设备、视频画面等，能应对突发情况</w:t>
            </w:r>
          </w:p>
        </w:tc>
        <w:tc>
          <w:tcPr>
            <w:tcW w:type="dxa" w:w="1059"/>
            <w:gridSpan w:val="2"/>
            <w:tcBorders>
              <w:top w:val="none" w:color="000000" w:sz="4"/>
              <w:left w:val="none" w:color="000000" w:sz="4"/>
              <w:bottom w:val="single" w:color="000000" w:sz="4"/>
              <w:right w:val="single" w:color="000000" w:sz="4"/>
            </w:tcBorders>
            <w:vAlign w:val="top"/>
          </w:tcPr>
          <w:p>
            <w:pPr>
              <w:jc w:val="center"/>
            </w:pPr>
            <w:r>
              <w:rPr>
                <w:sz w:val="21"/>
              </w:rPr>
              <w:t>布置按照确定的方案执行无偏差，对可能的外界影响能够进行加固、扩充、增强等保证现场效果的布置。</w:t>
            </w:r>
          </w:p>
        </w:tc>
        <w:tc>
          <w:tcPr>
            <w:tcW w:type="dxa" w:w="1261"/>
            <w:tcBorders>
              <w:top w:val="none" w:color="000000" w:sz="4"/>
              <w:left w:val="none" w:color="000000" w:sz="4"/>
              <w:bottom w:val="single" w:color="000000" w:sz="4"/>
              <w:right w:val="single" w:color="000000" w:sz="4"/>
            </w:tcBorders>
            <w:vAlign w:val="top"/>
          </w:tcPr>
          <w:p>
            <w:pPr>
              <w:jc w:val="center"/>
            </w:pPr>
            <w:r>
              <w:rPr>
                <w:sz w:val="21"/>
              </w:rPr>
              <w:t>对风、雨、电以及物料安全等能做预见性安排，有整体应急预案，组织安排有序，安全保障，顺利应对突发情况</w:t>
            </w:r>
          </w:p>
        </w:tc>
        <w:tc>
          <w:tcPr>
            <w:tcW w:type="dxa" w:w="1337"/>
            <w:tcBorders>
              <w:top w:val="none" w:color="000000" w:sz="4"/>
              <w:left w:val="none" w:color="000000" w:sz="4"/>
              <w:bottom w:val="single" w:color="000000" w:sz="4"/>
              <w:right w:val="single" w:color="000000" w:sz="4"/>
            </w:tcBorders>
            <w:vAlign w:val="top"/>
          </w:tcPr>
          <w:p>
            <w:pPr>
              <w:jc w:val="center"/>
            </w:pPr>
            <w:r>
              <w:rPr>
                <w:sz w:val="21"/>
              </w:rPr>
              <w:t>态度诚恳，随叫随到，能耐心完成主办方及各方的多次要求及调整需求，对临时紧急调整能保质保量完成，完成主办方满意的需求及效果</w:t>
            </w:r>
          </w:p>
        </w:tc>
        <w:tc>
          <w:tcPr>
            <w:tcW w:type="dxa" w:w="1010"/>
            <w:tcBorders>
              <w:top w:val="none" w:color="000000" w:sz="4"/>
              <w:left w:val="none" w:color="000000" w:sz="4"/>
              <w:bottom w:val="single" w:color="000000" w:sz="4"/>
              <w:right w:val="single" w:color="000000" w:sz="4"/>
            </w:tcBorders>
            <w:vAlign w:val="top"/>
          </w:tcPr>
          <w:p>
            <w:pPr>
              <w:jc w:val="center"/>
            </w:pPr>
            <w:r>
              <w:rPr>
                <w:sz w:val="21"/>
              </w:rPr>
              <w:t>活动现场图文、音、像、视效果及直播、展示效果佳，实现较好的宣传等效果，达到主办方预期效果</w:t>
            </w:r>
          </w:p>
        </w:tc>
        <w:tc>
          <w:tcPr>
            <w:tcW w:type="dxa" w:w="557"/>
            <w:tcBorders>
              <w:top w:val="none" w:color="000000" w:sz="4"/>
              <w:left w:val="none" w:color="000000" w:sz="4"/>
              <w:bottom w:val="single" w:color="000000" w:sz="4"/>
              <w:right w:val="single" w:color="000000" w:sz="4"/>
            </w:tcBorders>
            <w:vAlign w:val="top"/>
          </w:tcPr>
          <w:p>
            <w:pPr>
              <w:jc w:val="center"/>
            </w:pPr>
          </w:p>
        </w:tc>
      </w:tr>
      <w:tr>
        <w:tc>
          <w:tcPr>
            <w:tcW w:type="dxa" w:w="673"/>
            <w:tcBorders>
              <w:top w:val="none" w:color="000000" w:sz="4"/>
              <w:left w:val="single" w:color="000000" w:sz="4"/>
              <w:bottom w:val="single" w:color="000000" w:sz="4"/>
              <w:right w:val="single" w:color="000000" w:sz="4"/>
            </w:tcBorders>
            <w:vAlign w:val="top"/>
          </w:tcPr>
          <w:p>
            <w:pPr>
              <w:jc w:val="center"/>
            </w:pPr>
            <w:r>
              <w:rPr>
                <w:sz w:val="21"/>
              </w:rPr>
              <w:t>80%达标：B档</w:t>
            </w:r>
          </w:p>
        </w:tc>
        <w:tc>
          <w:tcPr>
            <w:tcW w:type="dxa" w:w="1058"/>
            <w:tcBorders>
              <w:top w:val="none" w:color="000000" w:sz="4"/>
              <w:left w:val="none" w:color="000000" w:sz="4"/>
              <w:bottom w:val="single" w:color="000000" w:sz="4"/>
              <w:right w:val="single" w:color="000000" w:sz="4"/>
            </w:tcBorders>
            <w:vAlign w:val="top"/>
          </w:tcPr>
          <w:p>
            <w:pPr>
              <w:jc w:val="center"/>
            </w:pPr>
            <w:r>
              <w:rPr>
                <w:sz w:val="21"/>
              </w:rPr>
              <w:t>A档标准的80%达标</w:t>
            </w:r>
          </w:p>
        </w:tc>
        <w:tc>
          <w:tcPr>
            <w:tcW w:type="dxa" w:w="1347"/>
            <w:tcBorders>
              <w:top w:val="none" w:color="000000" w:sz="4"/>
              <w:left w:val="none" w:color="000000" w:sz="4"/>
              <w:bottom w:val="single" w:color="000000" w:sz="4"/>
              <w:right w:val="single" w:color="000000" w:sz="4"/>
            </w:tcBorders>
            <w:vAlign w:val="top"/>
          </w:tcPr>
          <w:p>
            <w:pPr>
              <w:jc w:val="center"/>
            </w:pPr>
            <w:r>
              <w:rPr>
                <w:sz w:val="21"/>
              </w:rPr>
              <w:t>A档标准的80%达标</w:t>
            </w:r>
          </w:p>
        </w:tc>
        <w:tc>
          <w:tcPr>
            <w:tcW w:type="dxa" w:w="1059"/>
            <w:gridSpan w:val="2"/>
            <w:tcBorders>
              <w:top w:val="none" w:color="000000" w:sz="4"/>
              <w:left w:val="none" w:color="000000" w:sz="4"/>
              <w:bottom w:val="single" w:color="000000" w:sz="4"/>
              <w:right w:val="single" w:color="000000" w:sz="4"/>
            </w:tcBorders>
            <w:vAlign w:val="top"/>
          </w:tcPr>
          <w:p>
            <w:pPr>
              <w:jc w:val="center"/>
            </w:pPr>
            <w:r>
              <w:rPr>
                <w:sz w:val="21"/>
              </w:rPr>
              <w:t>A档标准的80%达标</w:t>
            </w:r>
          </w:p>
        </w:tc>
        <w:tc>
          <w:tcPr>
            <w:tcW w:type="dxa" w:w="1261"/>
            <w:tcBorders>
              <w:top w:val="none" w:color="000000" w:sz="4"/>
              <w:left w:val="none" w:color="000000" w:sz="4"/>
              <w:bottom w:val="single" w:color="000000" w:sz="4"/>
              <w:right w:val="single" w:color="000000" w:sz="4"/>
            </w:tcBorders>
            <w:vAlign w:val="top"/>
          </w:tcPr>
          <w:p>
            <w:pPr>
              <w:jc w:val="center"/>
            </w:pPr>
            <w:r>
              <w:rPr>
                <w:sz w:val="21"/>
              </w:rPr>
              <w:t>A档标准的80%达标</w:t>
            </w:r>
          </w:p>
        </w:tc>
        <w:tc>
          <w:tcPr>
            <w:tcW w:type="dxa" w:w="1337"/>
            <w:tcBorders>
              <w:top w:val="none" w:color="000000" w:sz="4"/>
              <w:left w:val="none" w:color="000000" w:sz="4"/>
              <w:bottom w:val="single" w:color="000000" w:sz="4"/>
              <w:right w:val="single" w:color="000000" w:sz="4"/>
            </w:tcBorders>
            <w:vAlign w:val="top"/>
          </w:tcPr>
          <w:p>
            <w:pPr>
              <w:jc w:val="center"/>
            </w:pPr>
            <w:r>
              <w:rPr>
                <w:sz w:val="21"/>
              </w:rPr>
              <w:t>A档标准的80%达标</w:t>
            </w:r>
          </w:p>
        </w:tc>
        <w:tc>
          <w:tcPr>
            <w:tcW w:type="dxa" w:w="1010"/>
            <w:tcBorders>
              <w:top w:val="none" w:color="000000" w:sz="4"/>
              <w:left w:val="none" w:color="000000" w:sz="4"/>
              <w:bottom w:val="single" w:color="000000" w:sz="4"/>
              <w:right w:val="single" w:color="000000" w:sz="4"/>
            </w:tcBorders>
            <w:vAlign w:val="top"/>
          </w:tcPr>
          <w:p>
            <w:pPr>
              <w:jc w:val="center"/>
            </w:pPr>
            <w:r>
              <w:rPr>
                <w:sz w:val="21"/>
              </w:rPr>
              <w:t>A档标准的80%达标</w:t>
            </w:r>
          </w:p>
        </w:tc>
        <w:tc>
          <w:tcPr>
            <w:tcW w:type="dxa" w:w="557"/>
            <w:tcBorders>
              <w:top w:val="none" w:color="000000" w:sz="4"/>
              <w:left w:val="none" w:color="000000" w:sz="4"/>
              <w:bottom w:val="single" w:color="000000" w:sz="4"/>
              <w:right w:val="single" w:color="000000" w:sz="4"/>
            </w:tcBorders>
            <w:vAlign w:val="top"/>
          </w:tcPr>
          <w:p>
            <w:pPr>
              <w:jc w:val="center"/>
            </w:pPr>
          </w:p>
        </w:tc>
      </w:tr>
      <w:tr>
        <w:tc>
          <w:tcPr>
            <w:tcW w:type="dxa" w:w="673"/>
            <w:tcBorders>
              <w:top w:val="none" w:color="000000" w:sz="4"/>
              <w:left w:val="single" w:color="000000" w:sz="4"/>
              <w:bottom w:val="single" w:color="000000" w:sz="4"/>
              <w:right w:val="single" w:color="000000" w:sz="4"/>
            </w:tcBorders>
            <w:vAlign w:val="top"/>
          </w:tcPr>
          <w:p>
            <w:pPr>
              <w:jc w:val="center"/>
            </w:pPr>
            <w:r>
              <w:rPr>
                <w:sz w:val="21"/>
              </w:rPr>
              <w:t>未达标：</w:t>
            </w:r>
            <w:r>
              <w:rPr>
                <w:sz w:val="21"/>
              </w:rPr>
              <w:t>C档</w:t>
            </w:r>
          </w:p>
        </w:tc>
        <w:tc>
          <w:tcPr>
            <w:tcW w:type="dxa" w:w="1058"/>
            <w:tcBorders>
              <w:top w:val="none" w:color="000000" w:sz="4"/>
              <w:left w:val="none" w:color="000000" w:sz="4"/>
              <w:bottom w:val="single" w:color="000000" w:sz="4"/>
              <w:right w:val="single" w:color="000000" w:sz="4"/>
            </w:tcBorders>
            <w:vAlign w:val="top"/>
          </w:tcPr>
          <w:p>
            <w:pPr>
              <w:jc w:val="center"/>
            </w:pPr>
            <w:r>
              <w:rPr>
                <w:sz w:val="21"/>
              </w:rPr>
              <w:t>未达效果，主办方不满意</w:t>
            </w:r>
          </w:p>
        </w:tc>
        <w:tc>
          <w:tcPr>
            <w:tcW w:type="dxa" w:w="1347"/>
            <w:tcBorders>
              <w:top w:val="none" w:color="000000" w:sz="4"/>
              <w:left w:val="none" w:color="000000" w:sz="4"/>
              <w:bottom w:val="single" w:color="000000" w:sz="4"/>
              <w:right w:val="single" w:color="000000" w:sz="4"/>
            </w:tcBorders>
            <w:vAlign w:val="top"/>
          </w:tcPr>
          <w:p>
            <w:pPr>
              <w:jc w:val="center"/>
            </w:pPr>
            <w:r>
              <w:rPr>
                <w:sz w:val="21"/>
              </w:rPr>
              <w:t>缺损严重，质量差，并对活动产生不良影响、造成严重后果</w:t>
            </w:r>
          </w:p>
        </w:tc>
        <w:tc>
          <w:tcPr>
            <w:tcW w:type="dxa" w:w="1052"/>
            <w:tcBorders>
              <w:top w:val="none" w:color="000000" w:sz="4"/>
              <w:left w:val="none" w:color="000000" w:sz="4"/>
              <w:bottom w:val="single" w:color="000000" w:sz="4"/>
              <w:right w:val="single" w:color="000000" w:sz="4"/>
            </w:tcBorders>
            <w:vAlign w:val="top"/>
          </w:tcPr>
          <w:p>
            <w:pPr>
              <w:jc w:val="center"/>
            </w:pPr>
            <w:r>
              <w:rPr>
                <w:sz w:val="21"/>
              </w:rPr>
              <w:t>未达效果，主办方完全不满意</w:t>
            </w:r>
          </w:p>
        </w:tc>
        <w:tc>
          <w:tcPr>
            <w:tcW w:type="dxa" w:w="1268"/>
            <w:gridSpan w:val="2"/>
            <w:tcBorders>
              <w:top w:val="none" w:color="000000" w:sz="4"/>
              <w:left w:val="none" w:color="000000" w:sz="4"/>
              <w:bottom w:val="single" w:color="000000" w:sz="4"/>
              <w:right w:val="single" w:color="000000" w:sz="4"/>
            </w:tcBorders>
            <w:vAlign w:val="top"/>
          </w:tcPr>
          <w:p>
            <w:pPr>
              <w:jc w:val="center"/>
            </w:pPr>
            <w:r>
              <w:rPr>
                <w:sz w:val="21"/>
              </w:rPr>
              <w:t>组织混乱无序，无应急措施，发生安全问题，现场活动出现故障，紧急情况应对不利</w:t>
            </w:r>
          </w:p>
        </w:tc>
        <w:tc>
          <w:tcPr>
            <w:tcW w:type="dxa" w:w="1337"/>
            <w:tcBorders>
              <w:top w:val="none" w:color="000000" w:sz="4"/>
              <w:left w:val="none" w:color="000000" w:sz="4"/>
              <w:bottom w:val="single" w:color="000000" w:sz="4"/>
              <w:right w:val="single" w:color="000000" w:sz="4"/>
            </w:tcBorders>
            <w:vAlign w:val="top"/>
          </w:tcPr>
          <w:p>
            <w:pPr>
              <w:jc w:val="center"/>
            </w:pPr>
            <w:r>
              <w:rPr>
                <w:sz w:val="21"/>
              </w:rPr>
              <w:t>未能提供优质高效和有诚意的服务，屡次调整仍达不到预期效果，主办方完全不满意</w:t>
            </w:r>
          </w:p>
        </w:tc>
        <w:tc>
          <w:tcPr>
            <w:tcW w:type="dxa" w:w="1010"/>
            <w:tcBorders>
              <w:top w:val="none" w:color="000000" w:sz="4"/>
              <w:left w:val="none" w:color="000000" w:sz="4"/>
              <w:bottom w:val="single" w:color="000000" w:sz="4"/>
              <w:right w:val="single" w:color="000000" w:sz="4"/>
            </w:tcBorders>
            <w:vAlign w:val="top"/>
          </w:tcPr>
          <w:p>
            <w:pPr>
              <w:jc w:val="center"/>
            </w:pPr>
            <w:r>
              <w:rPr>
                <w:sz w:val="21"/>
              </w:rPr>
              <w:t>未能成功举办，主办方完全不满意</w:t>
            </w:r>
          </w:p>
        </w:tc>
        <w:tc>
          <w:tcPr>
            <w:tcW w:type="dxa" w:w="557"/>
            <w:tcBorders>
              <w:top w:val="none" w:color="000000" w:sz="4"/>
              <w:left w:val="none" w:color="000000" w:sz="4"/>
              <w:bottom w:val="single" w:color="000000" w:sz="4"/>
              <w:right w:val="single" w:color="000000" w:sz="4"/>
            </w:tcBorders>
            <w:vAlign w:val="top"/>
          </w:tcPr>
          <w:p>
            <w:pPr>
              <w:jc w:val="center"/>
            </w:pPr>
          </w:p>
        </w:tc>
      </w:tr>
    </w:tbl>
    <w:p>
      <w:pPr>
        <w:ind w:firstLine="480"/>
        <w:jc w:val="both"/>
      </w:pPr>
      <w:r>
        <w:rPr>
          <w:sz w:val="24"/>
        </w:rPr>
        <w:t>6.5 单次活动中，如甲方无故超过第二期验收期</w:t>
      </w:r>
      <w:r>
        <w:rPr>
          <w:color w:val="0000FF"/>
          <w:sz w:val="24"/>
        </w:rPr>
        <w:t>7</w:t>
      </w:r>
      <w:r>
        <w:rPr>
          <w:color w:val="0000FF"/>
          <w:sz w:val="24"/>
        </w:rPr>
        <w:t>日</w:t>
      </w:r>
      <w:r>
        <w:rPr>
          <w:sz w:val="24"/>
        </w:rPr>
        <w:t>未验收，乙方催告通知送达后，甲方应于两个工作日内安排验收或提出异议，否则视为甲方默认该次活动验收合格。</w:t>
      </w:r>
    </w:p>
    <w:p>
      <w:pPr>
        <w:ind w:firstLine="480"/>
        <w:jc w:val="both"/>
      </w:pPr>
      <w:r>
        <w:rPr>
          <w:sz w:val="24"/>
        </w:rPr>
        <w:t>6.6 在本项目的制作、设置、安装过程中，乙方必须严格按规范的劳动操作规范进行生产和安装，如因乙方原因造成劳动安全事故或质量事故的，由乙方全部负责，均与甲方无关。如甲方因此承担法律责任，则最终的赔偿、补偿和处理等所有责任由乙方承担。</w:t>
      </w:r>
    </w:p>
    <w:p>
      <w:pPr>
        <w:jc w:val="center"/>
      </w:pPr>
      <w:r>
        <w:rPr>
          <w:b/>
          <w:sz w:val="24"/>
        </w:rPr>
        <w:t>知识产权约定</w:t>
      </w:r>
    </w:p>
    <w:p>
      <w:pPr>
        <w:ind w:firstLine="480"/>
        <w:jc w:val="both"/>
      </w:pPr>
      <w:r>
        <w:rPr>
          <w:b/>
          <w:sz w:val="24"/>
        </w:rPr>
        <w:t>第七条　</w:t>
      </w:r>
      <w:r>
        <w:rPr>
          <w:sz w:val="24"/>
        </w:rPr>
        <w:t>甲方将委托项目中单次活动的所有费用结算完毕后，与本项目该次活动相关的素材、设计方案、宣传文稿、图片等文件、资料、音像、视频的著作权归甲方所有。乙方任何时候都不得将本项目的设计方案用于任何第三方，也不得将本项目的设计以乙方的名义对外展示与推广。乙方违反本条约定，甲方可解除本合同。乙方造成侵权的，甲方保留一定追究的权利。</w:t>
      </w:r>
    </w:p>
    <w:p>
      <w:pPr>
        <w:jc w:val="center"/>
      </w:pPr>
      <w:r>
        <w:rPr>
          <w:b/>
          <w:sz w:val="24"/>
        </w:rPr>
        <w:t>违约责任</w:t>
      </w:r>
    </w:p>
    <w:p>
      <w:pPr>
        <w:ind w:firstLine="480"/>
        <w:jc w:val="both"/>
      </w:pPr>
      <w:r>
        <w:rPr>
          <w:b/>
          <w:sz w:val="24"/>
        </w:rPr>
        <w:t>第八条</w:t>
      </w:r>
      <w:r>
        <w:rPr>
          <w:sz w:val="24"/>
        </w:rPr>
        <w:t>　双方同意以下条款：</w:t>
      </w:r>
    </w:p>
    <w:p>
      <w:pPr>
        <w:ind w:firstLine="480"/>
        <w:jc w:val="both"/>
      </w:pPr>
      <w:r>
        <w:rPr>
          <w:sz w:val="24"/>
        </w:rPr>
        <w:t>8.1 若甲方无故终止本合同或延误造成乙方经济损失的，对于乙方已下单制作物料的费用及相关不可变更或取消的演艺费用和租赁费用给予合理承担。若乙方违约或中途终止合同或延误造成甲方经济损失的，甲方有权单方终止本合同，乙方已收取款项须退回给甲方，同时应由乙方按本当次活动应付金额的10%承担违约责任，并赔偿由此造成甲方的损失。</w:t>
      </w:r>
    </w:p>
    <w:p>
      <w:pPr>
        <w:ind w:firstLine="480"/>
        <w:jc w:val="both"/>
      </w:pPr>
      <w:r>
        <w:rPr>
          <w:sz w:val="24"/>
        </w:rPr>
        <w:t>8.2 如因甲方原因造成活动施工进度的延误，责任由甲方承担，并支付乙方由此产生的合理支出。如因乙方原因造成活动施工进度的延误，甲方应提出整改要求，乙方需在甲方提出整改要求的两个工作日内重新向甲方确认施工进度。如因乙方原因延误工期而造成甲方活动延误的，由乙方按本当次活动应付金额的10%承担违约责任，并赔偿由此造成甲方的损失。</w:t>
      </w:r>
    </w:p>
    <w:p>
      <w:pPr>
        <w:ind w:firstLine="480"/>
        <w:jc w:val="both"/>
      </w:pPr>
      <w:r>
        <w:rPr>
          <w:sz w:val="24"/>
        </w:rPr>
        <w:t>8.3 合同一旦签订，双方严格按合同要求执行，若在验收达标的情况下甲方原因未能按合同约定支付项目款项，乙方有权要求甲方在一定期限内支付，若甲方在指定合理期限内仍不支付，乙方有权要求甲方按逾期未付金额日万分之五向乙方支付违约金，违约金总额不超过本次活动应付金额的百分之一。</w:t>
      </w:r>
    </w:p>
    <w:p>
      <w:pPr>
        <w:ind w:firstLine="480"/>
        <w:jc w:val="both"/>
      </w:pPr>
      <w:r>
        <w:rPr>
          <w:sz w:val="24"/>
        </w:rPr>
        <w:t>8.4 甲方有权因乙方迟延履行或交付质量未达标、验收未达标而扣减本当次活动应付款项，同时有权按照情况要求乙方支付违约金。如乙方在履行本协议约定义务时，活动出现质量问题，甲方有权利进行减款扣款。一期、二期验收都达标，甲方按照本合同约定对单次活动费用总额的100%进行支付，如出现未达标情况，甲方可按照当次应付金额或各项目金额进行扣款并可向乙方主张违约金，比例具体见下表2。</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177"/>
        <w:gridCol w:w="1468"/>
        <w:gridCol w:w="923"/>
        <w:gridCol w:w="959"/>
        <w:gridCol w:w="216"/>
        <w:gridCol w:w="881"/>
        <w:gridCol w:w="1039"/>
        <w:gridCol w:w="996"/>
        <w:gridCol w:w="645"/>
      </w:tblGrid>
      <w:tr>
        <w:tc>
          <w:tcPr>
            <w:tcW w:type="dxa" w:w="1177"/>
            <w:tcBorders>
              <w:top w:val="single" w:color="000000" w:sz="4"/>
              <w:left w:val="single" w:color="000000" w:sz="4"/>
              <w:bottom w:val="single" w:color="000000" w:sz="4"/>
              <w:right w:val="single" w:color="000000" w:sz="4"/>
            </w:tcBorders>
            <w:vAlign w:val="top"/>
          </w:tcPr>
          <w:p>
            <w:pPr>
              <w:jc w:val="center"/>
            </w:pPr>
          </w:p>
        </w:tc>
        <w:tc>
          <w:tcPr>
            <w:tcW w:type="dxa" w:w="3350"/>
            <w:gridSpan w:val="3"/>
            <w:tcBorders>
              <w:top w:val="single" w:color="000000" w:sz="4"/>
              <w:left w:val="none" w:color="000000" w:sz="4"/>
              <w:bottom w:val="single" w:color="000000" w:sz="4"/>
              <w:right w:val="single" w:color="000000" w:sz="4"/>
            </w:tcBorders>
            <w:vAlign w:val="top"/>
          </w:tcPr>
          <w:p>
            <w:pPr>
              <w:jc w:val="center"/>
            </w:pPr>
            <w:r>
              <w:rPr>
                <w:b/>
                <w:sz w:val="21"/>
              </w:rPr>
              <w:t>按当次活动费用总金额计扣款比例</w:t>
            </w:r>
          </w:p>
        </w:tc>
        <w:tc>
          <w:tcPr>
            <w:tcW w:type="dxa" w:w="216"/>
            <w:vMerge w:val="restart"/>
            <w:tcBorders>
              <w:top w:val="single" w:color="000000" w:sz="4"/>
              <w:left w:val="none" w:color="000000" w:sz="4"/>
              <w:bottom w:val="none" w:color="000000" w:sz="4"/>
              <w:right w:val="single" w:color="000000" w:sz="4"/>
            </w:tcBorders>
            <w:vAlign w:val="top"/>
          </w:tcPr>
          <w:p>
            <w:pPr>
              <w:jc w:val="center"/>
            </w:pPr>
          </w:p>
        </w:tc>
        <w:tc>
          <w:tcPr>
            <w:tcW w:type="dxa" w:w="2916"/>
            <w:gridSpan w:val="3"/>
            <w:tcBorders>
              <w:top w:val="single" w:color="000000" w:sz="4"/>
              <w:left w:val="none" w:color="000000" w:sz="4"/>
              <w:bottom w:val="single" w:color="000000" w:sz="4"/>
              <w:right w:val="single" w:color="000000" w:sz="4"/>
            </w:tcBorders>
            <w:vAlign w:val="top"/>
          </w:tcPr>
          <w:p>
            <w:pPr>
              <w:jc w:val="center"/>
            </w:pPr>
            <w:r>
              <w:rPr>
                <w:b/>
                <w:sz w:val="21"/>
              </w:rPr>
              <w:t>按各项目金额计违约金比例</w:t>
            </w:r>
          </w:p>
        </w:tc>
        <w:tc>
          <w:tcPr>
            <w:tcW w:type="dxa" w:w="645"/>
            <w:tcBorders>
              <w:top w:val="single" w:color="000000" w:sz="4"/>
              <w:left w:val="none" w:color="000000" w:sz="4"/>
              <w:bottom w:val="none" w:color="000000" w:sz="4"/>
              <w:right w:val="single" w:color="000000" w:sz="4"/>
            </w:tcBorders>
            <w:vAlign w:val="top"/>
          </w:tcPr>
          <w:p>
            <w:pPr>
              <w:jc w:val="center"/>
            </w:pPr>
            <w:r>
              <w:rPr>
                <w:b/>
                <w:sz w:val="21"/>
              </w:rPr>
              <w:t>备注</w:t>
            </w:r>
          </w:p>
        </w:tc>
      </w:tr>
      <w:tr>
        <w:tc>
          <w:tcPr>
            <w:tcW w:type="dxa" w:w="1177"/>
            <w:tcBorders>
              <w:top w:val="none" w:color="000000" w:sz="4"/>
              <w:left w:val="single" w:color="000000" w:sz="4"/>
              <w:bottom w:val="single" w:color="000000" w:sz="4"/>
              <w:right w:val="single" w:color="000000" w:sz="4"/>
            </w:tcBorders>
            <w:vAlign w:val="top"/>
          </w:tcPr>
          <w:p>
            <w:pPr>
              <w:jc w:val="center"/>
            </w:pPr>
          </w:p>
        </w:tc>
        <w:tc>
          <w:tcPr>
            <w:tcW w:type="dxa" w:w="1468"/>
            <w:tcBorders>
              <w:top w:val="none" w:color="000000" w:sz="4"/>
              <w:left w:val="none" w:color="000000" w:sz="4"/>
              <w:bottom w:val="single" w:color="000000" w:sz="4"/>
              <w:right w:val="single" w:color="000000" w:sz="4"/>
            </w:tcBorders>
            <w:vAlign w:val="top"/>
          </w:tcPr>
          <w:p>
            <w:pPr>
              <w:jc w:val="center"/>
            </w:pPr>
            <w:r>
              <w:rPr>
                <w:sz w:val="21"/>
              </w:rPr>
              <w:t>达标</w:t>
            </w:r>
          </w:p>
        </w:tc>
        <w:tc>
          <w:tcPr>
            <w:tcW w:type="dxa" w:w="923"/>
            <w:tcBorders>
              <w:top w:val="single" w:color="000000" w:sz="4"/>
              <w:left w:val="none" w:color="000000" w:sz="4"/>
              <w:bottom w:val="single" w:color="000000" w:sz="4"/>
              <w:right w:val="single" w:color="000000" w:sz="4"/>
            </w:tcBorders>
            <w:vAlign w:val="top"/>
          </w:tcPr>
          <w:p>
            <w:pPr>
              <w:jc w:val="center"/>
            </w:pPr>
            <w:r>
              <w:rPr>
                <w:sz w:val="21"/>
              </w:rPr>
              <w:t>80%达标</w:t>
            </w:r>
          </w:p>
        </w:tc>
        <w:tc>
          <w:tcPr>
            <w:tcW w:type="dxa" w:w="959"/>
            <w:tcBorders>
              <w:top w:val="none" w:color="000000" w:sz="4"/>
              <w:left w:val="none" w:color="000000" w:sz="4"/>
              <w:bottom w:val="single" w:color="000000" w:sz="4"/>
              <w:right w:val="single" w:color="000000" w:sz="4"/>
            </w:tcBorders>
            <w:vAlign w:val="top"/>
          </w:tcPr>
          <w:p>
            <w:pPr>
              <w:jc w:val="center"/>
            </w:pPr>
            <w:r>
              <w:rPr>
                <w:sz w:val="21"/>
              </w:rPr>
              <w:t>未达标</w:t>
            </w:r>
          </w:p>
        </w:tc>
        <w:tc>
          <w:tcPr>
            <w:tcW w:type="dxa" w:w="216"/>
            <w:vMerge/>
            <w:tcBorders>
              <w:top w:val="single" w:color="000000" w:sz="4"/>
              <w:left w:val="none" w:color="000000" w:sz="4"/>
              <w:bottom w:val="none" w:color="000000" w:sz="4"/>
              <w:right w:val="single" w:color="000000" w:sz="4"/>
            </w:tcBorders>
          </w:tcPr>
          <w:p/>
        </w:tc>
        <w:tc>
          <w:tcPr>
            <w:tcW w:type="dxa" w:w="881"/>
            <w:tcBorders>
              <w:top w:val="single" w:color="000000" w:sz="4"/>
              <w:left w:val="none" w:color="000000" w:sz="4"/>
              <w:bottom w:val="single" w:color="000000" w:sz="4"/>
              <w:right w:val="single" w:color="000000" w:sz="4"/>
            </w:tcBorders>
            <w:vAlign w:val="top"/>
          </w:tcPr>
          <w:p>
            <w:pPr>
              <w:jc w:val="center"/>
            </w:pPr>
            <w:r>
              <w:rPr>
                <w:sz w:val="21"/>
              </w:rPr>
              <w:t>达标</w:t>
            </w:r>
          </w:p>
        </w:tc>
        <w:tc>
          <w:tcPr>
            <w:tcW w:type="dxa" w:w="1039"/>
            <w:tcBorders>
              <w:top w:val="single" w:color="000000" w:sz="4"/>
              <w:left w:val="none" w:color="000000" w:sz="4"/>
              <w:bottom w:val="single" w:color="000000" w:sz="4"/>
              <w:right w:val="single" w:color="000000" w:sz="4"/>
            </w:tcBorders>
            <w:vAlign w:val="top"/>
          </w:tcPr>
          <w:p>
            <w:pPr>
              <w:jc w:val="center"/>
            </w:pPr>
            <w:r>
              <w:rPr>
                <w:sz w:val="21"/>
              </w:rPr>
              <w:t>80%达标</w:t>
            </w:r>
          </w:p>
        </w:tc>
        <w:tc>
          <w:tcPr>
            <w:tcW w:type="dxa" w:w="996"/>
            <w:tcBorders>
              <w:top w:val="single" w:color="000000" w:sz="4"/>
              <w:left w:val="none" w:color="000000" w:sz="4"/>
              <w:bottom w:val="single" w:color="000000" w:sz="4"/>
              <w:right w:val="single" w:color="000000" w:sz="4"/>
            </w:tcBorders>
            <w:vAlign w:val="top"/>
          </w:tcPr>
          <w:p>
            <w:pPr>
              <w:jc w:val="center"/>
            </w:pPr>
            <w:r>
              <w:rPr>
                <w:sz w:val="21"/>
              </w:rPr>
              <w:t>未达标</w:t>
            </w:r>
          </w:p>
        </w:tc>
        <w:tc>
          <w:tcPr>
            <w:tcW w:type="dxa" w:w="645"/>
            <w:tcBorders>
              <w:top w:val="single" w:color="000000" w:sz="4"/>
              <w:left w:val="none" w:color="000000" w:sz="4"/>
              <w:bottom w:val="single" w:color="000000" w:sz="4"/>
              <w:right w:val="single" w:color="000000" w:sz="4"/>
            </w:tcBorders>
            <w:vAlign w:val="top"/>
          </w:tcPr>
          <w:p>
            <w:pPr>
              <w:jc w:val="center"/>
            </w:pP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一期验收</w:t>
            </w:r>
          </w:p>
        </w:tc>
        <w:tc>
          <w:tcPr>
            <w:tcW w:type="dxa" w:w="1468"/>
            <w:tcBorders>
              <w:top w:val="none" w:color="000000" w:sz="4"/>
              <w:left w:val="none" w:color="000000" w:sz="4"/>
              <w:bottom w:val="single" w:color="000000" w:sz="4"/>
              <w:right w:val="single" w:color="000000" w:sz="4"/>
            </w:tcBorders>
            <w:vAlign w:val="top"/>
          </w:tcPr>
          <w:p>
            <w:pPr>
              <w:jc w:val="center"/>
            </w:pPr>
            <w:r>
              <w:rPr>
                <w:sz w:val="21"/>
              </w:rPr>
              <w:t>0</w:t>
            </w:r>
          </w:p>
        </w:tc>
        <w:tc>
          <w:tcPr>
            <w:tcW w:type="dxa" w:w="923"/>
            <w:tcBorders>
              <w:top w:val="none" w:color="000000" w:sz="4"/>
              <w:left w:val="none" w:color="000000" w:sz="4"/>
              <w:bottom w:val="single" w:color="000000" w:sz="4"/>
              <w:right w:val="single" w:color="000000" w:sz="4"/>
            </w:tcBorders>
            <w:vAlign w:val="top"/>
          </w:tcPr>
          <w:p>
            <w:pPr>
              <w:jc w:val="center"/>
            </w:pPr>
            <w:r>
              <w:rPr>
                <w:sz w:val="21"/>
              </w:rPr>
              <w:t>——</w:t>
            </w:r>
          </w:p>
        </w:tc>
        <w:tc>
          <w:tcPr>
            <w:tcW w:type="dxa" w:w="9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216"/>
            <w:vMerge/>
            <w:tcBorders>
              <w:top w:val="single" w:color="000000" w:sz="4"/>
              <w:left w:val="none" w:color="000000" w:sz="4"/>
              <w:bottom w:val="none" w:color="000000" w:sz="4"/>
              <w:right w:val="single" w:color="000000" w:sz="4"/>
            </w:tcBorders>
          </w:tcPr>
          <w:p/>
        </w:tc>
        <w:tc>
          <w:tcPr>
            <w:tcW w:type="dxa" w:w="881"/>
            <w:tcBorders>
              <w:top w:val="none" w:color="000000" w:sz="4"/>
              <w:left w:val="none" w:color="000000" w:sz="4"/>
              <w:bottom w:val="single" w:color="000000" w:sz="4"/>
              <w:right w:val="single" w:color="000000" w:sz="4"/>
            </w:tcBorders>
            <w:vAlign w:val="top"/>
          </w:tcPr>
          <w:p>
            <w:pPr>
              <w:jc w:val="center"/>
            </w:pPr>
            <w:r>
              <w:rPr>
                <w:sz w:val="21"/>
              </w:rPr>
              <w:t>——</w:t>
            </w:r>
          </w:p>
        </w:tc>
        <w:tc>
          <w:tcPr>
            <w:tcW w:type="dxa" w:w="1039"/>
            <w:tcBorders>
              <w:top w:val="none" w:color="000000" w:sz="4"/>
              <w:left w:val="none" w:color="000000" w:sz="4"/>
              <w:bottom w:val="single" w:color="000000" w:sz="4"/>
              <w:right w:val="single" w:color="000000" w:sz="4"/>
            </w:tcBorders>
            <w:vAlign w:val="top"/>
          </w:tcPr>
          <w:p>
            <w:pPr>
              <w:jc w:val="center"/>
            </w:pPr>
            <w:r>
              <w:rPr>
                <w:sz w:val="21"/>
              </w:rPr>
              <w:t>5%</w:t>
            </w:r>
          </w:p>
        </w:tc>
        <w:tc>
          <w:tcPr>
            <w:tcW w:type="dxa" w:w="996"/>
            <w:tcBorders>
              <w:top w:val="none" w:color="000000" w:sz="4"/>
              <w:left w:val="none" w:color="000000" w:sz="4"/>
              <w:bottom w:val="single" w:color="000000" w:sz="4"/>
              <w:right w:val="single" w:color="000000" w:sz="4"/>
            </w:tcBorders>
            <w:vAlign w:val="top"/>
          </w:tcPr>
          <w:p>
            <w:pPr>
              <w:jc w:val="center"/>
            </w:pPr>
            <w:r>
              <w:rPr>
                <w:sz w:val="21"/>
              </w:rPr>
              <w:t>10%</w:t>
            </w:r>
          </w:p>
        </w:tc>
        <w:tc>
          <w:tcPr>
            <w:tcW w:type="dxa" w:w="645"/>
            <w:tcBorders>
              <w:top w:val="none" w:color="000000" w:sz="4"/>
              <w:left w:val="none" w:color="000000" w:sz="4"/>
              <w:bottom w:val="single" w:color="000000" w:sz="4"/>
              <w:right w:val="single" w:color="000000" w:sz="4"/>
            </w:tcBorders>
            <w:vAlign w:val="top"/>
          </w:tcPr>
          <w:p>
            <w:pPr>
              <w:jc w:val="center"/>
            </w:pP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二期验收</w:t>
            </w:r>
          </w:p>
        </w:tc>
        <w:tc>
          <w:tcPr>
            <w:tcW w:type="dxa" w:w="1468"/>
            <w:tcBorders>
              <w:top w:val="none" w:color="000000" w:sz="4"/>
              <w:left w:val="none" w:color="000000" w:sz="4"/>
              <w:bottom w:val="single" w:color="000000" w:sz="4"/>
              <w:right w:val="single" w:color="000000" w:sz="4"/>
            </w:tcBorders>
            <w:vAlign w:val="top"/>
          </w:tcPr>
          <w:p>
            <w:pPr>
              <w:jc w:val="center"/>
            </w:pPr>
            <w:r>
              <w:rPr>
                <w:sz w:val="21"/>
              </w:rPr>
              <w:t>0</w:t>
            </w:r>
          </w:p>
        </w:tc>
        <w:tc>
          <w:tcPr>
            <w:tcW w:type="dxa" w:w="923"/>
            <w:tcBorders>
              <w:top w:val="none" w:color="000000" w:sz="4"/>
              <w:left w:val="none" w:color="000000" w:sz="4"/>
              <w:bottom w:val="single" w:color="000000" w:sz="4"/>
              <w:right w:val="single" w:color="000000" w:sz="4"/>
            </w:tcBorders>
            <w:vAlign w:val="top"/>
          </w:tcPr>
          <w:p>
            <w:pPr>
              <w:jc w:val="center"/>
            </w:pPr>
            <w:r>
              <w:rPr>
                <w:sz w:val="21"/>
              </w:rPr>
              <w:t>20%</w:t>
            </w:r>
          </w:p>
        </w:tc>
        <w:tc>
          <w:tcPr>
            <w:tcW w:type="dxa" w:w="959"/>
            <w:tcBorders>
              <w:top w:val="none" w:color="000000" w:sz="4"/>
              <w:left w:val="none" w:color="000000" w:sz="4"/>
              <w:bottom w:val="single" w:color="000000" w:sz="4"/>
              <w:right w:val="single" w:color="000000" w:sz="4"/>
            </w:tcBorders>
            <w:vAlign w:val="top"/>
          </w:tcPr>
          <w:p>
            <w:pPr>
              <w:jc w:val="center"/>
            </w:pPr>
            <w:r>
              <w:rPr>
                <w:sz w:val="21"/>
              </w:rPr>
              <w:t>70%</w:t>
            </w:r>
          </w:p>
        </w:tc>
        <w:tc>
          <w:tcPr>
            <w:tcW w:type="dxa" w:w="216"/>
            <w:vMerge/>
            <w:tcBorders>
              <w:top w:val="single" w:color="000000" w:sz="4"/>
              <w:left w:val="none" w:color="000000" w:sz="4"/>
              <w:bottom w:val="none" w:color="000000" w:sz="4"/>
              <w:right w:val="single" w:color="000000" w:sz="4"/>
            </w:tcBorders>
          </w:tcPr>
          <w:p/>
        </w:tc>
        <w:tc>
          <w:tcPr>
            <w:tcW w:type="dxa" w:w="881"/>
            <w:tcBorders>
              <w:top w:val="none" w:color="000000" w:sz="4"/>
              <w:left w:val="none" w:color="000000" w:sz="4"/>
              <w:bottom w:val="single" w:color="000000" w:sz="4"/>
              <w:right w:val="single" w:color="000000" w:sz="4"/>
            </w:tcBorders>
            <w:vAlign w:val="top"/>
          </w:tcPr>
          <w:p>
            <w:pPr>
              <w:jc w:val="center"/>
            </w:pPr>
            <w:r>
              <w:rPr>
                <w:sz w:val="21"/>
              </w:rPr>
              <w:t>0</w:t>
            </w:r>
          </w:p>
        </w:tc>
        <w:tc>
          <w:tcPr>
            <w:tcW w:type="dxa" w:w="1039"/>
            <w:tcBorders>
              <w:top w:val="none" w:color="000000" w:sz="4"/>
              <w:left w:val="none" w:color="000000" w:sz="4"/>
              <w:bottom w:val="single" w:color="000000" w:sz="4"/>
              <w:right w:val="single" w:color="000000" w:sz="4"/>
            </w:tcBorders>
            <w:vAlign w:val="top"/>
          </w:tcPr>
          <w:p>
            <w:pPr>
              <w:jc w:val="center"/>
            </w:pPr>
            <w:r>
              <w:rPr>
                <w:sz w:val="21"/>
              </w:rPr>
              <w:t>15%</w:t>
            </w:r>
          </w:p>
        </w:tc>
        <w:tc>
          <w:tcPr>
            <w:tcW w:type="dxa" w:w="996"/>
            <w:tcBorders>
              <w:top w:val="none" w:color="000000" w:sz="4"/>
              <w:left w:val="none" w:color="000000" w:sz="4"/>
              <w:bottom w:val="single" w:color="000000" w:sz="4"/>
              <w:right w:val="single" w:color="000000" w:sz="4"/>
            </w:tcBorders>
            <w:vAlign w:val="top"/>
          </w:tcPr>
          <w:p>
            <w:pPr>
              <w:jc w:val="center"/>
            </w:pPr>
            <w:r>
              <w:rPr>
                <w:sz w:val="21"/>
              </w:rPr>
              <w:t>30%</w:t>
            </w:r>
          </w:p>
        </w:tc>
        <w:tc>
          <w:tcPr>
            <w:tcW w:type="dxa" w:w="645"/>
            <w:tcBorders>
              <w:top w:val="none" w:color="000000" w:sz="4"/>
              <w:left w:val="none" w:color="000000" w:sz="4"/>
              <w:bottom w:val="single" w:color="000000" w:sz="4"/>
              <w:right w:val="single" w:color="000000" w:sz="4"/>
            </w:tcBorders>
            <w:vAlign w:val="top"/>
          </w:tcPr>
          <w:p>
            <w:pPr>
              <w:jc w:val="center"/>
            </w:pPr>
          </w:p>
        </w:tc>
      </w:tr>
    </w:tbl>
    <w:p>
      <w:r>
        <w:rPr/>
        <w:t xml:space="preserve"> </w:t>
      </w:r>
    </w:p>
    <w:p>
      <w:pPr>
        <w:jc w:val="center"/>
      </w:pPr>
      <w:r>
        <w:rPr>
          <w:sz w:val="24"/>
        </w:rPr>
        <w:t>表</w:t>
      </w:r>
      <w:r>
        <w:rPr>
          <w:sz w:val="24"/>
        </w:rPr>
        <w:t>2</w:t>
      </w:r>
    </w:p>
    <w:p>
      <w:pPr>
        <w:ind w:firstLine="480"/>
        <w:jc w:val="both"/>
      </w:pPr>
      <w:r>
        <w:rPr>
          <w:sz w:val="24"/>
        </w:rPr>
        <w:t>8.5 单次活动中一期验收中出现未达标，如在该次活动前达到效果并最终通过二期验收的，经甲方确认后可免、减扣款及违约金；如仍未达标，按上述约定计算方法确定应扣减金额和违约金金额。</w:t>
      </w:r>
    </w:p>
    <w:p>
      <w:pPr>
        <w:ind w:firstLine="480"/>
        <w:jc w:val="both"/>
      </w:pPr>
      <w:r>
        <w:rPr>
          <w:sz w:val="24"/>
        </w:rPr>
        <w:t>8.6 若乙方违反本合同工作及验收的相关约定，甲方有权向乙方主张合同当次活动应付金额的三分之一作为违约金。</w:t>
      </w:r>
    </w:p>
    <w:p>
      <w:pPr>
        <w:ind w:firstLine="480"/>
        <w:jc w:val="both"/>
      </w:pPr>
      <w:r>
        <w:rPr>
          <w:sz w:val="24"/>
        </w:rPr>
        <w:t>8.7 如因乙方原因在活动开始前1天告知甲方不能承接此次活动，甲方无需再支付本合同款项，乙方应按照该次活动预算金额的30%支付违约金，造成甲方其他损失的，乙方还应予以赔偿。</w:t>
      </w:r>
    </w:p>
    <w:p>
      <w:pPr>
        <w:ind w:firstLine="480"/>
        <w:jc w:val="both"/>
      </w:pPr>
      <w:r>
        <w:rPr>
          <w:sz w:val="24"/>
        </w:rPr>
        <w:t>8.8 如因乙方原因造成当天活动不能按预期效果举行，甲方有权利对乙方按合同当次活动应付金额70%以内扣款，并有权向乙方主张合同当次活动应付金额5%的违约金。</w:t>
      </w:r>
    </w:p>
    <w:p>
      <w:pPr>
        <w:ind w:firstLine="480"/>
        <w:jc w:val="both"/>
      </w:pPr>
      <w:r>
        <w:rPr>
          <w:sz w:val="24"/>
        </w:rPr>
        <w:t>8.9 如因乙方原因造成当天活动不能举行，甲方无需再支付本合同款项，乙方应按照合同当次活动应付金额的30%支付违约金，造成甲方其他损失的，乙方还应予以赔偿。</w:t>
      </w:r>
    </w:p>
    <w:p>
      <w:pPr>
        <w:jc w:val="center"/>
      </w:pPr>
      <w:r>
        <w:rPr>
          <w:b/>
          <w:sz w:val="24"/>
        </w:rPr>
        <w:t>保密责任</w:t>
      </w:r>
    </w:p>
    <w:p>
      <w:pPr>
        <w:jc w:val="both"/>
      </w:pPr>
      <w:r>
        <w:rPr>
          <w:b/>
          <w:sz w:val="24"/>
        </w:rPr>
        <w:t>　第九条</w:t>
      </w:r>
      <w:r>
        <w:rPr>
          <w:sz w:val="24"/>
        </w:rPr>
        <w:t>　本协议履行过程中，协议双方及双方人员对在履行协议过程中获知的对方的工作秘密、经营运行情况、经济数据、工作计划、企业信息文件资料、生产技术、设施设备情况以及其它工作和企业、商业秘密信息等负有保密责任。未得到对方的书面同意，不得将上述信息透露给第三方。若因一方过错导致泄密的，另一方有权追究过错方承担相应的法律责任并赔偿由此带来的经济等损失。本保密条款即使在合同终止后仍持续有效，双方仍有保密和不泄露对方保密信息的义务。</w:t>
      </w:r>
    </w:p>
    <w:p>
      <w:pPr>
        <w:jc w:val="center"/>
      </w:pPr>
      <w:r>
        <w:rPr>
          <w:b/>
          <w:sz w:val="24"/>
        </w:rPr>
        <w:t>免责条款</w:t>
      </w:r>
    </w:p>
    <w:p>
      <w:pPr>
        <w:ind w:firstLine="480"/>
        <w:jc w:val="both"/>
      </w:pPr>
      <w:r>
        <w:rPr>
          <w:b/>
          <w:sz w:val="24"/>
        </w:rPr>
        <w:t>第十条</w:t>
      </w:r>
    </w:p>
    <w:p>
      <w:pPr>
        <w:ind w:firstLine="480"/>
        <w:jc w:val="both"/>
      </w:pPr>
      <w:r>
        <w:rPr>
          <w:sz w:val="24"/>
        </w:rPr>
        <w:t>10.1 在本合同有效期内，因不可抗力而造成一方不能履行合同规定的责任和义务时，不应视作该方违约。不可抗力系指：战争、自然原因引起的火灾或水灾、地震、台风及其他不能预见、不能避免且不能克服的客观情况。</w:t>
      </w:r>
    </w:p>
    <w:p>
      <w:pPr>
        <w:ind w:firstLine="480"/>
        <w:jc w:val="both"/>
      </w:pPr>
      <w:r>
        <w:rPr>
          <w:sz w:val="24"/>
        </w:rPr>
        <w:t>10.2 如甲方未能在规定时间内提供乙方所需要的有关基础资料，或未在规定时间内对乙方提交的设计方案提出明确修改意见，由此造成工作时间延误之责任由甲方承担。</w:t>
      </w:r>
    </w:p>
    <w:p>
      <w:pPr>
        <w:jc w:val="center"/>
      </w:pPr>
      <w:r>
        <w:rPr>
          <w:b/>
          <w:sz w:val="24"/>
        </w:rPr>
        <w:t>合同之变更、解除事宜</w:t>
      </w:r>
    </w:p>
    <w:p>
      <w:pPr>
        <w:ind w:firstLine="480"/>
        <w:jc w:val="both"/>
      </w:pPr>
      <w:r>
        <w:rPr>
          <w:b/>
          <w:sz w:val="24"/>
        </w:rPr>
        <w:t>第十一条</w:t>
      </w:r>
    </w:p>
    <w:p>
      <w:pPr>
        <w:ind w:firstLine="480"/>
        <w:jc w:val="both"/>
      </w:pPr>
      <w:r>
        <w:rPr>
          <w:sz w:val="24"/>
        </w:rPr>
        <w:t>11.1 双方均应履行本合同的全部条款，对本合同任何条款、内容之修改、变更和补充，须由甲方与乙方双方共同订立书面协议方生效。</w:t>
      </w:r>
    </w:p>
    <w:p>
      <w:pPr>
        <w:ind w:firstLine="480"/>
        <w:jc w:val="both"/>
      </w:pPr>
      <w:r>
        <w:rPr>
          <w:sz w:val="24"/>
        </w:rPr>
        <w:t>11.2 甲乙双方经协商同意，可以解除本合同。</w:t>
      </w:r>
    </w:p>
    <w:p>
      <w:pPr>
        <w:jc w:val="center"/>
      </w:pPr>
      <w:r>
        <w:rPr>
          <w:b/>
          <w:sz w:val="24"/>
        </w:rPr>
        <w:t>争议的解决</w:t>
      </w:r>
    </w:p>
    <w:p>
      <w:pPr>
        <w:ind w:firstLine="480"/>
        <w:jc w:val="both"/>
      </w:pPr>
      <w:r>
        <w:rPr>
          <w:b/>
          <w:sz w:val="24"/>
        </w:rPr>
        <w:t>第十二条</w:t>
      </w:r>
    </w:p>
    <w:p>
      <w:pPr>
        <w:ind w:firstLine="480"/>
        <w:jc w:val="both"/>
      </w:pPr>
      <w:r>
        <w:rPr>
          <w:sz w:val="24"/>
        </w:rPr>
        <w:t>12.1 本合同适用《中华人民共和国民法典》等法律法规。</w:t>
      </w:r>
    </w:p>
    <w:p>
      <w:pPr>
        <w:ind w:firstLine="480"/>
        <w:jc w:val="both"/>
      </w:pPr>
      <w:r>
        <w:rPr>
          <w:sz w:val="24"/>
        </w:rPr>
        <w:t>12.2 甲乙双方如果发生争议，应当友好协商解决。如协商不成，任何一方均可依法向项目所在地的人民法院起诉。</w:t>
      </w:r>
    </w:p>
    <w:p>
      <w:pPr>
        <w:jc w:val="center"/>
      </w:pPr>
      <w:r>
        <w:rPr>
          <w:b/>
          <w:sz w:val="24"/>
        </w:rPr>
        <w:t>通知和送达</w:t>
      </w:r>
    </w:p>
    <w:p>
      <w:pPr>
        <w:jc w:val="both"/>
      </w:pPr>
      <w:r>
        <w:rPr>
          <w:b/>
          <w:sz w:val="24"/>
        </w:rPr>
        <w:t>　　第十三条</w:t>
      </w:r>
      <w:r>
        <w:rPr>
          <w:sz w:val="24"/>
        </w:rPr>
        <w:t>　甲乙双方因履行本合同而相互发出或者提供的所有通知、文件、资料，均以本合同所列明的地址送达，一方如果迁址或者变更电话，应当在发生变更后三天内书面通知对方，否则变更方应对此造成的一切后果承担责任。</w:t>
      </w:r>
    </w:p>
    <w:p>
      <w:pPr>
        <w:jc w:val="center"/>
      </w:pPr>
      <w:r>
        <w:rPr>
          <w:b/>
          <w:sz w:val="24"/>
        </w:rPr>
        <w:t>单次活动费用支付方式</w:t>
      </w:r>
    </w:p>
    <w:p>
      <w:pPr>
        <w:ind w:firstLine="480"/>
        <w:jc w:val="both"/>
      </w:pPr>
      <w:r>
        <w:rPr>
          <w:b/>
          <w:sz w:val="24"/>
        </w:rPr>
        <w:t>第十四条</w:t>
      </w:r>
      <w:r>
        <w:rPr>
          <w:b/>
          <w:sz w:val="21"/>
        </w:rPr>
        <w:t xml:space="preserve"> </w:t>
      </w:r>
    </w:p>
    <w:p>
      <w:pPr>
        <w:ind w:firstLine="480"/>
        <w:jc w:val="both"/>
      </w:pPr>
      <w:r>
        <w:rPr>
          <w:sz w:val="24"/>
        </w:rPr>
        <w:t>14.1在单次活动结束并验收通过后支付,乙方应向甲方开具等额有效的发票，否则甲方有权拒绝支付上述合同款项。甲方在验收合格和收到有效发票后，15日内支付当次活动结算价款。如有违约，双方按本合同承担违约责任。</w:t>
      </w:r>
    </w:p>
    <w:p>
      <w:pPr>
        <w:ind w:firstLine="480"/>
        <w:jc w:val="both"/>
      </w:pPr>
      <w:r>
        <w:rPr>
          <w:sz w:val="24"/>
        </w:rPr>
        <w:t>14.2单次活动费用据实结算，单次活动结算金额=会场布展所需产品（服务）单价*数量*中标折扣。</w:t>
      </w:r>
    </w:p>
    <w:p>
      <w:pPr>
        <w:ind w:firstLine="482"/>
        <w:jc w:val="both"/>
      </w:pPr>
      <w:r>
        <w:rPr>
          <w:b/>
          <w:sz w:val="24"/>
        </w:rPr>
        <w:t>第十五条</w:t>
      </w:r>
      <w:r>
        <w:rPr>
          <w:b/>
          <w:sz w:val="21"/>
        </w:rPr>
        <w:t xml:space="preserve"> </w:t>
      </w:r>
      <w:r>
        <w:rPr>
          <w:sz w:val="24"/>
        </w:rPr>
        <w:t>付款方式</w:t>
      </w:r>
    </w:p>
    <w:p>
      <w:pPr>
        <w:jc w:val="both"/>
      </w:pPr>
      <w:r>
        <w:rPr>
          <w:sz w:val="24"/>
        </w:rPr>
        <w:t xml:space="preserve">   </w:t>
      </w:r>
      <w:r>
        <w:rPr>
          <w:sz w:val="24"/>
        </w:rPr>
        <w:t>甲方所有款项的支付采取银行转账的方式直接转入乙方指定的有效银行账户。</w:t>
      </w:r>
    </w:p>
    <w:p>
      <w:pPr>
        <w:jc w:val="both"/>
      </w:pPr>
      <w:r>
        <w:rPr>
          <w:sz w:val="24"/>
        </w:rPr>
        <w:t>乙方指定账户：</w:t>
      </w:r>
    </w:p>
    <w:p>
      <w:pPr>
        <w:jc w:val="both"/>
      </w:pPr>
      <w:r>
        <w:rPr>
          <w:sz w:val="24"/>
        </w:rPr>
        <w:t>公司名称：</w:t>
      </w:r>
    </w:p>
    <w:p>
      <w:pPr>
        <w:jc w:val="both"/>
      </w:pPr>
      <w:r>
        <w:rPr>
          <w:sz w:val="24"/>
        </w:rPr>
        <w:t>账</w:t>
      </w:r>
      <w:r>
        <w:rPr>
          <w:sz w:val="24"/>
        </w:rPr>
        <w:t xml:space="preserve">  </w:t>
      </w:r>
      <w:r>
        <w:rPr>
          <w:sz w:val="24"/>
        </w:rPr>
        <w:t>号：</w:t>
      </w:r>
    </w:p>
    <w:p>
      <w:pPr>
        <w:jc w:val="both"/>
      </w:pPr>
      <w:r>
        <w:rPr>
          <w:sz w:val="24"/>
        </w:rPr>
        <w:t>开户行：</w:t>
      </w:r>
    </w:p>
    <w:p>
      <w:pPr>
        <w:jc w:val="both"/>
      </w:pPr>
      <w:r>
        <w:rPr>
          <w:sz w:val="24"/>
        </w:rPr>
        <w:t xml:space="preserve">    </w:t>
      </w:r>
      <w:r>
        <w:rPr>
          <w:sz w:val="24"/>
        </w:rPr>
        <w:t>如无特殊要求，乙方每次请款时须向甲方提供国家税务机关认可的增值税发票，否则甲方有权拒绝付款。</w:t>
      </w:r>
    </w:p>
    <w:p>
      <w:pPr>
        <w:jc w:val="left"/>
      </w:pPr>
      <w:r>
        <w:rPr>
          <w:sz w:val="21"/>
        </w:rPr>
        <w:t xml:space="preserve"> </w:t>
      </w:r>
    </w:p>
    <w:p>
      <w:pPr>
        <w:jc w:val="both"/>
      </w:pPr>
    </w:p>
    <w:p/>
    <w:p/>
    <w:p>
      <w:r>
        <w:rPr/>
        <w:t xml:space="preserve"> </w:t>
      </w:r>
    </w:p>
    <w:p>
      <w:pPr>
        <w:jc w:val="center"/>
      </w:pPr>
      <w:r>
        <w:rPr>
          <w:b/>
          <w:sz w:val="32"/>
        </w:rPr>
        <w:t>第三部分</w:t>
      </w:r>
      <w:r>
        <w:rPr>
          <w:b/>
          <w:sz w:val="32"/>
        </w:rPr>
        <w:t>广州开发区民营经济和企业服务局</w:t>
      </w:r>
      <w:r>
        <w:rPr>
          <w:b/>
          <w:sz w:val="32"/>
        </w:rPr>
        <w:t>2024年度重大项目</w:t>
      </w:r>
    </w:p>
    <w:p>
      <w:pPr>
        <w:jc w:val="center"/>
      </w:pPr>
      <w:r>
        <w:rPr>
          <w:b/>
          <w:sz w:val="32"/>
        </w:rPr>
        <w:t>集中签约动工及竣工投试产等活动会场设计</w:t>
      </w:r>
    </w:p>
    <w:p>
      <w:pPr>
        <w:jc w:val="center"/>
      </w:pPr>
      <w:r>
        <w:rPr>
          <w:b/>
          <w:sz w:val="32"/>
        </w:rPr>
        <w:t>及布展等服务工作项目</w:t>
      </w:r>
      <w:r>
        <w:rPr>
          <w:b/>
          <w:sz w:val="32"/>
        </w:rPr>
        <w:t>合同专用条件</w:t>
      </w:r>
    </w:p>
    <w:p>
      <w:pPr>
        <w:ind w:firstLine="540"/>
        <w:jc w:val="both"/>
      </w:pPr>
      <w:r>
        <w:rPr>
          <w:b/>
          <w:sz w:val="24"/>
        </w:rPr>
        <w:t>第一条</w:t>
      </w:r>
      <w:r>
        <w:rPr>
          <w:sz w:val="24"/>
        </w:rPr>
        <w:t xml:space="preserve"> </w:t>
      </w:r>
      <w:r>
        <w:rPr>
          <w:sz w:val="24"/>
        </w:rPr>
        <w:t>乙方在每次收到甲方动工活动举行时间、地点的通知后，应按照甲方要求，在合理时间内向甲方提供包括该次活动策划、费用预算在内的相关文件。</w:t>
      </w:r>
    </w:p>
    <w:p>
      <w:pPr>
        <w:ind w:firstLine="482"/>
        <w:jc w:val="both"/>
      </w:pPr>
      <w:r>
        <w:rPr>
          <w:b/>
          <w:sz w:val="24"/>
        </w:rPr>
        <w:t>第二条</w:t>
      </w:r>
      <w:r>
        <w:rPr>
          <w:sz w:val="24"/>
        </w:rPr>
        <w:t>甲方在收到乙方单次活动策划、费用预算在内的相关文件后，应在合理时间内提出意见或进行确定。相关文件经甲方认可后，方可开展下一步工作。</w:t>
      </w:r>
    </w:p>
    <w:p>
      <w:pPr>
        <w:ind w:firstLine="480"/>
        <w:jc w:val="both"/>
      </w:pPr>
      <w:r>
        <w:rPr>
          <w:b/>
          <w:sz w:val="24"/>
        </w:rPr>
        <w:t>第三条</w:t>
      </w:r>
      <w:r>
        <w:rPr>
          <w:sz w:val="24"/>
        </w:rPr>
        <w:t>　乙方需协助甲方完成</w:t>
      </w:r>
      <w:r>
        <w:rPr>
          <w:sz w:val="24"/>
        </w:rPr>
        <w:t>2次重大项目动工活动、投试产活动或全区性集中签约动工活动、项目封顶活动、投试产活动等筹建相关活动（本项目下包含多次活动举办工作，活动次数可能因工作安排有所调整，最终具体次数以实际为准），单次活动费用据实结算（单次活动结算金额=会场布展所需产品（服务）单价*数量*中标折扣），项目结算总金额不得超过预算金额。</w:t>
      </w:r>
    </w:p>
    <w:p>
      <w:pPr>
        <w:ind w:firstLine="480"/>
        <w:jc w:val="both"/>
      </w:pPr>
      <w:r>
        <w:rPr>
          <w:b/>
          <w:sz w:val="24"/>
        </w:rPr>
        <w:t>第四条</w:t>
      </w:r>
      <w:r>
        <w:rPr>
          <w:sz w:val="24"/>
        </w:rPr>
        <w:t xml:space="preserve"> </w:t>
      </w:r>
      <w:r>
        <w:rPr>
          <w:sz w:val="24"/>
        </w:rPr>
        <w:t>乙方承接本项目下所有活动费用预算总额应不超过</w:t>
      </w:r>
      <w:r>
        <w:rPr>
          <w:sz w:val="24"/>
        </w:rPr>
        <w:t>18</w:t>
      </w:r>
      <w:r>
        <w:rPr>
          <w:sz w:val="24"/>
        </w:rPr>
        <w:t>0万元，若实际结算费用总额超过</w:t>
      </w:r>
      <w:r>
        <w:rPr>
          <w:sz w:val="24"/>
        </w:rPr>
        <w:t>18</w:t>
      </w:r>
      <w:r>
        <w:rPr>
          <w:sz w:val="24"/>
        </w:rPr>
        <w:t>0万元，则活动费用以</w:t>
      </w:r>
      <w:r>
        <w:rPr>
          <w:sz w:val="24"/>
        </w:rPr>
        <w:t>18</w:t>
      </w:r>
      <w:r>
        <w:rPr>
          <w:sz w:val="24"/>
        </w:rPr>
        <w:t>0万元合价包干。</w:t>
      </w:r>
    </w:p>
    <w:p>
      <w:pPr>
        <w:ind w:firstLine="480"/>
        <w:jc w:val="both"/>
      </w:pPr>
      <w:r>
        <w:rPr>
          <w:sz w:val="24"/>
        </w:rPr>
        <w:t>（以下无正文）</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440112-2024-00190</w:t>
      </w:r>
    </w:p>
    <w:p>
      <w:pPr>
        <w:jc w:val="center"/>
      </w:pPr>
      <w:r>
        <w:rPr>
          <w:b/>
          <w:sz w:val="24"/>
        </w:rPr>
        <w:t>采购项目编号：</w:t>
      </w:r>
      <w:r>
        <w:rPr>
          <w:b/>
          <w:sz w:val="24"/>
        </w:rPr>
        <w:t>GZGK24D011C0023Z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广州开发区民营经济和企业服务局2024年度重大项目集中签约动工及竣工投试产等活动会场设计及布展等服务工作项目</w:t>
      </w:r>
      <w:r>
        <w:rPr>
          <w:u w:val="single"/>
        </w:rPr>
        <w:t>”</w:t>
      </w:r>
      <w:r>
        <w:rPr/>
        <w:t>项目的招标[采购项目编号为：</w:t>
      </w:r>
      <w:r>
        <w:rPr>
          <w:u w:val="single"/>
        </w:rPr>
        <w:t>GZGK24D011C0023Z</w:t>
      </w:r>
      <w:r>
        <w:rPr/>
        <w:t>]，我方愿参与投标。</w:t>
      </w:r>
    </w:p>
    <w:p>
      <w:pPr>
        <w:ind w:firstLine="480"/>
      </w:pPr>
      <w:r>
        <w:rPr/>
        <w:t>我方确认收到贵方提供的</w:t>
      </w:r>
      <w:r>
        <w:rPr>
          <w:u w:val="single"/>
        </w:rPr>
        <w:t>“</w:t>
      </w:r>
      <w:r>
        <w:rPr>
          <w:u w:val="single"/>
        </w:rPr>
        <w:t>广州开发区民营经济和企业服务局2024年度重大项目集中签约动工及竣工投试产等活动会场设计及布展等服务工作项目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广州开发区民营经济和企业服务局2024年度重大项目集中签约动工及竣工投试产等活动会场设计及布展等服务工作项目</w:t>
      </w:r>
      <w:r>
        <w:rPr/>
        <w:t>”项目采购[采购项目编号为</w:t>
      </w:r>
      <w:r>
        <w:rPr/>
        <w:t>GZGK24D011C0023Z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广州开发区民营经济和企业服务局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广州开发区民营经济和企业服务局2024年度重大项目集中签约动工及竣工投试产等活动会场设计及布展等服务工作项目</w:t>
      </w:r>
      <w:r>
        <w:rPr/>
        <w:t>招标中获中标（采购项目编号：</w:t>
      </w:r>
      <w:r>
        <w:rPr/>
        <w:t>GZGK24D011C0023Z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