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440111-2024-00293</w:t>
      </w:r>
    </w:p>
    <w:p>
      <w:pPr>
        <w:jc w:val="center"/>
      </w:pPr>
      <w:r>
        <w:rPr>
          <w:b/>
          <w:sz w:val="24"/>
        </w:rPr>
        <w:t>采购项目编号：</w:t>
      </w:r>
      <w:r>
        <w:rPr>
          <w:b/>
          <w:sz w:val="24"/>
        </w:rPr>
        <w:t>GZGK23D310C0969C</w:t>
      </w:r>
    </w:p>
    <w:p>
      <w:pPr>
        <w:jc w:val="center"/>
      </w:pPr>
      <w:r>
        <w:rPr>
          <w:b/>
          <w:sz w:val="24"/>
        </w:rPr>
        <w:t>项目名称：</w:t>
      </w:r>
      <w:r>
        <w:rPr>
          <w:b/>
          <w:sz w:val="24"/>
        </w:rPr>
        <w:t>广州市白云区太和镇综合养老服务中心（颐康中心）项目</w:t>
      </w:r>
    </w:p>
    <w:p>
      <w:pPr>
        <w:jc w:val="center"/>
      </w:pPr>
      <w:r>
        <w:rPr>
          <w:b/>
          <w:sz w:val="24"/>
        </w:rPr>
        <w:t>采购人：</w:t>
      </w:r>
      <w:r>
        <w:rPr>
          <w:b/>
          <w:sz w:val="24"/>
        </w:rPr>
        <w:t>广州市白云区太和镇人民政府</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广州市白云区太和镇人民政府</w:t>
      </w:r>
      <w:r>
        <w:rPr/>
        <w:t>的委托，采用</w:t>
      </w:r>
      <w:r>
        <w:rPr/>
        <w:t>竞争性磋商</w:t>
      </w:r>
      <w:r>
        <w:rPr/>
        <w:t>方式组织采购</w:t>
      </w:r>
      <w:r>
        <w:rPr/>
        <w:t>广州市白云区太和镇综合养老服务中心（颐康中心）项目</w:t>
      </w:r>
      <w:r>
        <w:rPr/>
        <w:t>。欢迎符合资格条件的供应商参加。</w:t>
      </w:r>
    </w:p>
    <w:p>
      <w:r>
        <w:rPr>
          <w:b/>
          <w:sz w:val="28"/>
        </w:rPr>
        <w:t>一.项目概述</w:t>
      </w:r>
    </w:p>
    <w:p>
      <w:r>
        <w:rPr>
          <w:b/>
          <w:sz w:val="24"/>
        </w:rPr>
        <w:t>1.名称与编号</w:t>
      </w:r>
    </w:p>
    <w:p>
      <w:pPr>
        <w:ind w:firstLine="480"/>
      </w:pPr>
      <w:r>
        <w:rPr/>
        <w:t>采购项目名称：</w:t>
      </w:r>
      <w:r>
        <w:rPr/>
        <w:t>广州市白云区太和镇综合养老服务中心（颐康中心）项目</w:t>
      </w:r>
    </w:p>
    <w:p>
      <w:pPr>
        <w:ind w:firstLine="480"/>
      </w:pPr>
      <w:r>
        <w:rPr/>
        <w:t>采购计划编号：</w:t>
      </w:r>
      <w:r>
        <w:rPr/>
        <w:t>440111-2024-00293</w:t>
      </w:r>
    </w:p>
    <w:p>
      <w:pPr>
        <w:ind w:firstLine="480"/>
      </w:pPr>
      <w:r>
        <w:rPr/>
        <w:t>采购项目编号：</w:t>
      </w:r>
      <w:r>
        <w:rPr/>
        <w:t>GZGK23D310C0969C</w:t>
      </w:r>
    </w:p>
    <w:p>
      <w:pPr>
        <w:ind w:firstLine="480"/>
      </w:pPr>
      <w:r>
        <w:rPr/>
        <w:t>采购方式：</w:t>
      </w:r>
      <w:r>
        <w:rPr/>
        <w:t>竞争性磋商</w:t>
      </w:r>
    </w:p>
    <w:p>
      <w:pPr>
        <w:ind w:firstLine="480"/>
      </w:pPr>
      <w:r>
        <w:rPr/>
        <w:t>预算金额：</w:t>
      </w:r>
      <w:r>
        <w:rPr/>
        <w:t>3,062,500.00</w:t>
      </w:r>
      <w:r>
        <w:rPr/>
        <w:t>元</w:t>
      </w:r>
    </w:p>
    <w:p>
      <w:r>
        <w:rPr>
          <w:b/>
          <w:sz w:val="24"/>
        </w:rPr>
        <w:t>2.项目内容及需求情况（采购项目技术规格、参数及要求）</w:t>
      </w:r>
    </w:p>
    <w:p>
      <w:pPr>
        <w:ind w:firstLine="480"/>
      </w:pPr>
    </w:p>
    <w:p/>
    <w:p>
      <w:r>
        <w:rPr/>
        <w:t>采购包1(太和镇综合养老服务中心（颐康中心）运营):</w:t>
      </w:r>
    </w:p>
    <w:p>
      <w:r>
        <w:rPr/>
        <w:t>采购包预算金额：3,062,500.00元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养老服务</w:t>
            </w:r>
          </w:p>
        </w:tc>
        <w:tc>
          <w:tcPr>
            <w:tcW w:type="dxa" w:w="2136"/>
          </w:tcPr>
          <w:p>
            <w:r>
              <w:rPr/>
              <w:t>太和镇综合养老服务中心（颐康中心）运营</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采购包1（太和镇综合养老服务中心（颐康中心）运营）：</w:t>
      </w:r>
      <w:r>
        <w:rPr/>
        <w:t>本采购包不属于专门面向中小企业采购的项目。</w:t>
      </w:r>
    </w:p>
    <w:p/>
    <w:p>
      <w:r>
        <w:rPr>
          <w:b/>
          <w:sz w:val="24"/>
        </w:rPr>
        <w:t>3.本项目特定的资格要求：</w:t>
      </w:r>
    </w:p>
    <w:p>
      <w:pPr>
        <w:ind w:firstLine="480"/>
      </w:pPr>
    </w:p>
    <w:p/>
    <w:p>
      <w:r>
        <w:rPr/>
        <w:t>采购包1（太和镇综合养老服务中心（颐康中心）运营）：</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2)单位负责人为同一人或者存在直接控股、管理关系的不同供应商，不得同时参加本采购项目响应。 为本项目提供整体设计、规范编制或者项目管理、监理、检测等服务的供应商，不得再参与本项目响应。响应承诺函相关承诺要求内容。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广州市白云区太和镇人民政府</w:t>
      </w:r>
    </w:p>
    <w:p>
      <w:pPr>
        <w:ind w:firstLine="480"/>
      </w:pPr>
      <w:r>
        <w:rPr/>
        <w:t>地址：</w:t>
      </w:r>
      <w:r>
        <w:rPr/>
        <w:t>广州市白云区朝亮南路22号</w:t>
      </w:r>
    </w:p>
    <w:p>
      <w:pPr>
        <w:ind w:firstLine="480"/>
      </w:pPr>
      <w:r>
        <w:rPr/>
        <w:t>联系方式：</w:t>
      </w:r>
      <w:r>
        <w:rPr/>
        <w:t>020-36532007</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w:t>
      </w:r>
    </w:p>
    <w:p>
      <w:pPr>
        <w:ind w:firstLine="480"/>
      </w:pPr>
      <w:r>
        <w:rPr/>
        <w:t>联系方式：</w:t>
      </w:r>
      <w:r>
        <w:rPr/>
        <w:t>020-37814404、020-87688049</w:t>
      </w:r>
    </w:p>
    <w:p>
      <w:r>
        <w:rPr>
          <w:b/>
          <w:sz w:val="24"/>
        </w:rPr>
        <w:t>3.项目联系方式</w:t>
      </w:r>
    </w:p>
    <w:p>
      <w:pPr>
        <w:ind w:firstLine="480"/>
      </w:pPr>
      <w:r>
        <w:rPr/>
        <w:t>项目联系人：</w:t>
      </w:r>
      <w:r>
        <w:rPr/>
        <w:t>吕永珊、陈蔚</w:t>
      </w:r>
    </w:p>
    <w:p>
      <w:pPr>
        <w:ind w:firstLine="480"/>
      </w:pPr>
      <w:r>
        <w:rPr/>
        <w:t>电话：</w:t>
      </w:r>
      <w:r>
        <w:rPr/>
        <w:t>020-37814404、020-87688049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GZGK23D310C0969C</w:t>
      </w:r>
    </w:p>
    <w:p>
      <w:pPr>
        <w:jc w:val="both"/>
      </w:pPr>
      <w:r>
        <w:rPr>
          <w:b/>
          <w:sz w:val="21"/>
        </w:rPr>
        <w:t>（二）</w:t>
      </w:r>
      <w:r>
        <w:rPr>
          <w:b/>
          <w:sz w:val="21"/>
        </w:rPr>
        <w:t>项目名称：</w:t>
      </w:r>
      <w:r>
        <w:rPr>
          <w:sz w:val="21"/>
        </w:rPr>
        <w:t>广州市白云区太和镇综合养老服务中心（颐康中心）项目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响应供应商没有在响应文件中注明偏离（文字说明或在响应表注明）的条款视为被响应供应商完全接受。</w:t>
      </w:r>
    </w:p>
    <w:p>
      <w:pPr>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不允许成交供应商</w:t>
      </w:r>
      <w:r>
        <w:rPr>
          <w:sz w:val="21"/>
        </w:rPr>
        <w:t>转包、分包项目内容</w:t>
      </w:r>
      <w:r>
        <w:rPr>
          <w:sz w:val="21"/>
        </w:rPr>
        <w:t>。</w:t>
      </w:r>
    </w:p>
    <w:p>
      <w:pPr>
        <w:jc w:val="both"/>
      </w:pPr>
      <w:r>
        <w:rPr>
          <w:sz w:val="21"/>
        </w:rPr>
        <w:t>7、</w:t>
      </w:r>
      <w:r>
        <w:rPr>
          <w:sz w:val="21"/>
        </w:rPr>
        <w:t>小型和微型企业、监狱企业和残疾人福利性单位必须按照采购文件第三章内容提供相应的资料。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9、</w:t>
      </w:r>
      <w:r>
        <w:rPr>
          <w:sz w:val="21"/>
        </w:rPr>
        <w:t>本项目符合《政府采购促进中小企业发展管理办法》第六条第（三）项的情形，故不专门面向中小企业。</w:t>
      </w:r>
    </w:p>
    <w:p>
      <w:pPr>
        <w:jc w:val="both"/>
      </w:pPr>
      <w:r>
        <w:rPr>
          <w:sz w:val="21"/>
        </w:rPr>
        <w:t>10、</w:t>
      </w:r>
      <w:r>
        <w:rPr>
          <w:b/>
          <w:sz w:val="21"/>
        </w:rPr>
        <w:t>本项目涉及跨年采购，</w:t>
      </w:r>
      <w:r>
        <w:rPr>
          <w:b/>
          <w:sz w:val="21"/>
        </w:rPr>
        <w:t xml:space="preserve"> 2024年度</w:t>
      </w:r>
      <w:r>
        <w:rPr>
          <w:b/>
          <w:sz w:val="21"/>
        </w:rPr>
        <w:t>预算金额预估为</w:t>
      </w:r>
      <w:r>
        <w:rPr>
          <w:b/>
          <w:sz w:val="21"/>
        </w:rPr>
        <w:t>96.25万元，2025年度</w:t>
      </w:r>
      <w:r>
        <w:rPr>
          <w:b/>
          <w:sz w:val="21"/>
        </w:rPr>
        <w:t>和</w:t>
      </w:r>
      <w:r>
        <w:rPr>
          <w:b/>
          <w:sz w:val="21"/>
        </w:rPr>
        <w:t>2026年度拟安排采购预算金额预估为</w:t>
      </w:r>
      <w:r>
        <w:rPr>
          <w:b/>
          <w:sz w:val="21"/>
        </w:rPr>
        <w:t>105万元</w:t>
      </w:r>
      <w:r>
        <w:rPr>
          <w:b/>
          <w:sz w:val="21"/>
        </w:rPr>
        <w:t>/年</w:t>
      </w:r>
      <w:r>
        <w:rPr>
          <w:b/>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实现的目标</w:t>
      </w:r>
    </w:p>
    <w:p>
      <w:pPr>
        <w:ind w:firstLine="420"/>
        <w:jc w:val="both"/>
      </w:pPr>
      <w:r>
        <w:rPr>
          <w:sz w:val="21"/>
        </w:rPr>
        <w:t>根据《广州市居家社区养老服务管理办法》（穗府办规〔</w:t>
      </w:r>
      <w:r>
        <w:rPr>
          <w:sz w:val="21"/>
        </w:rPr>
        <w:t>2022〕13号）第十八条规定，为服务区域内的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w:t>
      </w:r>
    </w:p>
    <w:p>
      <w:pPr>
        <w:jc w:val="both"/>
      </w:pPr>
      <w:r>
        <w:rPr>
          <w:b/>
          <w:sz w:val="21"/>
        </w:rPr>
        <w:t>（六）</w:t>
      </w:r>
      <w:r>
        <w:rPr>
          <w:b/>
          <w:sz w:val="21"/>
        </w:rPr>
        <w:t>需执行国家相关标准、行业标准、地方标准或者其他标准、规范</w:t>
      </w:r>
    </w:p>
    <w:p/>
    <w:p>
      <w:pPr>
        <w:ind w:firstLine="480"/>
      </w:pPr>
    </w:p>
    <w:p/>
    <w:p>
      <w:r>
        <w:rPr/>
        <w:t>采购包1（太和镇综合养老服务中心（颐康中心）运营）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服务期限：本项目采购服务期限为35个月，第一个合同期为11个月 ，第二个合同期和第三个合同期均为12个月，周期内由白云区民政局统一开展服务评估，评估合格后按合同条款支付费用。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1期：支付比例100%,(一)运营经费 本项目运营经费总计306.25万元人民币，第一个合同期为96.25万元（颐康中心运营经费为36.67万元，13个颐康服务站运营经费共为59.58万元），第二个合同期和第三个合同期均105万元（颐康中心运营经费为40万元，13个颐康服务站运营经费共为65万元），含人员经费、服务支持经费、专业支持经费、办公经费及由项目开展而产生的其他费用，颐康中心、颐康服务站运营经费按以下方式拨付：  （1）本项目颐康中心运营经费每合同期分二期支付。第一期款自合同签订生效之日起,采购人收到成交供应商提供等额有效合法的发票，经财政审批后10个工作日内向成交供应商100%支付太和镇综合养老服务中心（颐康中心）运营经费；第二期款由白云区民政局安排第三方评估机构组织评定后，以评定结果及最终区拨付金额为准，安排拨付村居颐康服务站运营经费。采购人收到成交供应商提供等额有效合法的发票后，经财政审批后10个工作日内支付村居颐康服务站运营经费。颐康服务站未参加区民政部门安排的评估或评估为不合格的，扣除该颐康服务站运营经费。不足规定运营时间的，按比例扣除运营经费。 （2）如相关政策文件对运营经费的支付方式有新的要求，按最新要求执行。  （二）服务奖励经费 由白云区民政局安排第三方评估机构组织评定后，以评定结果及最终区拨付金额为准，安排拨付颐康中心和村居颐康服务站服务奖励经费。采购人收到成交供应商提供等额有效合法的发票采购人收到成交供应商提供等额有效合法的发票，经财政审批后10个工作日向成交供应商支付。 评估结果为不合格或成交供应商不配合做好服务交接工作的的，服务奖励经费将不予支付。因服务质量不合格造成的损失由成交供应商自行承担。</w:t>
            </w:r>
          </w:p>
        </w:tc>
      </w:tr>
      <w:tr>
        <w:tc>
          <w:tcPr>
            <w:tcW w:type="dxa" w:w="4153"/>
          </w:tcPr>
          <w:p>
            <w:r>
              <w:rPr/>
              <w:t>验收要求</w:t>
            </w:r>
          </w:p>
        </w:tc>
        <w:tc>
          <w:tcPr>
            <w:tcW w:type="dxa" w:w="4153"/>
          </w:tcPr>
          <w:p/>
          <w:p/>
          <w:p/>
          <w:p>
            <w:r>
              <w:rPr/>
              <w:t>1期：自合同签订之日起，成交供应商每运营满一个自然年需向采购人提交自评报告，由采购人向上级相关主管部门申请服务评估。对承接的服务项目评估定级不合格的成交供应商，由采购人上级相关主管部门督促整改，整改后仍不合格的，采购人有权追究其违约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养老服务</w:t>
            </w:r>
          </w:p>
        </w:tc>
        <w:tc>
          <w:tcPr>
            <w:tcW w:type="dxa" w:w="933"/>
          </w:tcPr>
          <w:p>
            <w:pPr>
              <w:jc w:val="left"/>
            </w:pPr>
            <w:r>
              <w:rPr/>
              <w:t>太和镇综合养老服务中心（颐康中心）运营</w:t>
            </w:r>
          </w:p>
        </w:tc>
        <w:tc>
          <w:tcPr>
            <w:tcW w:type="dxa" w:w="933"/>
          </w:tcPr>
          <w:p>
            <w:pPr>
              <w:jc w:val="left"/>
            </w:pPr>
            <w:r>
              <w:rPr/>
              <w:t>项</w:t>
            </w:r>
          </w:p>
        </w:tc>
        <w:tc>
          <w:tcPr>
            <w:tcW w:type="dxa" w:w="933"/>
          </w:tcPr>
          <w:p>
            <w:pPr>
              <w:jc w:val="right"/>
            </w:pPr>
            <w:r>
              <w:rPr/>
              <w:t>1.00</w:t>
            </w:r>
          </w:p>
        </w:tc>
        <w:tc>
          <w:tcPr>
            <w:tcW w:type="dxa" w:w="933"/>
          </w:tcPr>
          <w:p>
            <w:pPr>
              <w:jc w:val="right"/>
            </w:pPr>
            <w:r>
              <w:rPr/>
              <w:t>3,062,500.00</w:t>
            </w:r>
          </w:p>
        </w:tc>
        <w:tc>
          <w:tcPr>
            <w:tcW w:type="dxa" w:w="933"/>
          </w:tcPr>
          <w:p>
            <w:pPr>
              <w:jc w:val="right"/>
            </w:pPr>
            <w:r>
              <w:rPr/>
              <w:t>3,062,500.00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太和镇综合养老服务中心（颐康中心）运营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项目概况</w:t>
            </w:r>
          </w:p>
          <w:p>
            <w:pPr>
              <w:ind w:firstLine="420"/>
              <w:jc w:val="left"/>
            </w:pPr>
            <w:r>
              <w:rPr>
                <w:b/>
                <w:sz w:val="21"/>
              </w:rPr>
              <w:t>（一）项目名称</w:t>
            </w:r>
          </w:p>
          <w:p>
            <w:pPr>
              <w:ind w:firstLine="420"/>
              <w:jc w:val="both"/>
            </w:pPr>
            <w:r>
              <w:rPr>
                <w:sz w:val="21"/>
              </w:rPr>
              <w:t>广州市白云区太和镇综合养老服务中心（颐康中心）项目</w:t>
            </w:r>
          </w:p>
          <w:p>
            <w:pPr>
              <w:ind w:firstLine="420"/>
              <w:jc w:val="left"/>
            </w:pPr>
            <w:r>
              <w:rPr>
                <w:b/>
                <w:sz w:val="21"/>
              </w:rPr>
              <w:t>（二）服务期</w:t>
            </w:r>
          </w:p>
          <w:p>
            <w:pPr>
              <w:ind w:firstLine="420"/>
              <w:jc w:val="both"/>
            </w:pPr>
            <w:r>
              <w:rPr>
                <w:sz w:val="21"/>
              </w:rPr>
              <w:t>本项目采购服务期限为</w:t>
            </w:r>
            <w:r>
              <w:rPr>
                <w:sz w:val="21"/>
              </w:rPr>
              <w:t>35个月，第一个合同期为11个月，第二个合同期和第三个合同期均为12个月，周期内由白云区民政局统一开展服务评估，评估合格后按合同条款支付费用。</w:t>
            </w:r>
          </w:p>
          <w:p>
            <w:pPr>
              <w:ind w:firstLine="420"/>
              <w:jc w:val="left"/>
            </w:pPr>
            <w:r>
              <w:rPr>
                <w:b/>
                <w:sz w:val="21"/>
              </w:rPr>
              <w:t>（三）项目报价</w:t>
            </w:r>
          </w:p>
          <w:p>
            <w:pPr>
              <w:ind w:firstLine="420"/>
              <w:jc w:val="both"/>
            </w:pPr>
            <w:r>
              <w:rPr>
                <w:sz w:val="21"/>
              </w:rPr>
              <w:t>项目费用为太和镇综合养老服务中心（颐康中心）及村居颐康服务站运营经费。太和镇综合养老服务中心（颐康中心）运营经费为每年人民币</w:t>
            </w:r>
            <w:r>
              <w:rPr>
                <w:sz w:val="21"/>
              </w:rPr>
              <w:t>40万元；村居颐康服务站运营经费为每个每年人民币5万元（以实际运营为准，未运营或运营未达到市区民政部门要求的没有运营经费）。运营经费</w:t>
            </w:r>
            <w:r>
              <w:rPr>
                <w:sz w:val="21"/>
              </w:rPr>
              <w:t>含人员经费、服务支持经费、专业支持经费、办公经费及由项目开展而产生的其他费用。</w:t>
            </w:r>
          </w:p>
          <w:p>
            <w:pPr>
              <w:jc w:val="center"/>
            </w:pPr>
            <w:r>
              <w:rPr>
                <w:b/>
                <w:sz w:val="21"/>
              </w:rPr>
              <w:t>表</w:t>
            </w:r>
            <w:r>
              <w:rPr>
                <w:b/>
                <w:sz w:val="21"/>
              </w:rPr>
              <w:t>1运营经费一览表</w:t>
            </w:r>
          </w:p>
          <w:tbl>
            <w:tblPr>
              <w:tblBorders>
                <w:top w:val="none" w:color="000000" w:sz="4"/>
                <w:left w:val="none" w:color="000000" w:sz="4"/>
                <w:bottom w:val="none" w:color="000000" w:sz="4"/>
                <w:right w:val="none" w:color="000000" w:sz="4"/>
                <w:insideH w:val="none"/>
                <w:insideV w:val="none"/>
              </w:tblBorders>
            </w:tblPr>
            <w:tblGrid>
              <w:gridCol w:w="846"/>
              <w:gridCol w:w="1312"/>
              <w:gridCol w:w="623"/>
              <w:gridCol w:w="881"/>
              <w:gridCol w:w="852"/>
              <w:gridCol w:w="1080"/>
            </w:tblGrid>
            <w:tr>
              <w:tc>
                <w:tcPr>
                  <w:tcW w:type="dxa" w:w="846"/>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312"/>
                  <w:tcBorders>
                    <w:top w:val="single" w:color="000000" w:sz="4"/>
                    <w:left w:val="single" w:color="000000" w:sz="4"/>
                    <w:bottom w:val="single" w:color="000000" w:sz="4"/>
                    <w:right w:val="single" w:color="000000" w:sz="4"/>
                  </w:tcBorders>
                  <w:vAlign w:val="top"/>
                </w:tcPr>
                <w:p>
                  <w:pPr>
                    <w:jc w:val="center"/>
                  </w:pPr>
                  <w:r>
                    <w:rPr>
                      <w:sz w:val="21"/>
                    </w:rPr>
                    <w:t>设施名称</w:t>
                  </w:r>
                </w:p>
              </w:tc>
              <w:tc>
                <w:tcPr>
                  <w:tcW w:type="dxa" w:w="623"/>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81"/>
                  <w:tcBorders>
                    <w:top w:val="single" w:color="000000" w:sz="4"/>
                    <w:left w:val="single" w:color="000000" w:sz="4"/>
                    <w:bottom w:val="single" w:color="000000" w:sz="4"/>
                    <w:right w:val="single" w:color="000000" w:sz="4"/>
                  </w:tcBorders>
                  <w:vAlign w:val="top"/>
                </w:tcPr>
                <w:p>
                  <w:pPr>
                    <w:jc w:val="center"/>
                  </w:pPr>
                  <w:r>
                    <w:rPr>
                      <w:sz w:val="21"/>
                    </w:rPr>
                    <w:t>年度最低服务</w:t>
                  </w:r>
                </w:p>
                <w:p>
                  <w:pPr>
                    <w:jc w:val="center"/>
                  </w:pPr>
                  <w:r>
                    <w:rPr>
                      <w:sz w:val="21"/>
                    </w:rPr>
                    <w:t>总工时</w:t>
                  </w:r>
                </w:p>
              </w:tc>
              <w:tc>
                <w:tcPr>
                  <w:tcW w:type="dxa" w:w="852"/>
                  <w:tcBorders>
                    <w:top w:val="single" w:color="000000" w:sz="4"/>
                    <w:left w:val="single" w:color="000000" w:sz="4"/>
                    <w:bottom w:val="single" w:color="000000" w:sz="4"/>
                    <w:right w:val="single" w:color="000000" w:sz="4"/>
                  </w:tcBorders>
                  <w:vAlign w:val="top"/>
                </w:tcPr>
                <w:p>
                  <w:pPr>
                    <w:jc w:val="center"/>
                  </w:pPr>
                  <w:r>
                    <w:rPr>
                      <w:sz w:val="21"/>
                    </w:rPr>
                    <w:t>年度最高服务总工时</w:t>
                  </w:r>
                </w:p>
              </w:tc>
              <w:tc>
                <w:tcPr>
                  <w:tcW w:type="dxa" w:w="1080"/>
                  <w:tcBorders>
                    <w:top w:val="single" w:color="000000" w:sz="4"/>
                    <w:left w:val="single" w:color="000000" w:sz="4"/>
                    <w:bottom w:val="single" w:color="000000" w:sz="4"/>
                    <w:right w:val="single" w:color="000000" w:sz="4"/>
                  </w:tcBorders>
                  <w:vAlign w:val="top"/>
                </w:tcPr>
                <w:p>
                  <w:pPr>
                    <w:jc w:val="center"/>
                  </w:pPr>
                  <w:r>
                    <w:rPr>
                      <w:sz w:val="21"/>
                    </w:rPr>
                    <w:t>项目预算</w:t>
                  </w:r>
                </w:p>
              </w:tc>
            </w:tr>
            <w:tr>
              <w:tc>
                <w:tcPr>
                  <w:tcW w:type="dxa" w:w="846"/>
                  <w:vMerge w:val="restart"/>
                  <w:tcBorders>
                    <w:top w:val="none" w:color="000000" w:sz="4"/>
                    <w:left w:val="single" w:color="000000" w:sz="4"/>
                    <w:bottom w:val="single" w:color="000000" w:sz="4"/>
                    <w:right w:val="single" w:color="000000" w:sz="4"/>
                  </w:tcBorders>
                  <w:vAlign w:val="top"/>
                </w:tcPr>
                <w:p>
                  <w:pPr>
                    <w:jc w:val="both"/>
                  </w:pPr>
                  <w:r>
                    <w:rPr>
                      <w:sz w:val="21"/>
                    </w:rPr>
                    <w:t>广州市白云区太和镇综合养老服务中心（颐康中心）项目</w:t>
                  </w:r>
                </w:p>
              </w:tc>
              <w:tc>
                <w:tcPr>
                  <w:tcW w:type="dxa" w:w="1312"/>
                  <w:tcBorders>
                    <w:top w:val="none" w:color="000000" w:sz="4"/>
                    <w:left w:val="single" w:color="000000" w:sz="4"/>
                    <w:bottom w:val="single" w:color="000000" w:sz="4"/>
                    <w:right w:val="single" w:color="000000" w:sz="4"/>
                  </w:tcBorders>
                  <w:vAlign w:val="top"/>
                </w:tcPr>
                <w:p>
                  <w:r>
                    <w:rPr>
                      <w:sz w:val="21"/>
                    </w:rPr>
                    <w:t>太和镇综合养老服务中心（颐康中心）</w:t>
                  </w:r>
                </w:p>
              </w:tc>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1"/>
                  <w:vMerge w:val="restart"/>
                  <w:tcBorders>
                    <w:top w:val="none" w:color="000000" w:sz="4"/>
                    <w:left w:val="single" w:color="000000" w:sz="4"/>
                    <w:bottom w:val="single" w:color="000000" w:sz="4"/>
                    <w:right w:val="single" w:color="000000" w:sz="4"/>
                  </w:tcBorders>
                  <w:vAlign w:val="top"/>
                </w:tcPr>
                <w:p>
                  <w:pPr>
                    <w:jc w:val="center"/>
                  </w:pPr>
                  <w:r>
                    <w:rPr>
                      <w:sz w:val="21"/>
                    </w:rPr>
                    <w:t>29100小时</w:t>
                  </w:r>
                </w:p>
              </w:tc>
              <w:tc>
                <w:tcPr>
                  <w:tcW w:type="dxa" w:w="852"/>
                  <w:vMerge w:val="restart"/>
                  <w:tcBorders>
                    <w:top w:val="none" w:color="000000" w:sz="4"/>
                    <w:left w:val="single" w:color="000000" w:sz="4"/>
                    <w:bottom w:val="single" w:color="000000" w:sz="4"/>
                    <w:right w:val="single" w:color="000000" w:sz="4"/>
                  </w:tcBorders>
                  <w:vAlign w:val="top"/>
                </w:tcPr>
                <w:p>
                  <w:pPr>
                    <w:jc w:val="center"/>
                  </w:pPr>
                  <w:r>
                    <w:rPr>
                      <w:sz w:val="21"/>
                    </w:rPr>
                    <w:t>36652小时</w:t>
                  </w:r>
                </w:p>
              </w:tc>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306.25万元</w:t>
                  </w:r>
                </w:p>
                <w:p>
                  <w:pPr>
                    <w:jc w:val="center"/>
                  </w:pPr>
                  <w:r>
                    <w:rPr>
                      <w:sz w:val="21"/>
                    </w:rPr>
                    <w:t>（其中：</w:t>
                  </w:r>
                  <w:r>
                    <w:rPr>
                      <w:sz w:val="21"/>
                    </w:rPr>
                    <w:t>2024年96.25万元，2025年105万元，2026年105万元）,以上级财政实际拨付为准</w:t>
                  </w:r>
                  <w:r>
                    <w:rPr>
                      <w:sz w:val="21"/>
                    </w:rPr>
                    <w:t>。</w:t>
                  </w:r>
                </w:p>
              </w:tc>
            </w:tr>
            <w:tr>
              <w:tc>
                <w:tcPr>
                  <w:tcW w:type="dxa" w:w="846"/>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r>
                    <w:rPr>
                      <w:sz w:val="21"/>
                    </w:rPr>
                    <w:t>村居颐康服务站</w:t>
                  </w:r>
                </w:p>
              </w:tc>
              <w:tc>
                <w:tcPr>
                  <w:tcW w:type="dxa" w:w="623"/>
                  <w:tcBorders>
                    <w:top w:val="none" w:color="000000" w:sz="4"/>
                    <w:left w:val="single" w:color="000000" w:sz="4"/>
                    <w:bottom w:val="single" w:color="000000" w:sz="4"/>
                    <w:right w:val="single" w:color="000000" w:sz="4"/>
                  </w:tcBorders>
                  <w:vAlign w:val="top"/>
                </w:tcPr>
                <w:p>
                  <w:r>
                    <w:rPr>
                      <w:sz w:val="21"/>
                    </w:rPr>
                    <w:t>13</w:t>
                  </w:r>
                </w:p>
              </w:tc>
            </w:tr>
          </w:tbl>
          <w:p>
            <w:pPr>
              <w:jc w:val="left"/>
            </w:pPr>
            <w:r>
              <w:rPr>
                <w:sz w:val="21"/>
              </w:rPr>
              <w:t>（注：</w:t>
            </w:r>
            <w:r>
              <w:rPr>
                <w:sz w:val="21"/>
              </w:rPr>
              <w:t>因采购时联升社区</w:t>
            </w:r>
            <w:r>
              <w:rPr>
                <w:sz w:val="21"/>
              </w:rPr>
              <w:t>村居颐康服务站</w:t>
            </w:r>
            <w:r>
              <w:rPr>
                <w:sz w:val="21"/>
              </w:rPr>
              <w:t>未实际</w:t>
            </w:r>
            <w:r>
              <w:rPr>
                <w:sz w:val="21"/>
              </w:rPr>
              <w:t>运营，</w:t>
            </w:r>
            <w:r>
              <w:rPr>
                <w:sz w:val="21"/>
              </w:rPr>
              <w:t>运营期间的</w:t>
            </w:r>
            <w:r>
              <w:rPr>
                <w:sz w:val="21"/>
              </w:rPr>
              <w:t>运营经费以上级财政拨付为准。最高不得超过项目年度最高专业服务总工时，最低不得低于项目年度最低专业服务工时。服务供应商必须对本项目整体内容进行响应，只对本项目部分内容进行响应的将被视为无效响应。）</w:t>
            </w:r>
          </w:p>
          <w:p>
            <w:pPr>
              <w:ind w:firstLine="420"/>
              <w:jc w:val="both"/>
            </w:pPr>
            <w:r>
              <w:rPr>
                <w:sz w:val="21"/>
              </w:rPr>
              <w:t>★因采购文件中的格式为自动生成格式，与实际报价需求不符。为保证响应报价清晰合理，各响应供应商的《分项报价表》以下面格式为准。</w:t>
            </w:r>
          </w:p>
          <w:tbl>
            <w:tblPr>
              <w:tblInd w:type="dxa" w:w="12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center"/>
                  </w:pPr>
                  <w:r>
                    <w:rPr>
                      <w:sz w:val="21"/>
                    </w:rPr>
                    <w:t>分项报价表</w:t>
                  </w:r>
                </w:p>
              </w:tc>
            </w:tr>
            <w:tr>
              <w:tc>
                <w:tcPr>
                  <w:tcW w:type="dxa" w:w="5598"/>
                  <w:tcBorders>
                    <w:top w:val="none" w:color="000000" w:sz="4"/>
                    <w:left w:val="single" w:color="000000" w:sz="4"/>
                    <w:bottom w:val="single" w:color="000000" w:sz="4"/>
                    <w:right w:val="single" w:color="000000" w:sz="4"/>
                  </w:tcBorders>
                  <w:vAlign w:val="top"/>
                </w:tcPr>
                <w:p>
                  <w:pPr>
                    <w:jc w:val="both"/>
                  </w:pPr>
                  <w:r>
                    <w:rPr>
                      <w:sz w:val="21"/>
                    </w:rPr>
                    <w:t>项目编号：</w:t>
                  </w:r>
                </w:p>
                <w:p>
                  <w:pPr>
                    <w:jc w:val="both"/>
                  </w:pPr>
                  <w:r>
                    <w:rPr>
                      <w:sz w:val="21"/>
                    </w:rPr>
                    <w:t>项目名称：</w:t>
                  </w:r>
                </w:p>
                <w:p>
                  <w:pPr>
                    <w:jc w:val="both"/>
                  </w:pPr>
                  <w:r>
                    <w:rPr>
                      <w:sz w:val="21"/>
                    </w:rPr>
                    <w:t>响应供应商名称：</w:t>
                  </w:r>
                </w:p>
                <w:tbl>
                  <w:tblPr>
                    <w:tblBorders>
                      <w:top w:val="none" w:color="000000" w:sz="4"/>
                      <w:left w:val="none" w:color="000000" w:sz="4"/>
                      <w:bottom w:val="none" w:color="000000" w:sz="4"/>
                      <w:right w:val="none" w:color="000000" w:sz="4"/>
                      <w:insideH w:val="none"/>
                      <w:insideV w:val="none"/>
                    </w:tblBorders>
                  </w:tblPr>
                  <w:tblGrid>
                    <w:gridCol w:w="1553"/>
                    <w:gridCol w:w="1514"/>
                    <w:gridCol w:w="1296"/>
                    <w:gridCol w:w="1019"/>
                  </w:tblGrid>
                  <w:tr>
                    <w:tc>
                      <w:tcPr>
                        <w:tcW w:type="dxa" w:w="1553"/>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1514"/>
                        <w:tcBorders>
                          <w:top w:val="single" w:color="000000" w:sz="4"/>
                          <w:left w:val="single" w:color="000000" w:sz="4"/>
                          <w:bottom w:val="single" w:color="000000" w:sz="4"/>
                          <w:right w:val="single" w:color="000000" w:sz="4"/>
                        </w:tcBorders>
                        <w:vAlign w:val="top"/>
                      </w:tcPr>
                      <w:p>
                        <w:pPr>
                          <w:jc w:val="center"/>
                        </w:pPr>
                        <w:r>
                          <w:rPr>
                            <w:sz w:val="21"/>
                          </w:rPr>
                          <w:t>响应报价</w:t>
                        </w:r>
                      </w:p>
                    </w:tc>
                    <w:tc>
                      <w:tcPr>
                        <w:tcW w:type="dxa" w:w="1296"/>
                        <w:tcBorders>
                          <w:top w:val="single" w:color="000000" w:sz="4"/>
                          <w:left w:val="single" w:color="000000" w:sz="4"/>
                          <w:bottom w:val="single" w:color="000000" w:sz="4"/>
                          <w:right w:val="single" w:color="000000" w:sz="4"/>
                        </w:tcBorders>
                        <w:vAlign w:val="top"/>
                      </w:tcPr>
                      <w:p>
                        <w:pPr>
                          <w:jc w:val="center"/>
                        </w:pPr>
                        <w:r>
                          <w:rPr>
                            <w:sz w:val="21"/>
                          </w:rPr>
                          <w:t>年度服务总工时</w:t>
                        </w:r>
                      </w:p>
                      <w:p>
                        <w:pPr>
                          <w:jc w:val="center"/>
                        </w:pPr>
                        <w:r>
                          <w:rPr>
                            <w:sz w:val="21"/>
                          </w:rPr>
                          <w:t>（小时</w:t>
                        </w:r>
                        <w:r>
                          <w:rPr>
                            <w:sz w:val="21"/>
                          </w:rPr>
                          <w:t>/年）</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1553"/>
                        <w:tcBorders>
                          <w:top w:val="none" w:color="000000" w:sz="4"/>
                          <w:left w:val="single" w:color="000000" w:sz="4"/>
                          <w:bottom w:val="single" w:color="000000" w:sz="4"/>
                          <w:right w:val="single" w:color="000000" w:sz="4"/>
                        </w:tcBorders>
                        <w:vAlign w:val="top"/>
                      </w:tcPr>
                      <w:p>
                        <w:r>
                          <w:rPr>
                            <w:sz w:val="21"/>
                          </w:rPr>
                          <w:t>广州市白云区太和镇综合养老服务中心（颐康中心）项目</w:t>
                        </w:r>
                      </w:p>
                    </w:tc>
                    <w:tc>
                      <w:tcPr>
                        <w:tcW w:type="dxa" w:w="1514"/>
                        <w:tcBorders>
                          <w:top w:val="none" w:color="000000" w:sz="4"/>
                          <w:left w:val="single" w:color="000000" w:sz="4"/>
                          <w:bottom w:val="single" w:color="000000" w:sz="4"/>
                          <w:right w:val="single" w:color="000000" w:sz="4"/>
                        </w:tcBorders>
                        <w:vAlign w:val="top"/>
                      </w:tcPr>
                      <w:p>
                        <w:pPr>
                          <w:jc w:val="center"/>
                        </w:pPr>
                        <w:r>
                          <w:rPr>
                            <w:sz w:val="21"/>
                          </w:rPr>
                          <w:t>306.25</w:t>
                        </w:r>
                        <w:r>
                          <w:rPr>
                            <w:sz w:val="21"/>
                          </w:rPr>
                          <w:t>万元</w:t>
                        </w:r>
                      </w:p>
                    </w:tc>
                    <w:tc>
                      <w:tcPr>
                        <w:tcW w:type="dxa" w:w="1296"/>
                        <w:tcBorders>
                          <w:top w:val="none" w:color="000000" w:sz="4"/>
                          <w:left w:val="single" w:color="000000" w:sz="4"/>
                          <w:bottom w:val="single" w:color="000000" w:sz="4"/>
                          <w:right w:val="single" w:color="000000" w:sz="4"/>
                        </w:tcBorders>
                        <w:vAlign w:val="top"/>
                      </w:tcPr>
                      <w:p>
                        <w:pPr>
                          <w:jc w:val="center"/>
                        </w:pPr>
                      </w:p>
                    </w:tc>
                    <w:tc>
                      <w:tcPr>
                        <w:tcW w:type="dxa" w:w="1019"/>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备注：</w:t>
                  </w:r>
                  <w:r>
                    <w:rPr>
                      <w:sz w:val="21"/>
                    </w:rPr>
                    <w:t>1.服务总工时必须固定唯一且在采购文件规定的范围之内，否则视为无效响应。本项目年度最低服务总工时：</w:t>
                  </w:r>
                  <w:r>
                    <w:rPr>
                      <w:sz w:val="21"/>
                    </w:rPr>
                    <w:t>29100</w:t>
                  </w:r>
                  <w:r>
                    <w:rPr>
                      <w:sz w:val="21"/>
                    </w:rPr>
                    <w:t>小时；项目年度最高服务总工时：</w:t>
                  </w:r>
                  <w:r>
                    <w:rPr>
                      <w:sz w:val="21"/>
                    </w:rPr>
                    <w:t>36652</w:t>
                  </w:r>
                  <w:r>
                    <w:rPr>
                      <w:sz w:val="21"/>
                    </w:rPr>
                    <w:t>小时。</w:t>
                  </w:r>
                </w:p>
                <w:p>
                  <w:pPr>
                    <w:jc w:val="both"/>
                  </w:pPr>
                  <w:r>
                    <w:rPr>
                      <w:sz w:val="21"/>
                    </w:rPr>
                    <w:t>2.本项目的报价总价为采购预算金额，不得修改，否则按无效响应处理。</w:t>
                  </w:r>
                </w:p>
                <w:p>
                  <w:pPr>
                    <w:jc w:val="both"/>
                  </w:pPr>
                </w:p>
                <w:p>
                  <w:pPr>
                    <w:jc w:val="both"/>
                  </w:pPr>
                  <w:r>
                    <w:rPr>
                      <w:sz w:val="21"/>
                    </w:rPr>
                    <w:t>响应供应商签章：</w:t>
                  </w:r>
                  <w:r>
                    <w:rPr>
                      <w:sz w:val="21"/>
                    </w:rPr>
                    <w:t>__________________</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tc>
            </w:tr>
          </w:tbl>
          <w:p>
            <w:pPr>
              <w:ind w:firstLine="422"/>
              <w:jc w:val="both"/>
            </w:pPr>
          </w:p>
          <w:p>
            <w:pPr>
              <w:jc w:val="both"/>
            </w:pPr>
            <w:r>
              <w:rPr>
                <w:b/>
                <w:sz w:val="21"/>
              </w:rPr>
              <w:t>二、</w:t>
            </w:r>
            <w:r>
              <w:rPr>
                <w:b/>
                <w:sz w:val="21"/>
              </w:rPr>
              <w:t>项目需求</w:t>
            </w:r>
          </w:p>
          <w:p>
            <w:pPr>
              <w:ind w:firstLine="420"/>
              <w:jc w:val="left"/>
            </w:pPr>
            <w:r>
              <w:rPr>
                <w:b/>
                <w:sz w:val="21"/>
              </w:rPr>
              <w:t>（一）项目内容</w:t>
            </w:r>
          </w:p>
          <w:p>
            <w:pPr>
              <w:ind w:firstLine="420"/>
              <w:jc w:val="both"/>
            </w:pPr>
            <w:r>
              <w:rPr>
                <w:sz w:val="21"/>
              </w:rPr>
              <w:t>根据《广州市居家社区养老服务管理办法》（穗府办规〔</w:t>
            </w:r>
            <w:r>
              <w:rPr>
                <w:sz w:val="21"/>
              </w:rPr>
              <w:t>2022〕13号）第十八条规定，为服务区域内的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w:t>
            </w:r>
          </w:p>
          <w:p>
            <w:pPr>
              <w:ind w:firstLine="420"/>
              <w:jc w:val="left"/>
            </w:pPr>
            <w:r>
              <w:rPr>
                <w:b/>
                <w:sz w:val="21"/>
              </w:rPr>
              <w:t>（二）服务设施</w:t>
            </w:r>
          </w:p>
          <w:p>
            <w:pPr>
              <w:ind w:firstLine="420"/>
              <w:jc w:val="both"/>
            </w:pPr>
            <w:r>
              <w:rPr>
                <w:sz w:val="21"/>
              </w:rPr>
              <w:t>运营太和镇综合养老服务中心（颐康中心）、村居颐康服务站、长者饭堂等服务场地设施，充分发挥场地设备的功能作用，为老年人开展专业化服务。</w:t>
            </w:r>
          </w:p>
          <w:p>
            <w:pPr>
              <w:ind w:firstLine="422"/>
              <w:jc w:val="center"/>
            </w:pPr>
            <w:r>
              <w:rPr>
                <w:b/>
                <w:sz w:val="21"/>
              </w:rPr>
              <w:t>表</w:t>
            </w:r>
            <w:r>
              <w:rPr>
                <w:b/>
                <w:sz w:val="21"/>
              </w:rPr>
              <w:t>2 服务设施一览表</w:t>
            </w:r>
          </w:p>
          <w:tbl>
            <w:tblPr>
              <w:tblBorders>
                <w:top w:val="none" w:color="000000" w:sz="4"/>
                <w:left w:val="none" w:color="000000" w:sz="4"/>
                <w:bottom w:val="none" w:color="000000" w:sz="4"/>
                <w:right w:val="none" w:color="000000" w:sz="4"/>
                <w:insideH w:val="none"/>
                <w:insideV w:val="none"/>
              </w:tblBorders>
            </w:tblPr>
            <w:tblGrid>
              <w:gridCol w:w="451"/>
              <w:gridCol w:w="1701"/>
              <w:gridCol w:w="2595"/>
              <w:gridCol w:w="850"/>
            </w:tblGrid>
            <w:tr>
              <w:tc>
                <w:tcPr>
                  <w:tcW w:type="dxa" w:w="4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701"/>
                  <w:tcBorders>
                    <w:top w:val="single" w:color="000000" w:sz="4"/>
                    <w:left w:val="single" w:color="000000" w:sz="4"/>
                    <w:bottom w:val="single" w:color="000000" w:sz="4"/>
                    <w:right w:val="single" w:color="000000" w:sz="4"/>
                  </w:tcBorders>
                  <w:vAlign w:val="top"/>
                </w:tcPr>
                <w:p>
                  <w:pPr>
                    <w:jc w:val="center"/>
                  </w:pPr>
                  <w:r>
                    <w:rPr>
                      <w:b/>
                      <w:sz w:val="21"/>
                    </w:rPr>
                    <w:t>设施名称</w:t>
                  </w:r>
                </w:p>
              </w:tc>
              <w:tc>
                <w:tcPr>
                  <w:tcW w:type="dxa" w:w="2595"/>
                  <w:tcBorders>
                    <w:top w:val="single" w:color="000000" w:sz="4"/>
                    <w:left w:val="single" w:color="000000" w:sz="4"/>
                    <w:bottom w:val="single" w:color="000000" w:sz="4"/>
                    <w:right w:val="single" w:color="000000" w:sz="4"/>
                  </w:tcBorders>
                  <w:vAlign w:val="top"/>
                </w:tcPr>
                <w:p>
                  <w:pPr>
                    <w:jc w:val="center"/>
                  </w:pPr>
                  <w:r>
                    <w:rPr>
                      <w:b/>
                      <w:sz w:val="21"/>
                    </w:rPr>
                    <w:t>设施地址（具体到楼层）</w:t>
                  </w:r>
                </w:p>
              </w:tc>
              <w:tc>
                <w:tcPr>
                  <w:tcW w:type="dxa" w:w="850"/>
                  <w:tcBorders>
                    <w:top w:val="single" w:color="000000" w:sz="4"/>
                    <w:left w:val="single" w:color="000000" w:sz="4"/>
                    <w:bottom w:val="single" w:color="000000" w:sz="4"/>
                    <w:right w:val="single" w:color="000000" w:sz="4"/>
                  </w:tcBorders>
                  <w:vAlign w:val="top"/>
                </w:tcPr>
                <w:p>
                  <w:pPr>
                    <w:jc w:val="center"/>
                  </w:pPr>
                  <w:r>
                    <w:rPr>
                      <w:b/>
                      <w:sz w:val="21"/>
                    </w:rPr>
                    <w:t>可使用面积（㎡）</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太和镇综合养老服务中心（颐康中心）</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太和镇太和北路</w:t>
                  </w:r>
                  <w:r>
                    <w:rPr>
                      <w:sz w:val="21"/>
                    </w:rPr>
                    <w:t>201号101室、601室</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2244</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太和镇兴丰村颐康服务站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太和镇兴丰秧地乪路</w:t>
                  </w:r>
                  <w:r>
                    <w:rPr>
                      <w:sz w:val="21"/>
                    </w:rPr>
                    <w:t>27号1楼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430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太和镇穗丰村颐康服务站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太和镇穗丰村罗布洞</w:t>
                  </w:r>
                  <w:r>
                    <w:rPr>
                      <w:sz w:val="21"/>
                    </w:rPr>
                    <w:t>69号1楼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太和镇白山村颐康服务站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太和镇白山村兴太路</w:t>
                  </w:r>
                  <w:r>
                    <w:rPr>
                      <w:sz w:val="21"/>
                    </w:rPr>
                    <w:t>2号78号2楼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太和镇头陂村颐康服务站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太和镇头陂村龙迳南街</w:t>
                  </w:r>
                  <w:r>
                    <w:rPr>
                      <w:sz w:val="21"/>
                    </w:rPr>
                    <w:t>1号</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太和镇沙亭村颐康服务站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太和镇沙亭村沙亭南路</w:t>
                  </w:r>
                  <w:r>
                    <w:rPr>
                      <w:sz w:val="21"/>
                    </w:rPr>
                    <w:t>28－4号1楼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太和镇田心村颐康服务站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太和镇田心村江街</w:t>
                  </w:r>
                  <w:r>
                    <w:rPr>
                      <w:sz w:val="21"/>
                    </w:rPr>
                    <w:t>15号1楼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太和镇草庄村颐康服务站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太和镇草庄村中街</w:t>
                  </w:r>
                  <w:r>
                    <w:rPr>
                      <w:sz w:val="21"/>
                    </w:rPr>
                    <w:t>1号1楼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太和镇和龙村颐康服务站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太和镇和龙四社罗洞二街</w:t>
                  </w:r>
                  <w:r>
                    <w:rPr>
                      <w:sz w:val="21"/>
                    </w:rPr>
                    <w:t>2号1楼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太和镇大沥村颐康服务站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太和镇大沥村西约</w:t>
                  </w:r>
                  <w:r>
                    <w:rPr>
                      <w:sz w:val="21"/>
                    </w:rPr>
                    <w:t>1巷1号1楼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太和镇谢家庄村颐康服务站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太和镇谢家庄村谢家庄东兴西路</w:t>
                  </w:r>
                  <w:r>
                    <w:rPr>
                      <w:sz w:val="21"/>
                    </w:rPr>
                    <w:t>1号1.2楼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太和镇营溪村颐康服务站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太和镇营溪村营西街</w:t>
                  </w:r>
                  <w:r>
                    <w:rPr>
                      <w:sz w:val="21"/>
                    </w:rPr>
                    <w:t>30号</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250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太和镇和珊社区颐康服务站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太和镇珊景步行街文化体育中心太和镇社工服务站</w:t>
                  </w:r>
                  <w:r>
                    <w:rPr>
                      <w:sz w:val="21"/>
                    </w:rPr>
                    <w:t>1楼、2楼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太和镇联升社区颐康服务站</w:t>
                  </w:r>
                </w:p>
                <w:p>
                  <w:pPr>
                    <w:jc w:val="center"/>
                  </w:pPr>
                  <w:r>
                    <w:rPr>
                      <w:sz w:val="21"/>
                    </w:rPr>
                    <w:t>（未运营）</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太和镇和意二街</w:t>
                  </w:r>
                  <w:r>
                    <w:rPr>
                      <w:sz w:val="21"/>
                    </w:rPr>
                    <w:t>24号</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太和镇丰泰社区颐康服务站</w:t>
                  </w:r>
                </w:p>
              </w:tc>
              <w:tc>
                <w:tcPr>
                  <w:tcW w:type="dxa" w:w="2595"/>
                  <w:tcBorders>
                    <w:top w:val="none" w:color="000000" w:sz="4"/>
                    <w:left w:val="single" w:color="000000" w:sz="4"/>
                    <w:bottom w:val="single" w:color="000000" w:sz="4"/>
                    <w:right w:val="single" w:color="000000" w:sz="4"/>
                  </w:tcBorders>
                  <w:vAlign w:val="top"/>
                </w:tcPr>
                <w:p>
                  <w:pPr>
                    <w:jc w:val="center"/>
                  </w:pPr>
                  <w:r>
                    <w:rPr>
                      <w:sz w:val="21"/>
                    </w:rPr>
                    <w:t>太和镇广从三路</w:t>
                  </w:r>
                  <w:r>
                    <w:rPr>
                      <w:sz w:val="21"/>
                    </w:rPr>
                    <w:t>92号一楼</w:t>
                  </w:r>
                </w:p>
              </w:tc>
              <w:tc>
                <w:tcPr>
                  <w:tcW w:type="dxa" w:w="850"/>
                  <w:tcBorders>
                    <w:top w:val="none" w:color="000000" w:sz="4"/>
                    <w:left w:val="single" w:color="000000" w:sz="4"/>
                    <w:bottom w:val="single" w:color="000000" w:sz="4"/>
                    <w:right w:val="single" w:color="000000" w:sz="4"/>
                  </w:tcBorders>
                  <w:vAlign w:val="top"/>
                </w:tcPr>
                <w:p>
                  <w:pPr>
                    <w:jc w:val="center"/>
                  </w:pPr>
                  <w:r>
                    <w:rPr>
                      <w:sz w:val="21"/>
                    </w:rPr>
                    <w:t>200</w:t>
                  </w:r>
                </w:p>
              </w:tc>
            </w:tr>
          </w:tbl>
          <w:p>
            <w:pPr>
              <w:jc w:val="left"/>
            </w:pPr>
            <w:r>
              <w:rPr>
                <w:b/>
                <w:sz w:val="21"/>
              </w:rPr>
              <w:t>（注：成交供应商根据实际情况开展建设和运营，如地址变更，以实际情况为准。）</w:t>
            </w:r>
          </w:p>
          <w:p>
            <w:pPr>
              <w:jc w:val="both"/>
            </w:pPr>
          </w:p>
          <w:p>
            <w:pPr>
              <w:jc w:val="center"/>
            </w:pPr>
            <w:r>
              <w:rPr>
                <w:b/>
                <w:sz w:val="21"/>
              </w:rPr>
              <w:t>（长者饭堂）</w:t>
            </w:r>
          </w:p>
          <w:tbl>
            <w:tblPr>
              <w:tblBorders>
                <w:top w:val="none" w:color="000000" w:sz="4"/>
                <w:left w:val="none" w:color="000000" w:sz="4"/>
                <w:bottom w:val="none" w:color="000000" w:sz="4"/>
                <w:right w:val="none" w:color="000000" w:sz="4"/>
                <w:insideH w:val="none"/>
                <w:insideV w:val="none"/>
              </w:tblBorders>
            </w:tblPr>
            <w:tblGrid>
              <w:gridCol w:w="491"/>
              <w:gridCol w:w="1839"/>
              <w:gridCol w:w="2058"/>
              <w:gridCol w:w="1210"/>
            </w:tblGrid>
            <w:tr>
              <w:tc>
                <w:tcPr>
                  <w:tcW w:type="dxa" w:w="49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39"/>
                  <w:tcBorders>
                    <w:top w:val="single" w:color="000000" w:sz="4"/>
                    <w:left w:val="single" w:color="000000" w:sz="4"/>
                    <w:bottom w:val="single" w:color="000000" w:sz="4"/>
                    <w:right w:val="single" w:color="000000" w:sz="4"/>
                  </w:tcBorders>
                  <w:vAlign w:val="top"/>
                </w:tcPr>
                <w:p>
                  <w:pPr>
                    <w:jc w:val="center"/>
                  </w:pPr>
                  <w:r>
                    <w:rPr>
                      <w:b/>
                      <w:sz w:val="21"/>
                    </w:rPr>
                    <w:t>设施名称</w:t>
                  </w:r>
                </w:p>
              </w:tc>
              <w:tc>
                <w:tcPr>
                  <w:tcW w:type="dxa" w:w="2058"/>
                  <w:tcBorders>
                    <w:top w:val="single" w:color="000000" w:sz="4"/>
                    <w:left w:val="single" w:color="000000" w:sz="4"/>
                    <w:bottom w:val="single" w:color="000000" w:sz="4"/>
                    <w:right w:val="single" w:color="000000" w:sz="4"/>
                  </w:tcBorders>
                  <w:vAlign w:val="top"/>
                </w:tcPr>
                <w:p>
                  <w:pPr>
                    <w:jc w:val="center"/>
                  </w:pPr>
                  <w:r>
                    <w:rPr>
                      <w:b/>
                      <w:sz w:val="21"/>
                    </w:rPr>
                    <w:t>设施地址（具体到楼层）</w:t>
                  </w:r>
                </w:p>
              </w:tc>
              <w:tc>
                <w:tcPr>
                  <w:tcW w:type="dxa" w:w="1210"/>
                  <w:tcBorders>
                    <w:top w:val="single" w:color="000000" w:sz="4"/>
                    <w:left w:val="single" w:color="000000" w:sz="4"/>
                    <w:bottom w:val="single" w:color="000000" w:sz="4"/>
                    <w:right w:val="single" w:color="000000" w:sz="4"/>
                  </w:tcBorders>
                  <w:vAlign w:val="top"/>
                </w:tcPr>
                <w:p>
                  <w:pPr>
                    <w:jc w:val="center"/>
                  </w:pPr>
                  <w:r>
                    <w:rPr>
                      <w:b/>
                      <w:sz w:val="21"/>
                    </w:rPr>
                    <w:t>可使用面积（㎡）</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太和镇谢家庄村（西片）长者饭堂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太和镇太和北路</w:t>
                  </w:r>
                  <w:r>
                    <w:rPr>
                      <w:sz w:val="21"/>
                    </w:rPr>
                    <w:t>201号101室</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1350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太和镇兴丰村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太和镇兴丰秧地乪路</w:t>
                  </w:r>
                  <w:r>
                    <w:rPr>
                      <w:sz w:val="21"/>
                    </w:rPr>
                    <w:t>27号1楼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430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太和镇穗丰村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太和镇穗丰村罗布洞</w:t>
                  </w:r>
                  <w:r>
                    <w:rPr>
                      <w:sz w:val="21"/>
                    </w:rPr>
                    <w:t>69号1楼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太和镇白山村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太和镇白山村兴太路</w:t>
                  </w:r>
                  <w:r>
                    <w:rPr>
                      <w:sz w:val="21"/>
                    </w:rPr>
                    <w:t>2号78号2楼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太和镇头陂村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太和镇头陂村龙迳南街</w:t>
                  </w:r>
                  <w:r>
                    <w:rPr>
                      <w:sz w:val="21"/>
                    </w:rPr>
                    <w:t>1号</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太和镇沙亭村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太和镇沙亭村沙亭南路</w:t>
                  </w:r>
                  <w:r>
                    <w:rPr>
                      <w:sz w:val="21"/>
                    </w:rPr>
                    <w:t>28－4号1楼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太和镇田心村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太和镇田心村江街</w:t>
                  </w:r>
                  <w:r>
                    <w:rPr>
                      <w:sz w:val="21"/>
                    </w:rPr>
                    <w:t>15号1楼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太和镇草庄村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太和镇草庄村中街</w:t>
                  </w:r>
                  <w:r>
                    <w:rPr>
                      <w:sz w:val="21"/>
                    </w:rPr>
                    <w:t>1号1楼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太和镇和龙村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太和镇和龙四社罗洞二街</w:t>
                  </w:r>
                  <w:r>
                    <w:rPr>
                      <w:sz w:val="21"/>
                    </w:rPr>
                    <w:t>2号1楼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太和镇大沥村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太和镇大沥村西约</w:t>
                  </w:r>
                  <w:r>
                    <w:rPr>
                      <w:sz w:val="21"/>
                    </w:rPr>
                    <w:t>1巷1号1楼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太和镇谢家庄村（东片）长者饭堂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太和镇谢家庄村谢家庄东兴西路</w:t>
                  </w:r>
                  <w:r>
                    <w:rPr>
                      <w:sz w:val="21"/>
                    </w:rPr>
                    <w:t>1号1.2楼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太和镇营溪村</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白云区太和镇营溪村营西街</w:t>
                  </w:r>
                  <w:r>
                    <w:rPr>
                      <w:sz w:val="21"/>
                    </w:rPr>
                    <w:t>30号</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250</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39"/>
                  <w:tcBorders>
                    <w:top w:val="none" w:color="000000" w:sz="4"/>
                    <w:left w:val="single" w:color="000000" w:sz="4"/>
                    <w:bottom w:val="single" w:color="000000" w:sz="4"/>
                    <w:right w:val="single" w:color="000000" w:sz="4"/>
                  </w:tcBorders>
                  <w:vAlign w:val="top"/>
                </w:tcPr>
                <w:p>
                  <w:pPr>
                    <w:jc w:val="center"/>
                  </w:pPr>
                  <w:r>
                    <w:rPr>
                      <w:sz w:val="21"/>
                    </w:rPr>
                    <w:t>太和镇和珊社区</w:t>
                  </w:r>
                  <w:r>
                    <w:rPr>
                      <w:sz w:val="21"/>
                    </w:rPr>
                    <w:t>长者饭堂</w:t>
                  </w:r>
                </w:p>
              </w:tc>
              <w:tc>
                <w:tcPr>
                  <w:tcW w:type="dxa" w:w="2058"/>
                  <w:tcBorders>
                    <w:top w:val="none" w:color="000000" w:sz="4"/>
                    <w:left w:val="single" w:color="000000" w:sz="4"/>
                    <w:bottom w:val="single" w:color="000000" w:sz="4"/>
                    <w:right w:val="single" w:color="000000" w:sz="4"/>
                  </w:tcBorders>
                  <w:vAlign w:val="top"/>
                </w:tcPr>
                <w:p>
                  <w:pPr>
                    <w:jc w:val="center"/>
                  </w:pPr>
                  <w:r>
                    <w:rPr>
                      <w:sz w:val="21"/>
                    </w:rPr>
                    <w:t>白云区太和镇珊景步行街文化体育中心太和镇社工服务站</w:t>
                  </w:r>
                  <w:r>
                    <w:rPr>
                      <w:sz w:val="21"/>
                    </w:rPr>
                    <w:t>1楼</w:t>
                  </w:r>
                </w:p>
              </w:tc>
              <w:tc>
                <w:tcPr>
                  <w:tcW w:type="dxa" w:w="1210"/>
                  <w:tcBorders>
                    <w:top w:val="none" w:color="000000" w:sz="4"/>
                    <w:left w:val="single" w:color="000000" w:sz="4"/>
                    <w:bottom w:val="single" w:color="000000" w:sz="4"/>
                    <w:right w:val="single" w:color="000000" w:sz="4"/>
                  </w:tcBorders>
                  <w:vAlign w:val="top"/>
                </w:tcPr>
                <w:p>
                  <w:pPr>
                    <w:jc w:val="center"/>
                  </w:pPr>
                  <w:r>
                    <w:rPr>
                      <w:sz w:val="21"/>
                    </w:rPr>
                    <w:t>200</w:t>
                  </w:r>
                </w:p>
              </w:tc>
            </w:tr>
          </w:tbl>
          <w:p>
            <w:pPr>
              <w:jc w:val="left"/>
            </w:pPr>
            <w:r>
              <w:rPr>
                <w:b/>
                <w:sz w:val="21"/>
              </w:rPr>
              <w:t>（注：成交供应商根据实际情况开展建设和运营，如地址变更，以实际情况为准。）</w:t>
            </w:r>
          </w:p>
          <w:p>
            <w:pPr>
              <w:ind w:firstLine="420"/>
              <w:jc w:val="left"/>
            </w:pPr>
            <w:r>
              <w:rPr>
                <w:b/>
                <w:sz w:val="21"/>
              </w:rPr>
              <w:t>（三）服务区域：</w:t>
            </w:r>
            <w:r>
              <w:rPr>
                <w:b/>
                <w:sz w:val="21"/>
              </w:rPr>
              <w:t>广州市白云区太和镇</w:t>
            </w:r>
            <w:r>
              <w:rPr>
                <w:b/>
                <w:sz w:val="21"/>
              </w:rPr>
              <w:t>。</w:t>
            </w:r>
          </w:p>
          <w:p>
            <w:pPr>
              <w:ind w:firstLine="420"/>
              <w:jc w:val="left"/>
            </w:pPr>
            <w:r>
              <w:rPr>
                <w:b/>
                <w:sz w:val="21"/>
              </w:rPr>
              <w:t>（四）服务对象：为太和镇综合养老服务中心（颐康中心）、村居颐康服务站、区域内有需求的</w:t>
            </w:r>
            <w:r>
              <w:rPr>
                <w:b/>
                <w:sz w:val="21"/>
              </w:rPr>
              <w:t>60周岁及以上居家老年人，</w:t>
            </w:r>
            <w:r>
              <w:rPr>
                <w:b/>
                <w:sz w:val="21"/>
              </w:rPr>
              <w:t>以享受政府资助的居家社区养老服务的老年群体作为重点对象，服务率须达到</w:t>
            </w:r>
            <w:r>
              <w:rPr>
                <w:b/>
                <w:sz w:val="21"/>
              </w:rPr>
              <w:t>100%；同时发展区域内的老年群体成为服务对象，覆盖率须达到100%。</w:t>
            </w:r>
          </w:p>
          <w:p>
            <w:pPr>
              <w:ind w:firstLine="420"/>
              <w:jc w:val="left"/>
            </w:pPr>
            <w:r>
              <w:rPr>
                <w:b/>
                <w:sz w:val="21"/>
              </w:rPr>
              <w:t>（五）服务形式</w:t>
            </w:r>
          </w:p>
          <w:p>
            <w:pPr>
              <w:ind w:firstLine="420"/>
              <w:jc w:val="both"/>
            </w:pPr>
            <w:r>
              <w:rPr>
                <w:sz w:val="21"/>
              </w:rPr>
              <w:t>根据提供服务时的场所不同，分为上门服务和到服务点服务。</w:t>
            </w:r>
          </w:p>
          <w:p>
            <w:pPr>
              <w:ind w:firstLine="420"/>
              <w:jc w:val="left"/>
            </w:pPr>
            <w:r>
              <w:rPr>
                <w:b/>
                <w:sz w:val="21"/>
              </w:rPr>
              <w:t>（六）服务指标</w:t>
            </w:r>
          </w:p>
          <w:p>
            <w:pPr>
              <w:ind w:firstLine="420"/>
              <w:jc w:val="both"/>
            </w:pPr>
            <w:r>
              <w:rPr>
                <w:sz w:val="21"/>
              </w:rPr>
              <w:t>本项目需要配备至少</w:t>
            </w:r>
            <w:r>
              <w:rPr>
                <w:sz w:val="21"/>
              </w:rPr>
              <w:t>8名全职（专职）工作人员，须配备1名专职的项目管理人员。镇居家养老综合服务平台年度最低服务总工时为29100小时，最高服务总工时为36652小时。</w:t>
            </w:r>
          </w:p>
          <w:p>
            <w:pPr>
              <w:ind w:firstLine="422"/>
              <w:jc w:val="center"/>
            </w:pPr>
          </w:p>
          <w:p>
            <w:pPr>
              <w:ind w:firstLine="422"/>
              <w:jc w:val="center"/>
            </w:pPr>
            <w:r>
              <w:rPr>
                <w:b/>
                <w:sz w:val="21"/>
              </w:rPr>
              <w:t>表</w:t>
            </w:r>
            <w:r>
              <w:rPr>
                <w:b/>
                <w:sz w:val="21"/>
              </w:rPr>
              <w:t>3 服务指标表</w:t>
            </w:r>
          </w:p>
          <w:tbl>
            <w:tblPr>
              <w:tblInd w:type="dxa" w:w="120"/>
              <w:tblBorders>
                <w:top w:val="none" w:color="000000" w:sz="4"/>
                <w:left w:val="none" w:color="000000" w:sz="4"/>
                <w:bottom w:val="none" w:color="000000" w:sz="4"/>
                <w:right w:val="none" w:color="000000" w:sz="4"/>
                <w:insideH w:val="none"/>
                <w:insideV w:val="none"/>
              </w:tblBorders>
            </w:tblPr>
            <w:tblGrid>
              <w:gridCol w:w="636"/>
              <w:gridCol w:w="427"/>
              <w:gridCol w:w="427"/>
              <w:gridCol w:w="2512"/>
              <w:gridCol w:w="427"/>
              <w:gridCol w:w="740"/>
              <w:gridCol w:w="427"/>
            </w:tblGrid>
            <w:tr>
              <w:tc>
                <w:tcPr>
                  <w:tcW w:type="dxa" w:w="636"/>
                  <w:tcBorders>
                    <w:top w:val="single" w:color="000000" w:sz="4"/>
                    <w:left w:val="single" w:color="000000" w:sz="4"/>
                    <w:bottom w:val="single" w:color="000000" w:sz="4"/>
                    <w:right w:val="single" w:color="000000" w:sz="4"/>
                  </w:tcBorders>
                  <w:vAlign w:val="top"/>
                </w:tcPr>
                <w:p>
                  <w:pPr>
                    <w:jc w:val="left"/>
                  </w:pPr>
                  <w:r>
                    <w:rPr>
                      <w:b/>
                      <w:sz w:val="21"/>
                    </w:rPr>
                    <w:t>序号</w:t>
                  </w:r>
                </w:p>
              </w:tc>
              <w:tc>
                <w:tcPr>
                  <w:tcW w:type="dxa" w:w="427"/>
                  <w:tcBorders>
                    <w:top w:val="single" w:color="000000" w:sz="4"/>
                    <w:left w:val="single" w:color="000000" w:sz="4"/>
                    <w:bottom w:val="single" w:color="000000" w:sz="4"/>
                    <w:right w:val="single" w:color="000000" w:sz="4"/>
                  </w:tcBorders>
                  <w:vAlign w:val="top"/>
                </w:tcPr>
                <w:p>
                  <w:pPr>
                    <w:jc w:val="center"/>
                  </w:pPr>
                  <w:r>
                    <w:rPr>
                      <w:b/>
                      <w:sz w:val="21"/>
                    </w:rPr>
                    <w:t>服务类别</w:t>
                  </w:r>
                </w:p>
              </w:tc>
              <w:tc>
                <w:tcPr>
                  <w:tcW w:type="dxa" w:w="427"/>
                  <w:tcBorders>
                    <w:top w:val="single" w:color="000000" w:sz="4"/>
                    <w:left w:val="single" w:color="000000" w:sz="4"/>
                    <w:bottom w:val="single" w:color="000000" w:sz="4"/>
                    <w:right w:val="single" w:color="000000" w:sz="4"/>
                  </w:tcBorders>
                  <w:vAlign w:val="top"/>
                </w:tcPr>
                <w:p>
                  <w:pPr>
                    <w:jc w:val="center"/>
                  </w:pPr>
                  <w:r>
                    <w:rPr>
                      <w:b/>
                      <w:sz w:val="21"/>
                    </w:rPr>
                    <w:t>服务项目</w:t>
                  </w:r>
                </w:p>
              </w:tc>
              <w:tc>
                <w:tcPr>
                  <w:tcW w:type="dxa" w:w="2512"/>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427"/>
                  <w:tcBorders>
                    <w:top w:val="single" w:color="000000" w:sz="4"/>
                    <w:left w:val="single" w:color="000000" w:sz="4"/>
                    <w:bottom w:val="single" w:color="000000" w:sz="4"/>
                    <w:right w:val="single" w:color="000000" w:sz="4"/>
                  </w:tcBorders>
                  <w:vAlign w:val="top"/>
                </w:tcPr>
                <w:p>
                  <w:pPr>
                    <w:jc w:val="center"/>
                  </w:pPr>
                  <w:r>
                    <w:rPr>
                      <w:b/>
                      <w:sz w:val="21"/>
                    </w:rPr>
                    <w:t>指标单位</w:t>
                  </w:r>
                </w:p>
              </w:tc>
              <w:tc>
                <w:tcPr>
                  <w:tcW w:type="dxa" w:w="740"/>
                  <w:tcBorders>
                    <w:top w:val="single" w:color="000000" w:sz="4"/>
                    <w:left w:val="single" w:color="000000" w:sz="4"/>
                    <w:bottom w:val="single" w:color="000000" w:sz="4"/>
                    <w:right w:val="single" w:color="000000" w:sz="4"/>
                  </w:tcBorders>
                  <w:vAlign w:val="top"/>
                </w:tcPr>
                <w:p>
                  <w:pPr>
                    <w:jc w:val="center"/>
                  </w:pPr>
                  <w:r>
                    <w:rPr>
                      <w:b/>
                      <w:sz w:val="21"/>
                    </w:rPr>
                    <w:t>最低量化指标</w:t>
                  </w:r>
                </w:p>
              </w:tc>
              <w:tc>
                <w:tcPr>
                  <w:tcW w:type="dxa" w:w="42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1</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养老服务向导</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养老服务向导</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1.协助有需要的老人进行服务申请、查询或转介；</w:t>
                  </w:r>
                </w:p>
                <w:p>
                  <w:pPr>
                    <w:jc w:val="left"/>
                  </w:pPr>
                  <w:r>
                    <w:rPr>
                      <w:sz w:val="21"/>
                    </w:rPr>
                    <w:t>2.养老服务向导员熟悉相关政策内容，能及时、准确回应咨询问题</w:t>
                  </w:r>
                  <w:r>
                    <w:rPr>
                      <w:sz w:val="21"/>
                    </w:rPr>
                    <w:t>。</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2</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助餐配餐</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助餐配餐</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按照</w:t>
                  </w:r>
                  <w:r>
                    <w:rPr>
                      <w:sz w:val="21"/>
                    </w:rPr>
                    <w:t>广州</w:t>
                  </w:r>
                  <w:r>
                    <w:rPr>
                      <w:sz w:val="21"/>
                    </w:rPr>
                    <w:t>市助餐配餐服务政策规定及地方标准《居家社区养老</w:t>
                  </w:r>
                  <w:r>
                    <w:rPr>
                      <w:sz w:val="21"/>
                    </w:rPr>
                    <w:t>-助餐配餐服务规范》(DB 4401/T 214-2023)，规范开展服务。</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12500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3</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生活照料</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助洁服务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1.居家清洁：对客厅、卧室、厨房、洗浴间、卫生间等居家环境进行清扫、清洁；</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2330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left"/>
                  </w:pPr>
                  <w:r>
                    <w:rPr>
                      <w:sz w:val="21"/>
                    </w:rPr>
                    <w:t>2.物品整理：整理床铺（铺床、叠被子）及其他物品。</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洗涤服务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清洗与晾晒衣物、床上用品（床单、被套、枕套）、窗帘、毛巾等。洗涤方式分为上门洗涤和集中送洗，大件、贵重衣物可采用集中送洗方式。</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陪伴就医</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代预约挂号、陪诊、协助与医生沟通、取药、缴费、陪同往返、协助出行等。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陪同外出</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户外活动陪伴，陪护行动不便的服务对象到户外活动、包括（但不限于）参加社区活动、散步、购物等。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上门做餐</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代买食材、清洗烹饪、协助进食、餐后卫生等。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代办服务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代预约挂号、银行打薄、排队；代缴纳水电、煤气、话费等；代收寄快递；代领物品；代送物品；代买生活必需品；协助报修设备及物品；协助申请相关事务等。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个人护理</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1.皮肤外用药物涂擦；留置尿管护理；人工肛门便袋护理；口腔清洁；协助翻身；褥疮预防；叩背排痰等；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left"/>
                  </w:pPr>
                  <w:r>
                    <w:rPr>
                      <w:sz w:val="21"/>
                    </w:rPr>
                    <w:t>2.协助穿（脱）衣；洗脸；梳头；剪发；剃须；刷牙；漱口、洗手；洗足；会阴清洁；修剪指（趾）甲。</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协助进餐</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喂食或帮助服务对象使用辅助器材进食，包括喂水、喂饭、鼻饲、喂药等。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助浴服务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洗头；洗澡（温水擦浴、沐浴）；床上浴、更换衣物。</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日常提示</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根据医嘱或家属要求按时提醒老年人吃药、取药，提醒就医或办理相关事务。</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情感关怀</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陪同聊天、定期探访（上门</w:t>
                  </w:r>
                  <w:r>
                    <w:rPr>
                      <w:sz w:val="21"/>
                    </w:rPr>
                    <w:t>/电访）。</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助行服务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协助服务对象行走、外出、散步，协助其使用助行器</w:t>
                  </w:r>
                  <w:r>
                    <w:rPr>
                      <w:sz w:val="21"/>
                    </w:rPr>
                    <w:t>/步行器移动。</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其他护理</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睡眠照顾（协助脱去衣裤就寝，盖被，定时翻身）；热水袋保暖；更换床上用品等</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服务要求</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按照广州市地方标准《社区居家养老服务规范》</w:t>
                  </w:r>
                  <w:r>
                    <w:rPr>
                      <w:sz w:val="21"/>
                    </w:rPr>
                    <w:t>(DB4401/T 82-2020)开展服务。</w:t>
                  </w: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4</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定期巡访</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制定巡访方案</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安排专人管理巡访工作，根据巡访对象评估情况、风险等级和个人意愿合理确定巡访频次，制定巡访方案，一般对象应至少每月巡访一次，重点帮扶对象适当缩短巡访时间间隔，提高巡访频次。</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2200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日常问候</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采取电话</w:t>
                  </w:r>
                  <w:r>
                    <w:rPr>
                      <w:sz w:val="21"/>
                    </w:rPr>
                    <w:t>(视频)问候、上门访问等方式开展巡访，记录巡访情况；巡访对象生日或遇到传统节日时应进行问候。</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定期检查</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安排专业人员定期检查巡访对象家庭的水、电、煤气等设施运行情况，排除安全隐患，并有相关记录。</w:t>
                  </w: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5</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辅具租赁</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辅具租赁</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提供电话预定、送货上门服务。租赁期满的用品应统一回收、清洗、消毒。</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6</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平安通</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转介服务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为长者提供平安通转介服务</w:t>
                  </w:r>
                  <w:r>
                    <w:rPr>
                      <w:sz w:val="21"/>
                    </w:rPr>
                    <w:t>。</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7</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家庭照护培训</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照护需求调研</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面向服务对象的家庭照护者进行培训需求调研，制定家庭照护培训计划，明确工作流程、培训对象、培训方式、培训内容等信息。</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1260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照护培训</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培训内容包括但不限于照护知识与技能培训、心理健康咨询和健康管理以及其他有助于支持家庭承担养老功能的服务。</w:t>
                  </w: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8</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文体教育</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文体康乐活动</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开展的文体康乐活动</w:t>
                  </w:r>
                  <w:r>
                    <w:rPr>
                      <w:sz w:val="21"/>
                    </w:rPr>
                    <w:t>≥6项，如阅览、书法、绘画、音乐、棋牌、歌舞等。</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3600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节假日活动</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逢传统节日能够安排相应的主题活动，每年</w:t>
                  </w:r>
                  <w:r>
                    <w:rPr>
                      <w:sz w:val="21"/>
                    </w:rPr>
                    <w:t>≥2次。</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长者教育</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有长期开展教育类活动</w:t>
                  </w:r>
                  <w:r>
                    <w:rPr>
                      <w:sz w:val="21"/>
                    </w:rPr>
                    <w:t>(如老年大学、老年教育、老年培训、长者学堂等)，提升老年人能力。</w:t>
                  </w: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9</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居家适老化改造</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居家适老化改造</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1.居家适老化改造应由有资质的机构或专业人员提供服务。实施的改造项目须符合《无障碍设计规范》(GB50763-2012)、《无障碍设施施工验收及维护规范》(GB50642-2011)等标准规范，施工所需物资、产品、器材等须符合国家质量标准。</w:t>
                  </w:r>
                </w:p>
                <w:p>
                  <w:pPr>
                    <w:jc w:val="left"/>
                  </w:pPr>
                  <w:r>
                    <w:rPr>
                      <w:sz w:val="21"/>
                    </w:rPr>
                    <w:t>2.改造前，应对服务对象的家居环境、房屋结构进行科学、专业的评估，并制定合理的改造方案。</w:t>
                  </w:r>
                </w:p>
                <w:p>
                  <w:pPr>
                    <w:jc w:val="left"/>
                  </w:pPr>
                  <w:r>
                    <w:rPr>
                      <w:sz w:val="21"/>
                    </w:rPr>
                    <w:t>3.提供地面改造、门改造、卧室改造、如厕洗浴设备改造、厨房设备改造、物理环境改造、老年用品配置等改造服务</w:t>
                  </w:r>
                  <w:r>
                    <w:rPr>
                      <w:sz w:val="21"/>
                    </w:rPr>
                    <w:t>。</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10</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家庭养老床位</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服务前评估</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1.提供服务前对老年人居家环境和照护需求进行评估，并制定相应的适老化与智能化改造方案、改造费用清单、照顾服务计划。</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服务说明</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交付给服务对象的服务协议、智能设备、产品资料等物品明确服务咨询和投诉方式。</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服务维保</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适老化、智能化设施设备提供一年质保期并负责维保。</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服务监控</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安排人员</w:t>
                  </w:r>
                  <w:r>
                    <w:rPr>
                      <w:sz w:val="21"/>
                    </w:rPr>
                    <w:t>24小时值班监控，设备在线率不低于80%。</w:t>
                  </w: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上门服务</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供应商</w:t>
                  </w:r>
                  <w:r>
                    <w:rPr>
                      <w:sz w:val="21"/>
                    </w:rPr>
                    <w:t>为老年人建床后，每月提供至少</w:t>
                  </w:r>
                  <w:r>
                    <w:rPr>
                      <w:sz w:val="21"/>
                    </w:rPr>
                    <w:t>1次上门服务，通过家床机构服务系统实时采集服务数据，并汇总上传至广州市为老服务综合平台。</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11</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日间托管</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服务评估</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在服务前为老年人进行照护需求评估，制定个性化的照顾计划。</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3520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服务安排</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每日有相对固定的活动安排。</w:t>
                  </w:r>
                </w:p>
              </w:tc>
            </w:tr>
            <w:tr>
              <w:tc>
                <w:tcPr>
                  <w:tcW w:type="dxa" w:w="636"/>
                  <w:tcBorders>
                    <w:top w:val="none" w:color="000000" w:sz="4"/>
                    <w:left w:val="single" w:color="000000" w:sz="4"/>
                    <w:bottom w:val="single" w:color="000000" w:sz="4"/>
                    <w:right w:val="single" w:color="000000" w:sz="4"/>
                  </w:tcBorders>
                  <w:vAlign w:val="top"/>
                </w:tcPr>
                <w:p>
                  <w:pPr>
                    <w:jc w:val="left"/>
                  </w:pPr>
                  <w:r>
                    <w:rPr>
                      <w:b/>
                      <w:sz w:val="21"/>
                    </w:rPr>
                    <w:t>▲</w:t>
                  </w:r>
                  <w:r>
                    <w:rPr>
                      <w:sz w:val="21"/>
                    </w:rPr>
                    <w:t>12</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临时托养</w:t>
                  </w:r>
                  <w:r>
                    <w:rPr>
                      <w:sz w:val="21"/>
                    </w:rPr>
                    <w:t>/长期托养</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服务提供</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按照国家标准《养老机构服务质量基本规范》</w:t>
                  </w:r>
                  <w:r>
                    <w:rPr>
                      <w:sz w:val="21"/>
                    </w:rPr>
                    <w:t>(GB/T 35796-2017)开展服务。</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740"/>
                  <w:tcBorders>
                    <w:top w:val="none" w:color="000000" w:sz="4"/>
                    <w:left w:val="single" w:color="000000" w:sz="4"/>
                    <w:bottom w:val="single" w:color="000000" w:sz="4"/>
                    <w:right w:val="single" w:color="000000" w:sz="4"/>
                  </w:tcBorders>
                  <w:vAlign w:val="top"/>
                </w:tcPr>
                <w:p>
                  <w:pPr>
                    <w:jc w:val="center"/>
                  </w:pPr>
                  <w:r>
                    <w:rPr>
                      <w:sz w:val="21"/>
                    </w:rPr>
                    <w:t>0</w:t>
                  </w:r>
                </w:p>
              </w:tc>
              <w:tc>
                <w:tcPr>
                  <w:tcW w:type="dxa" w:w="427"/>
                  <w:tcBorders>
                    <w:top w:val="none" w:color="000000" w:sz="4"/>
                    <w:left w:val="single" w:color="000000" w:sz="4"/>
                    <w:bottom w:val="single" w:color="000000" w:sz="4"/>
                    <w:right w:val="single" w:color="000000" w:sz="4"/>
                  </w:tcBorders>
                  <w:vAlign w:val="top"/>
                </w:tcPr>
                <w:p>
                  <w:pPr>
                    <w:jc w:val="center"/>
                  </w:pPr>
                </w:p>
              </w:tc>
            </w:tr>
            <w:tr>
              <w:tc>
                <w:tcPr>
                  <w:tcW w:type="dxa" w:w="636"/>
                  <w:vMerge w:val="restart"/>
                  <w:tcBorders>
                    <w:top w:val="none" w:color="000000" w:sz="4"/>
                    <w:left w:val="single" w:color="000000" w:sz="4"/>
                    <w:bottom w:val="single" w:color="000000" w:sz="4"/>
                    <w:right w:val="single" w:color="000000" w:sz="4"/>
                  </w:tcBorders>
                  <w:vAlign w:val="top"/>
                </w:tcPr>
                <w:p>
                  <w:pPr>
                    <w:jc w:val="left"/>
                  </w:pPr>
                  <w:r>
                    <w:rPr>
                      <w:b/>
                      <w:sz w:val="21"/>
                    </w:rPr>
                    <w:t>▲</w:t>
                  </w:r>
                  <w:r>
                    <w:rPr>
                      <w:sz w:val="21"/>
                    </w:rPr>
                    <w:t>13</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医养康养</w:t>
                  </w:r>
                  <w:r>
                    <w:rPr>
                      <w:sz w:val="21"/>
                    </w:rPr>
                    <w:t>/康复护理</w:t>
                  </w: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服务评估</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由专业人员评估服务对象的身体状况并制定训练计划，对服务对象的身体情况、训练情况、效果及反馈等进行记录。</w:t>
                  </w:r>
                </w:p>
              </w:tc>
              <w:tc>
                <w:tcPr>
                  <w:tcW w:type="dxa" w:w="427"/>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740"/>
                  <w:vMerge w:val="restart"/>
                  <w:tcBorders>
                    <w:top w:val="none" w:color="000000" w:sz="4"/>
                    <w:left w:val="single" w:color="000000" w:sz="4"/>
                    <w:bottom w:val="single" w:color="000000" w:sz="4"/>
                    <w:right w:val="single" w:color="000000" w:sz="4"/>
                  </w:tcBorders>
                  <w:vAlign w:val="top"/>
                </w:tcPr>
                <w:p>
                  <w:pPr>
                    <w:jc w:val="center"/>
                  </w:pPr>
                  <w:r>
                    <w:rPr>
                      <w:sz w:val="21"/>
                    </w:rPr>
                    <w:t>3500</w:t>
                  </w:r>
                </w:p>
              </w:tc>
              <w:tc>
                <w:tcPr>
                  <w:tcW w:type="dxa" w:w="427"/>
                  <w:vMerge w:val="restart"/>
                  <w:tcBorders>
                    <w:top w:val="none" w:color="000000" w:sz="4"/>
                    <w:left w:val="single" w:color="000000" w:sz="4"/>
                    <w:bottom w:val="single" w:color="000000" w:sz="4"/>
                    <w:right w:val="single" w:color="000000" w:sz="4"/>
                  </w:tcBorders>
                  <w:vAlign w:val="top"/>
                </w:tcPr>
                <w:p>
                  <w:pPr>
                    <w:jc w:val="center"/>
                  </w:pPr>
                </w:p>
              </w:tc>
            </w:tr>
            <w:tr>
              <w:tc>
                <w:tcPr>
                  <w:tcW w:type="dxa" w:w="636"/>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vAlign w:val="top"/>
                </w:tcPr>
                <w:p>
                  <w:pPr>
                    <w:jc w:val="center"/>
                  </w:pPr>
                  <w:r>
                    <w:rPr>
                      <w:sz w:val="21"/>
                    </w:rPr>
                    <w:t>服务开展</w:t>
                  </w:r>
                </w:p>
              </w:tc>
              <w:tc>
                <w:tcPr>
                  <w:tcW w:type="dxa" w:w="2512"/>
                  <w:tcBorders>
                    <w:top w:val="none" w:color="000000" w:sz="4"/>
                    <w:left w:val="single" w:color="000000" w:sz="4"/>
                    <w:bottom w:val="single" w:color="000000" w:sz="4"/>
                    <w:right w:val="single" w:color="000000" w:sz="4"/>
                  </w:tcBorders>
                  <w:vAlign w:val="top"/>
                </w:tcPr>
                <w:p>
                  <w:pPr>
                    <w:jc w:val="left"/>
                  </w:pPr>
                  <w:r>
                    <w:rPr>
                      <w:sz w:val="21"/>
                    </w:rPr>
                    <w:t>开展康复咨询、器材锻炼、康复训练、康复理疗、健康管理、生理指数监测等服务。</w:t>
                  </w:r>
                </w:p>
              </w:tc>
            </w:tr>
            <w:tr>
              <w:tc>
                <w:tcPr>
                  <w:tcW w:type="dxa" w:w="4002"/>
                  <w:gridSpan w:val="4"/>
                  <w:tcBorders>
                    <w:top w:val="none" w:color="000000" w:sz="4"/>
                    <w:left w:val="single" w:color="000000" w:sz="4"/>
                    <w:bottom w:val="single" w:color="000000" w:sz="4"/>
                    <w:right w:val="single" w:color="000000" w:sz="4"/>
                  </w:tcBorders>
                  <w:shd w:fill="FFFFFF"/>
                  <w:vAlign w:val="top"/>
                </w:tcPr>
                <w:p>
                  <w:pPr>
                    <w:jc w:val="center"/>
                  </w:pPr>
                  <w:r>
                    <w:rPr>
                      <w:sz w:val="21"/>
                    </w:rPr>
                    <w:t>合计</w:t>
                  </w:r>
                </w:p>
              </w:tc>
              <w:tc>
                <w:tcPr>
                  <w:tcW w:type="dxa" w:w="427"/>
                  <w:tcBorders>
                    <w:top w:val="none" w:color="000000" w:sz="4"/>
                    <w:left w:val="single" w:color="000000" w:sz="4"/>
                    <w:bottom w:val="single" w:color="000000" w:sz="4"/>
                    <w:right w:val="single" w:color="000000" w:sz="4"/>
                  </w:tcBorders>
                  <w:shd w:fill="FFFFFF"/>
                  <w:vAlign w:val="top"/>
                </w:tcPr>
                <w:p>
                  <w:pPr>
                    <w:jc w:val="center"/>
                  </w:pPr>
                  <w:r>
                    <w:rPr>
                      <w:sz w:val="21"/>
                    </w:rPr>
                    <w:t>工时</w:t>
                  </w:r>
                </w:p>
              </w:tc>
              <w:tc>
                <w:tcPr>
                  <w:tcW w:type="dxa" w:w="740"/>
                  <w:tcBorders>
                    <w:top w:val="none" w:color="000000" w:sz="4"/>
                    <w:left w:val="single" w:color="000000" w:sz="4"/>
                    <w:bottom w:val="single" w:color="000000" w:sz="4"/>
                    <w:right w:val="single" w:color="000000" w:sz="4"/>
                  </w:tcBorders>
                  <w:shd w:fill="FFFFFF"/>
                  <w:vAlign w:val="top"/>
                </w:tcPr>
                <w:p>
                  <w:pPr>
                    <w:jc w:val="center"/>
                  </w:pPr>
                  <w:r>
                    <w:rPr>
                      <w:sz w:val="21"/>
                    </w:rPr>
                    <w:t>29100</w:t>
                  </w:r>
                </w:p>
              </w:tc>
              <w:tc>
                <w:tcPr>
                  <w:tcW w:type="dxa" w:w="427"/>
                  <w:tcBorders>
                    <w:top w:val="none" w:color="000000" w:sz="4"/>
                    <w:left w:val="single" w:color="000000" w:sz="4"/>
                    <w:bottom w:val="single" w:color="000000" w:sz="4"/>
                    <w:right w:val="single" w:color="000000" w:sz="4"/>
                  </w:tcBorders>
                  <w:shd w:fill="FFFFFF"/>
                  <w:vAlign w:val="top"/>
                </w:tcPr>
                <w:p>
                  <w:pPr>
                    <w:jc w:val="center"/>
                  </w:pPr>
                </w:p>
              </w:tc>
            </w:tr>
          </w:tbl>
          <w:p>
            <w:pPr>
              <w:jc w:val="both"/>
            </w:pPr>
            <w:r>
              <w:rPr>
                <w:sz w:val="21"/>
              </w:rPr>
              <w:t>（注：</w:t>
            </w:r>
            <w:r>
              <w:rPr>
                <w:sz w:val="21"/>
              </w:rPr>
              <w:t>1.工时计算：（1）专职人员个人年度总工时=8小时/天*245天=1960小时、兼职人员个人年度总工时=6小时/天*245天=1470小时；（2）项目专业服务年度总工时=1960小时*8人+1470*12人=33320小时；（3）个人年度间接服务工时=年度会议时数+年度培训时数=2小时/周*49周+15小时=113小时；（4）项目年度直接服务工时=项目专业服务年度总工时﹣项目年度间接服务工时﹣1名预留员工年度服务工时=33320﹣113*20﹣1960=29100小时；（5）项目年度最低服务工时=项目年度直接服务工时=29100小时；项目年度最高服务工时=项目专业服务年度总工时×110%=33320×110%=36652小时。</w:t>
            </w:r>
            <w:r>
              <w:rPr>
                <w:sz w:val="21"/>
              </w:rPr>
              <w:t>2.服务工时可采用综合定额方式计算，其中生活照料、助餐配餐、康复护理、医养康养、日间托管等5项服务的工时合计不少于年度最低服务总工时的75%。</w:t>
            </w:r>
            <w:r>
              <w:rPr>
                <w:sz w:val="21"/>
              </w:rPr>
              <w:t>）</w:t>
            </w:r>
          </w:p>
          <w:p>
            <w:pPr>
              <w:ind w:firstLine="422"/>
              <w:jc w:val="center"/>
            </w:pPr>
            <w:r>
              <w:rPr>
                <w:b/>
                <w:sz w:val="21"/>
              </w:rPr>
              <w:t>▲表4关键服务指标要求</w:t>
            </w:r>
          </w:p>
          <w:tbl>
            <w:tblPr>
              <w:tblBorders>
                <w:top w:val="none" w:color="000000" w:sz="4"/>
                <w:left w:val="none" w:color="000000" w:sz="4"/>
                <w:bottom w:val="none" w:color="000000" w:sz="4"/>
                <w:right w:val="none" w:color="000000" w:sz="4"/>
                <w:insideH w:val="none"/>
                <w:insideV w:val="none"/>
              </w:tblBorders>
            </w:tblPr>
            <w:tblGrid>
              <w:gridCol w:w="2092"/>
              <w:gridCol w:w="847"/>
              <w:gridCol w:w="1917"/>
              <w:gridCol w:w="743"/>
            </w:tblGrid>
            <w:tr>
              <w:tc>
                <w:tcPr>
                  <w:tcW w:type="dxa" w:w="2092"/>
                  <w:tcBorders>
                    <w:top w:val="single" w:color="000000" w:sz="4"/>
                    <w:left w:val="single" w:color="000000" w:sz="4"/>
                    <w:bottom w:val="single" w:color="000000" w:sz="4"/>
                    <w:right w:val="single" w:color="000000" w:sz="4"/>
                  </w:tcBorders>
                  <w:vAlign w:val="top"/>
                </w:tcPr>
                <w:p>
                  <w:pPr>
                    <w:jc w:val="center"/>
                  </w:pPr>
                  <w:r>
                    <w:rPr>
                      <w:sz w:val="21"/>
                    </w:rPr>
                    <w:t>指标</w:t>
                  </w:r>
                </w:p>
              </w:tc>
              <w:tc>
                <w:tcPr>
                  <w:tcW w:type="dxa" w:w="847"/>
                  <w:tcBorders>
                    <w:top w:val="single" w:color="000000" w:sz="4"/>
                    <w:left w:val="single" w:color="000000" w:sz="4"/>
                    <w:bottom w:val="single" w:color="000000" w:sz="4"/>
                    <w:right w:val="single" w:color="000000" w:sz="4"/>
                  </w:tcBorders>
                  <w:vAlign w:val="top"/>
                </w:tcPr>
                <w:p>
                  <w:pPr>
                    <w:jc w:val="center"/>
                  </w:pPr>
                  <w:r>
                    <w:rPr>
                      <w:sz w:val="21"/>
                    </w:rPr>
                    <w:t>年度服务指标要求</w:t>
                  </w:r>
                </w:p>
              </w:tc>
              <w:tc>
                <w:tcPr>
                  <w:tcW w:type="dxa" w:w="1917"/>
                  <w:tcBorders>
                    <w:top w:val="single" w:color="000000" w:sz="4"/>
                    <w:left w:val="single" w:color="000000" w:sz="4"/>
                    <w:bottom w:val="single" w:color="000000" w:sz="4"/>
                    <w:right w:val="single" w:color="000000" w:sz="4"/>
                  </w:tcBorders>
                  <w:vAlign w:val="top"/>
                </w:tcPr>
                <w:p>
                  <w:pPr>
                    <w:jc w:val="center"/>
                  </w:pPr>
                  <w:r>
                    <w:rPr>
                      <w:sz w:val="21"/>
                    </w:rPr>
                    <w:t>指标</w:t>
                  </w:r>
                </w:p>
              </w:tc>
              <w:tc>
                <w:tcPr>
                  <w:tcW w:type="dxa" w:w="743"/>
                  <w:tcBorders>
                    <w:top w:val="single" w:color="000000" w:sz="4"/>
                    <w:left w:val="single" w:color="000000" w:sz="4"/>
                    <w:bottom w:val="single" w:color="000000" w:sz="4"/>
                    <w:right w:val="single" w:color="000000" w:sz="4"/>
                  </w:tcBorders>
                  <w:vAlign w:val="top"/>
                </w:tcPr>
                <w:p>
                  <w:pPr>
                    <w:jc w:val="center"/>
                  </w:pPr>
                  <w:r>
                    <w:rPr>
                      <w:sz w:val="21"/>
                    </w:rPr>
                    <w:t>年度服务指标要求</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特殊困难老年人月探访率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17"/>
                  <w:tcBorders>
                    <w:top w:val="none" w:color="000000" w:sz="4"/>
                    <w:left w:val="single" w:color="000000" w:sz="4"/>
                    <w:bottom w:val="single" w:color="000000" w:sz="4"/>
                    <w:right w:val="single" w:color="000000" w:sz="4"/>
                  </w:tcBorders>
                  <w:vAlign w:val="top"/>
                </w:tcPr>
                <w:p>
                  <w:pPr>
                    <w:jc w:val="center"/>
                  </w:pPr>
                  <w:r>
                    <w:rPr>
                      <w:sz w:val="21"/>
                    </w:rPr>
                    <w:t>有意愿的家庭养老床位建床率</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农村留守老年人月巡访率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17"/>
                  <w:tcBorders>
                    <w:top w:val="none" w:color="000000" w:sz="4"/>
                    <w:left w:val="single" w:color="000000" w:sz="4"/>
                    <w:bottom w:val="single" w:color="000000" w:sz="4"/>
                    <w:right w:val="single" w:color="000000" w:sz="4"/>
                  </w:tcBorders>
                  <w:vAlign w:val="top"/>
                </w:tcPr>
                <w:p>
                  <w:pPr>
                    <w:jc w:val="center"/>
                  </w:pPr>
                  <w:r>
                    <w:rPr>
                      <w:sz w:val="21"/>
                    </w:rPr>
                    <w:t>有意愿的老年人居家适老化改造完成率</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“家政+养老”服务村（居）覆盖率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17"/>
                  <w:tcBorders>
                    <w:top w:val="none" w:color="000000" w:sz="4"/>
                    <w:left w:val="single" w:color="000000" w:sz="4"/>
                    <w:bottom w:val="single" w:color="000000" w:sz="4"/>
                    <w:right w:val="single" w:color="000000" w:sz="4"/>
                  </w:tcBorders>
                  <w:vAlign w:val="top"/>
                </w:tcPr>
                <w:p>
                  <w:pPr>
                    <w:jc w:val="center"/>
                  </w:pPr>
                  <w:r>
                    <w:rPr>
                      <w:sz w:val="21"/>
                    </w:rPr>
                    <w:t>养老机构护理型床位占比</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≥75%</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60周岁及以上老年人“家政+养老”上门服务覆盖率占户籍老年人口的比率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17"/>
                  <w:tcBorders>
                    <w:top w:val="none" w:color="000000" w:sz="4"/>
                    <w:left w:val="single" w:color="000000" w:sz="4"/>
                    <w:bottom w:val="single" w:color="000000" w:sz="4"/>
                    <w:right w:val="single" w:color="000000" w:sz="4"/>
                  </w:tcBorders>
                  <w:vAlign w:val="top"/>
                </w:tcPr>
                <w:p>
                  <w:pPr>
                    <w:jc w:val="center"/>
                  </w:pPr>
                  <w:r>
                    <w:rPr>
                      <w:sz w:val="21"/>
                    </w:rPr>
                    <w:t>设置全托床位张数</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60周岁及以上老年人享受助餐配餐服务覆盖率占户籍老年人口的比率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917"/>
                  <w:tcBorders>
                    <w:top w:val="none" w:color="000000" w:sz="4"/>
                    <w:left w:val="single" w:color="000000" w:sz="4"/>
                    <w:bottom w:val="single" w:color="000000" w:sz="4"/>
                    <w:right w:val="single" w:color="000000" w:sz="4"/>
                  </w:tcBorders>
                  <w:vAlign w:val="top"/>
                </w:tcPr>
                <w:p>
                  <w:pPr>
                    <w:jc w:val="center"/>
                  </w:pPr>
                  <w:r>
                    <w:rPr>
                      <w:sz w:val="21"/>
                    </w:rPr>
                    <w:t>全托床位使用率</w:t>
                  </w:r>
                </w:p>
              </w:tc>
              <w:tc>
                <w:tcPr>
                  <w:tcW w:type="dxa" w:w="743"/>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建设自建厨房模式的长者饭堂数量</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7"/>
                  <w:tcBorders>
                    <w:top w:val="none" w:color="000000" w:sz="4"/>
                    <w:left w:val="single" w:color="000000" w:sz="4"/>
                    <w:bottom w:val="single" w:color="000000" w:sz="4"/>
                    <w:right w:val="single" w:color="000000" w:sz="4"/>
                  </w:tcBorders>
                  <w:vAlign w:val="top"/>
                </w:tcPr>
                <w:p>
                  <w:pPr>
                    <w:jc w:val="center"/>
                  </w:pPr>
                </w:p>
              </w:tc>
              <w:tc>
                <w:tcPr>
                  <w:tcW w:type="dxa" w:w="743"/>
                  <w:tcBorders>
                    <w:top w:val="none" w:color="000000" w:sz="4"/>
                    <w:left w:val="single" w:color="000000" w:sz="4"/>
                    <w:bottom w:val="single" w:color="000000" w:sz="4"/>
                    <w:right w:val="single" w:color="000000" w:sz="4"/>
                  </w:tcBorders>
                  <w:vAlign w:val="top"/>
                </w:tcPr>
                <w:p>
                  <w:pPr>
                    <w:jc w:val="center"/>
                  </w:pPr>
                </w:p>
              </w:tc>
            </w:tr>
            <w:tr>
              <w:tc>
                <w:tcPr>
                  <w:tcW w:type="dxa" w:w="2092"/>
                  <w:tcBorders>
                    <w:top w:val="none" w:color="000000" w:sz="4"/>
                    <w:left w:val="single" w:color="000000" w:sz="4"/>
                    <w:bottom w:val="single" w:color="000000" w:sz="4"/>
                    <w:right w:val="single" w:color="000000" w:sz="4"/>
                  </w:tcBorders>
                  <w:vAlign w:val="top"/>
                </w:tcPr>
                <w:p>
                  <w:pPr>
                    <w:jc w:val="center"/>
                  </w:pPr>
                  <w:r>
                    <w:rPr>
                      <w:sz w:val="21"/>
                    </w:rPr>
                    <w:t>与基层卫生服务机构签约开展医疗服务的签约率</w:t>
                  </w:r>
                </w:p>
              </w:tc>
              <w:tc>
                <w:tcPr>
                  <w:tcW w:type="dxa" w:w="84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17"/>
                  <w:tcBorders>
                    <w:top w:val="none" w:color="000000" w:sz="4"/>
                    <w:left w:val="single" w:color="000000" w:sz="4"/>
                    <w:bottom w:val="single" w:color="000000" w:sz="4"/>
                    <w:right w:val="single" w:color="000000" w:sz="4"/>
                  </w:tcBorders>
                  <w:vAlign w:val="top"/>
                </w:tcPr>
                <w:p>
                  <w:pPr>
                    <w:jc w:val="center"/>
                  </w:pPr>
                </w:p>
              </w:tc>
              <w:tc>
                <w:tcPr>
                  <w:tcW w:type="dxa" w:w="743"/>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注：</w:t>
            </w:r>
            <w:r>
              <w:rPr>
                <w:sz w:val="21"/>
              </w:rPr>
              <w:t>1.采购人可根据实际情况提出关键服务指标的数量和完成时限要求，如因政策变动或服务指标要求有调整，成交人应按政策最新的指标要求完成。2.目前太和镇户籍老人人数约为8000人,实际人数以服务采购人的通知为准。</w:t>
            </w:r>
          </w:p>
          <w:p>
            <w:pPr>
              <w:ind w:firstLine="420"/>
              <w:jc w:val="both"/>
            </w:pPr>
            <w:r>
              <w:rPr>
                <w:sz w:val="21"/>
              </w:rPr>
              <w:t>（七）服务奖补或资助经费。运营期间，政府补助经费（包括但不限于服务奖励、服务资助对象资助费用、助餐配餐补贴），按照《广州市居家社区养老服务管理办法》（穗府办规〔</w:t>
            </w:r>
            <w:r>
              <w:rPr>
                <w:sz w:val="21"/>
              </w:rPr>
              <w:t>2022〕13号）、</w:t>
            </w:r>
            <w:r>
              <w:rPr>
                <w:sz w:val="21"/>
              </w:rPr>
              <w:t>《广州市老年人助餐配餐服务管理办法》</w:t>
            </w:r>
            <w:r>
              <w:rPr>
                <w:sz w:val="21"/>
              </w:rPr>
              <w:t>、《广州市残疾人联合会</w:t>
            </w:r>
            <w:r>
              <w:rPr>
                <w:sz w:val="21"/>
              </w:rPr>
              <w:t>广州市民政局</w:t>
            </w:r>
            <w:r>
              <w:rPr>
                <w:sz w:val="21"/>
              </w:rPr>
              <w:t>广州市财政局关于明确重度残疾人助餐配餐服务相关事项的通知》（穗残联规字〔</w:t>
            </w:r>
            <w:r>
              <w:rPr>
                <w:sz w:val="21"/>
              </w:rPr>
              <w:t>2021〕3号）及市、区民政部门相关政策文件拨付，根据实际服务量进行结算。</w:t>
            </w:r>
          </w:p>
          <w:p>
            <w:pPr>
              <w:jc w:val="center"/>
            </w:pPr>
            <w:r>
              <w:rPr>
                <w:b/>
                <w:sz w:val="21"/>
              </w:rPr>
              <w:t>表</w:t>
            </w:r>
            <w:r>
              <w:rPr>
                <w:b/>
                <w:sz w:val="21"/>
              </w:rPr>
              <w:t>5 服务奖补经费一览表</w:t>
            </w:r>
          </w:p>
          <w:tbl>
            <w:tblPr>
              <w:tblBorders>
                <w:top w:val="none" w:color="000000" w:sz="4"/>
                <w:left w:val="none" w:color="000000" w:sz="4"/>
                <w:bottom w:val="none" w:color="000000" w:sz="4"/>
                <w:right w:val="none" w:color="000000" w:sz="4"/>
                <w:insideH w:val="none"/>
                <w:insideV w:val="none"/>
              </w:tblBorders>
            </w:tblPr>
            <w:tblGrid>
              <w:gridCol w:w="2027"/>
              <w:gridCol w:w="1127"/>
              <w:gridCol w:w="1307"/>
              <w:gridCol w:w="1137"/>
            </w:tblGrid>
            <w:tr>
              <w:tc>
                <w:tcPr>
                  <w:tcW w:type="dxa" w:w="2027"/>
                  <w:tcBorders>
                    <w:top w:val="single" w:color="000000" w:sz="4"/>
                    <w:left w:val="single" w:color="000000" w:sz="4"/>
                    <w:bottom w:val="single" w:color="000000" w:sz="4"/>
                    <w:right w:val="single" w:color="000000" w:sz="4"/>
                  </w:tcBorders>
                  <w:vAlign w:val="top"/>
                </w:tcPr>
                <w:p>
                  <w:pPr>
                    <w:jc w:val="center"/>
                  </w:pPr>
                  <w:r>
                    <w:rPr>
                      <w:sz w:val="21"/>
                    </w:rPr>
                    <w:t>设施名称</w:t>
                  </w:r>
                </w:p>
              </w:tc>
              <w:tc>
                <w:tcPr>
                  <w:tcW w:type="dxa" w:w="1127"/>
                  <w:tcBorders>
                    <w:top w:val="single" w:color="000000" w:sz="4"/>
                    <w:left w:val="single" w:color="000000" w:sz="4"/>
                    <w:bottom w:val="single" w:color="000000" w:sz="4"/>
                    <w:right w:val="single" w:color="000000" w:sz="4"/>
                  </w:tcBorders>
                  <w:vAlign w:val="top"/>
                </w:tcPr>
                <w:p>
                  <w:pPr>
                    <w:jc w:val="center"/>
                  </w:pPr>
                  <w:r>
                    <w:rPr>
                      <w:sz w:val="21"/>
                    </w:rPr>
                    <w:t>优秀等级</w:t>
                  </w:r>
                </w:p>
              </w:tc>
              <w:tc>
                <w:tcPr>
                  <w:tcW w:type="dxa" w:w="1307"/>
                  <w:tcBorders>
                    <w:top w:val="single" w:color="000000" w:sz="4"/>
                    <w:left w:val="single" w:color="000000" w:sz="4"/>
                    <w:bottom w:val="single" w:color="000000" w:sz="4"/>
                    <w:right w:val="single" w:color="000000" w:sz="4"/>
                  </w:tcBorders>
                  <w:vAlign w:val="top"/>
                </w:tcPr>
                <w:p>
                  <w:pPr>
                    <w:jc w:val="center"/>
                  </w:pPr>
                  <w:r>
                    <w:rPr>
                      <w:sz w:val="21"/>
                    </w:rPr>
                    <w:t>良好等级</w:t>
                  </w:r>
                </w:p>
              </w:tc>
              <w:tc>
                <w:tcPr>
                  <w:tcW w:type="dxa" w:w="1137"/>
                  <w:tcBorders>
                    <w:top w:val="single" w:color="000000" w:sz="4"/>
                    <w:left w:val="single" w:color="000000" w:sz="4"/>
                    <w:bottom w:val="single" w:color="000000" w:sz="4"/>
                    <w:right w:val="single" w:color="000000" w:sz="4"/>
                  </w:tcBorders>
                  <w:vAlign w:val="top"/>
                </w:tcPr>
                <w:p>
                  <w:pPr>
                    <w:jc w:val="center"/>
                  </w:pPr>
                  <w:r>
                    <w:rPr>
                      <w:sz w:val="21"/>
                    </w:rPr>
                    <w:t>合格等级</w:t>
                  </w:r>
                </w:p>
              </w:tc>
            </w:tr>
            <w:tr>
              <w:tc>
                <w:tcPr>
                  <w:tcW w:type="dxa" w:w="2027"/>
                  <w:tcBorders>
                    <w:top w:val="none" w:color="000000" w:sz="4"/>
                    <w:left w:val="single" w:color="000000" w:sz="4"/>
                    <w:bottom w:val="single" w:color="000000" w:sz="4"/>
                    <w:right w:val="single" w:color="000000" w:sz="4"/>
                  </w:tcBorders>
                  <w:vAlign w:val="top"/>
                </w:tcPr>
                <w:p>
                  <w:pPr>
                    <w:jc w:val="center"/>
                  </w:pPr>
                  <w:r>
                    <w:rPr>
                      <w:sz w:val="21"/>
                    </w:rPr>
                    <w:t>镇级综合养老服务中心（颐康中心）</w:t>
                  </w:r>
                </w:p>
              </w:tc>
              <w:tc>
                <w:tcPr>
                  <w:tcW w:type="dxa" w:w="1127"/>
                  <w:tcBorders>
                    <w:top w:val="none" w:color="000000" w:sz="4"/>
                    <w:left w:val="single" w:color="000000" w:sz="4"/>
                    <w:bottom w:val="single" w:color="000000" w:sz="4"/>
                    <w:right w:val="single" w:color="000000" w:sz="4"/>
                  </w:tcBorders>
                  <w:vAlign w:val="top"/>
                </w:tcPr>
                <w:p>
                  <w:pPr>
                    <w:jc w:val="center"/>
                  </w:pPr>
                  <w:r>
                    <w:rPr>
                      <w:sz w:val="21"/>
                    </w:rPr>
                    <w:t>30万/年</w:t>
                  </w:r>
                </w:p>
              </w:tc>
              <w:tc>
                <w:tcPr>
                  <w:tcW w:type="dxa" w:w="1307"/>
                  <w:tcBorders>
                    <w:top w:val="none" w:color="000000" w:sz="4"/>
                    <w:left w:val="single" w:color="000000" w:sz="4"/>
                    <w:bottom w:val="single" w:color="000000" w:sz="4"/>
                    <w:right w:val="single" w:color="000000" w:sz="4"/>
                  </w:tcBorders>
                  <w:vAlign w:val="top"/>
                </w:tcPr>
                <w:p>
                  <w:pPr>
                    <w:jc w:val="center"/>
                  </w:pPr>
                  <w:r>
                    <w:rPr>
                      <w:sz w:val="21"/>
                    </w:rPr>
                    <w:t>20万/年</w:t>
                  </w:r>
                </w:p>
              </w:tc>
              <w:tc>
                <w:tcPr>
                  <w:tcW w:type="dxa" w:w="1137"/>
                  <w:tcBorders>
                    <w:top w:val="none" w:color="000000" w:sz="4"/>
                    <w:left w:val="single" w:color="000000" w:sz="4"/>
                    <w:bottom w:val="single" w:color="000000" w:sz="4"/>
                    <w:right w:val="single" w:color="000000" w:sz="4"/>
                  </w:tcBorders>
                  <w:vAlign w:val="top"/>
                </w:tcPr>
                <w:p>
                  <w:pPr>
                    <w:jc w:val="center"/>
                  </w:pPr>
                  <w:r>
                    <w:rPr>
                      <w:sz w:val="21"/>
                    </w:rPr>
                    <w:t>10万/年</w:t>
                  </w:r>
                </w:p>
              </w:tc>
            </w:tr>
            <w:tr>
              <w:tc>
                <w:tcPr>
                  <w:tcW w:type="dxa" w:w="2027"/>
                  <w:tcBorders>
                    <w:top w:val="none" w:color="000000" w:sz="4"/>
                    <w:left w:val="single" w:color="000000" w:sz="4"/>
                    <w:bottom w:val="single" w:color="000000" w:sz="4"/>
                    <w:right w:val="single" w:color="000000" w:sz="4"/>
                  </w:tcBorders>
                  <w:vAlign w:val="top"/>
                </w:tcPr>
                <w:p>
                  <w:pPr>
                    <w:jc w:val="center"/>
                  </w:pPr>
                  <w:r>
                    <w:rPr>
                      <w:sz w:val="21"/>
                    </w:rPr>
                    <w:t>村居颐康服务站</w:t>
                  </w:r>
                </w:p>
              </w:tc>
              <w:tc>
                <w:tcPr>
                  <w:tcW w:type="dxa" w:w="1127"/>
                  <w:tcBorders>
                    <w:top w:val="none" w:color="000000" w:sz="4"/>
                    <w:left w:val="single" w:color="000000" w:sz="4"/>
                    <w:bottom w:val="single" w:color="000000" w:sz="4"/>
                    <w:right w:val="single" w:color="000000" w:sz="4"/>
                  </w:tcBorders>
                  <w:vAlign w:val="top"/>
                </w:tcPr>
                <w:p>
                  <w:pPr>
                    <w:jc w:val="center"/>
                  </w:pPr>
                  <w:r>
                    <w:rPr>
                      <w:sz w:val="21"/>
                    </w:rPr>
                    <w:t>3万/年/站点</w:t>
                  </w:r>
                </w:p>
              </w:tc>
              <w:tc>
                <w:tcPr>
                  <w:tcW w:type="dxa" w:w="1307"/>
                  <w:tcBorders>
                    <w:top w:val="none" w:color="000000" w:sz="4"/>
                    <w:left w:val="single" w:color="000000" w:sz="4"/>
                    <w:bottom w:val="single" w:color="000000" w:sz="4"/>
                    <w:right w:val="single" w:color="000000" w:sz="4"/>
                  </w:tcBorders>
                  <w:vAlign w:val="top"/>
                </w:tcPr>
                <w:p>
                  <w:pPr>
                    <w:jc w:val="center"/>
                  </w:pPr>
                  <w:r>
                    <w:rPr>
                      <w:sz w:val="21"/>
                    </w:rPr>
                    <w:t>2万/年/站点</w:t>
                  </w:r>
                </w:p>
              </w:tc>
              <w:tc>
                <w:tcPr>
                  <w:tcW w:type="dxa" w:w="1137"/>
                  <w:tcBorders>
                    <w:top w:val="none" w:color="000000" w:sz="4"/>
                    <w:left w:val="single" w:color="000000" w:sz="4"/>
                    <w:bottom w:val="single" w:color="000000" w:sz="4"/>
                    <w:right w:val="single" w:color="000000" w:sz="4"/>
                  </w:tcBorders>
                  <w:vAlign w:val="top"/>
                </w:tcPr>
                <w:p>
                  <w:pPr>
                    <w:jc w:val="center"/>
                  </w:pPr>
                  <w:r>
                    <w:rPr>
                      <w:sz w:val="21"/>
                    </w:rPr>
                    <w:t>1万/年/站点</w:t>
                  </w:r>
                </w:p>
              </w:tc>
            </w:tr>
          </w:tbl>
          <w:p>
            <w:pPr>
              <w:jc w:val="center"/>
            </w:pPr>
            <w:r>
              <w:rPr>
                <w:b/>
                <w:sz w:val="21"/>
              </w:rPr>
              <w:t>表</w:t>
            </w:r>
            <w:r>
              <w:rPr>
                <w:b/>
                <w:sz w:val="21"/>
              </w:rPr>
              <w:t>6 服务资助经费一览表</w:t>
            </w:r>
          </w:p>
          <w:tbl>
            <w:tblPr>
              <w:tblBorders>
                <w:top w:val="none" w:color="000000" w:sz="4"/>
                <w:left w:val="none" w:color="000000" w:sz="4"/>
                <w:bottom w:val="none" w:color="000000" w:sz="4"/>
                <w:right w:val="none" w:color="000000" w:sz="4"/>
                <w:insideH w:val="none"/>
                <w:insideV w:val="none"/>
              </w:tblBorders>
            </w:tblPr>
            <w:tblGrid>
              <w:gridCol w:w="1160"/>
              <w:gridCol w:w="962"/>
              <w:gridCol w:w="1279"/>
              <w:gridCol w:w="2196"/>
            </w:tblGrid>
            <w:tr>
              <w:tc>
                <w:tcPr>
                  <w:tcW w:type="dxa" w:w="1160"/>
                  <w:tcBorders>
                    <w:top w:val="single" w:color="000000" w:sz="4"/>
                    <w:left w:val="single" w:color="000000" w:sz="4"/>
                    <w:bottom w:val="single" w:color="000000" w:sz="4"/>
                    <w:right w:val="single" w:color="000000" w:sz="4"/>
                  </w:tcBorders>
                  <w:vAlign w:val="top"/>
                </w:tcPr>
                <w:p>
                  <w:pPr>
                    <w:jc w:val="center"/>
                  </w:pPr>
                  <w:r>
                    <w:rPr>
                      <w:sz w:val="21"/>
                    </w:rPr>
                    <w:t>资助对象类型</w:t>
                  </w:r>
                </w:p>
              </w:tc>
              <w:tc>
                <w:tcPr>
                  <w:tcW w:type="dxa" w:w="962"/>
                  <w:tcBorders>
                    <w:top w:val="single" w:color="000000" w:sz="4"/>
                    <w:left w:val="single" w:color="000000" w:sz="4"/>
                    <w:bottom w:val="single" w:color="000000" w:sz="4"/>
                    <w:right w:val="single" w:color="000000" w:sz="4"/>
                  </w:tcBorders>
                  <w:vAlign w:val="top"/>
                </w:tcPr>
                <w:p>
                  <w:pPr>
                    <w:jc w:val="center"/>
                  </w:pPr>
                  <w:r>
                    <w:rPr>
                      <w:sz w:val="21"/>
                    </w:rPr>
                    <w:t>服务人数（约）</w:t>
                  </w:r>
                </w:p>
              </w:tc>
              <w:tc>
                <w:tcPr>
                  <w:tcW w:type="dxa" w:w="1279"/>
                  <w:tcBorders>
                    <w:top w:val="single" w:color="000000" w:sz="4"/>
                    <w:left w:val="single" w:color="000000" w:sz="4"/>
                    <w:bottom w:val="single" w:color="000000" w:sz="4"/>
                    <w:right w:val="single" w:color="000000" w:sz="4"/>
                  </w:tcBorders>
                  <w:vAlign w:val="top"/>
                </w:tcPr>
                <w:p>
                  <w:pPr>
                    <w:jc w:val="center"/>
                  </w:pPr>
                  <w:r>
                    <w:rPr>
                      <w:sz w:val="21"/>
                    </w:rPr>
                    <w:t>资助金额（人</w:t>
                  </w:r>
                  <w:r>
                    <w:rPr>
                      <w:sz w:val="21"/>
                    </w:rPr>
                    <w:t>/元/月）</w:t>
                  </w:r>
                </w:p>
              </w:tc>
              <w:tc>
                <w:tcPr>
                  <w:tcW w:type="dxa" w:w="2196"/>
                  <w:tcBorders>
                    <w:top w:val="single" w:color="000000" w:sz="4"/>
                    <w:left w:val="single" w:color="000000" w:sz="4"/>
                    <w:bottom w:val="single" w:color="000000" w:sz="4"/>
                    <w:right w:val="single" w:color="000000" w:sz="4"/>
                  </w:tcBorders>
                  <w:vAlign w:val="top"/>
                </w:tcPr>
                <w:p>
                  <w:pPr>
                    <w:jc w:val="center"/>
                  </w:pPr>
                  <w:r>
                    <w:rPr>
                      <w:sz w:val="21"/>
                    </w:rPr>
                    <w:t>评估为重度失能增加金额（人</w:t>
                  </w:r>
                  <w:r>
                    <w:rPr>
                      <w:sz w:val="21"/>
                    </w:rPr>
                    <w:t>/元/月）</w:t>
                  </w:r>
                </w:p>
              </w:tc>
            </w:tr>
            <w:tr>
              <w:tc>
                <w:tcPr>
                  <w:tcW w:type="dxa" w:w="1160"/>
                  <w:tcBorders>
                    <w:top w:val="none" w:color="000000" w:sz="4"/>
                    <w:left w:val="single" w:color="000000" w:sz="4"/>
                    <w:bottom w:val="single" w:color="000000" w:sz="4"/>
                    <w:right w:val="single" w:color="000000" w:sz="4"/>
                  </w:tcBorders>
                  <w:vAlign w:val="top"/>
                </w:tcPr>
                <w:p>
                  <w:pPr>
                    <w:jc w:val="center"/>
                  </w:pPr>
                  <w:r>
                    <w:rPr>
                      <w:sz w:val="21"/>
                    </w:rPr>
                    <w:t>第一类资助对象</w:t>
                  </w:r>
                </w:p>
              </w:tc>
              <w:tc>
                <w:tcPr>
                  <w:tcW w:type="dxa" w:w="96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79"/>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2196"/>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1160"/>
                  <w:tcBorders>
                    <w:top w:val="none" w:color="000000" w:sz="4"/>
                    <w:left w:val="single" w:color="000000" w:sz="4"/>
                    <w:bottom w:val="single" w:color="000000" w:sz="4"/>
                    <w:right w:val="single" w:color="000000" w:sz="4"/>
                  </w:tcBorders>
                  <w:vAlign w:val="top"/>
                </w:tcPr>
                <w:p>
                  <w:pPr>
                    <w:jc w:val="center"/>
                  </w:pPr>
                  <w:r>
                    <w:rPr>
                      <w:sz w:val="21"/>
                    </w:rPr>
                    <w:t>第二类资助对象</w:t>
                  </w:r>
                </w:p>
              </w:tc>
              <w:tc>
                <w:tcPr>
                  <w:tcW w:type="dxa" w:w="96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79"/>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2196"/>
                  <w:tcBorders>
                    <w:top w:val="none" w:color="000000" w:sz="4"/>
                    <w:left w:val="single" w:color="000000" w:sz="4"/>
                    <w:bottom w:val="single" w:color="000000" w:sz="4"/>
                    <w:right w:val="single" w:color="000000" w:sz="4"/>
                  </w:tcBorders>
                  <w:vAlign w:val="top"/>
                </w:tcPr>
                <w:p>
                  <w:pPr>
                    <w:jc w:val="center"/>
                  </w:pPr>
                  <w:r>
                    <w:rPr>
                      <w:sz w:val="21"/>
                    </w:rPr>
                    <w:t>200</w:t>
                  </w:r>
                </w:p>
              </w:tc>
            </w:tr>
          </w:tbl>
          <w:p>
            <w:pPr>
              <w:jc w:val="left"/>
            </w:pPr>
            <w:r>
              <w:rPr>
                <w:sz w:val="21"/>
              </w:rPr>
              <w:t>（注：以上服务对象人数属动态数据，该数据截至</w:t>
            </w:r>
            <w:r>
              <w:rPr>
                <w:sz w:val="21"/>
              </w:rPr>
              <w:t>2023年11月）</w:t>
            </w:r>
          </w:p>
          <w:p>
            <w:pPr>
              <w:jc w:val="center"/>
            </w:pPr>
            <w:r>
              <w:rPr>
                <w:b/>
                <w:sz w:val="21"/>
              </w:rPr>
              <w:t xml:space="preserve">      </w:t>
            </w:r>
            <w:r>
              <w:rPr>
                <w:b/>
                <w:sz w:val="21"/>
              </w:rPr>
              <w:t>表</w:t>
            </w:r>
            <w:r>
              <w:rPr>
                <w:b/>
                <w:sz w:val="21"/>
              </w:rPr>
              <w:t>7 助餐配餐服务资助经费及自费价格</w:t>
            </w:r>
          </w:p>
          <w:tbl>
            <w:tblPr>
              <w:tblBorders>
                <w:top w:val="none" w:color="000000" w:sz="4"/>
                <w:left w:val="none" w:color="000000" w:sz="4"/>
                <w:bottom w:val="none" w:color="000000" w:sz="4"/>
                <w:right w:val="none" w:color="000000" w:sz="4"/>
                <w:insideH w:val="none"/>
                <w:insideV w:val="none"/>
              </w:tblBorders>
            </w:tblPr>
            <w:tblGrid>
              <w:gridCol w:w="2622"/>
              <w:gridCol w:w="1055"/>
              <w:gridCol w:w="955"/>
              <w:gridCol w:w="965"/>
            </w:tblGrid>
            <w:tr>
              <w:tc>
                <w:tcPr>
                  <w:tcW w:type="dxa" w:w="2622"/>
                  <w:tcBorders>
                    <w:top w:val="single" w:color="000000" w:sz="4"/>
                    <w:left w:val="single" w:color="000000" w:sz="4"/>
                    <w:bottom w:val="single" w:color="000000" w:sz="4"/>
                    <w:right w:val="single" w:color="000000" w:sz="4"/>
                  </w:tcBorders>
                  <w:vAlign w:val="top"/>
                </w:tcPr>
                <w:p>
                  <w:pPr>
                    <w:jc w:val="center"/>
                  </w:pPr>
                  <w:r>
                    <w:rPr>
                      <w:sz w:val="21"/>
                    </w:rPr>
                    <w:t>人员类型</w:t>
                  </w:r>
                </w:p>
              </w:tc>
              <w:tc>
                <w:tcPr>
                  <w:tcW w:type="dxa" w:w="1055"/>
                  <w:tcBorders>
                    <w:top w:val="single" w:color="000000" w:sz="4"/>
                    <w:left w:val="none" w:color="000000" w:sz="4"/>
                    <w:bottom w:val="single" w:color="000000" w:sz="4"/>
                    <w:right w:val="single" w:color="000000" w:sz="4"/>
                  </w:tcBorders>
                  <w:vAlign w:val="top"/>
                </w:tcPr>
                <w:p>
                  <w:pPr>
                    <w:jc w:val="center"/>
                  </w:pPr>
                  <w:r>
                    <w:rPr>
                      <w:sz w:val="21"/>
                    </w:rPr>
                    <w:t>市补助</w:t>
                  </w:r>
                </w:p>
                <w:p>
                  <w:pPr>
                    <w:jc w:val="center"/>
                  </w:pPr>
                  <w:r>
                    <w:rPr>
                      <w:sz w:val="21"/>
                    </w:rPr>
                    <w:t>（元</w:t>
                  </w:r>
                  <w:r>
                    <w:rPr>
                      <w:sz w:val="21"/>
                    </w:rPr>
                    <w:t>/餐）</w:t>
                  </w:r>
                </w:p>
              </w:tc>
              <w:tc>
                <w:tcPr>
                  <w:tcW w:type="dxa" w:w="955"/>
                  <w:tcBorders>
                    <w:top w:val="single" w:color="000000" w:sz="4"/>
                    <w:left w:val="none" w:color="000000" w:sz="4"/>
                    <w:bottom w:val="single" w:color="000000" w:sz="4"/>
                    <w:right w:val="single" w:color="000000" w:sz="4"/>
                  </w:tcBorders>
                  <w:vAlign w:val="top"/>
                </w:tcPr>
                <w:p>
                  <w:pPr>
                    <w:jc w:val="center"/>
                  </w:pPr>
                  <w:r>
                    <w:rPr>
                      <w:sz w:val="21"/>
                    </w:rPr>
                    <w:t>镇补助</w:t>
                  </w:r>
                </w:p>
                <w:p>
                  <w:pPr>
                    <w:jc w:val="center"/>
                  </w:pPr>
                  <w:r>
                    <w:rPr>
                      <w:sz w:val="21"/>
                    </w:rPr>
                    <w:t>（元</w:t>
                  </w:r>
                  <w:r>
                    <w:rPr>
                      <w:sz w:val="21"/>
                    </w:rPr>
                    <w:t>/餐）</w:t>
                  </w:r>
                </w:p>
              </w:tc>
              <w:tc>
                <w:tcPr>
                  <w:tcW w:type="dxa" w:w="965"/>
                  <w:tcBorders>
                    <w:top w:val="single" w:color="000000" w:sz="4"/>
                    <w:left w:val="none" w:color="000000" w:sz="4"/>
                    <w:bottom w:val="single" w:color="000000" w:sz="4"/>
                    <w:right w:val="single" w:color="000000" w:sz="4"/>
                  </w:tcBorders>
                  <w:vAlign w:val="top"/>
                </w:tcPr>
                <w:p>
                  <w:pPr>
                    <w:jc w:val="center"/>
                  </w:pPr>
                  <w:r>
                    <w:rPr>
                      <w:sz w:val="21"/>
                    </w:rPr>
                    <w:t>自费</w:t>
                  </w:r>
                </w:p>
                <w:p>
                  <w:pPr>
                    <w:jc w:val="center"/>
                  </w:pPr>
                  <w:r>
                    <w:rPr>
                      <w:sz w:val="21"/>
                    </w:rPr>
                    <w:t>（元</w:t>
                  </w:r>
                  <w:r>
                    <w:rPr>
                      <w:sz w:val="21"/>
                    </w:rPr>
                    <w:t>/餐）</w:t>
                  </w:r>
                </w:p>
              </w:tc>
            </w:tr>
            <w:tr>
              <w:tc>
                <w:tcPr>
                  <w:tcW w:type="dxa" w:w="2622"/>
                  <w:tcBorders>
                    <w:top w:val="none" w:color="000000" w:sz="4"/>
                    <w:left w:val="single" w:color="000000" w:sz="4"/>
                    <w:bottom w:val="single" w:color="000000" w:sz="4"/>
                    <w:right w:val="single" w:color="000000" w:sz="4"/>
                  </w:tcBorders>
                  <w:vAlign w:val="top"/>
                </w:tcPr>
                <w:p>
                  <w:pPr>
                    <w:jc w:val="center"/>
                  </w:pPr>
                  <w:r>
                    <w:rPr>
                      <w:sz w:val="21"/>
                    </w:rPr>
                    <w:t>太和镇户籍并持有残疾证、特困证、低保证、优抚证的</w:t>
                  </w:r>
                  <w:r>
                    <w:rPr>
                      <w:sz w:val="21"/>
                    </w:rPr>
                    <w:t>60岁及以上长者，太和镇户籍18-59岁持重度残疾人证的人士</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3</w:t>
                  </w:r>
                </w:p>
              </w:tc>
              <w:tc>
                <w:tcPr>
                  <w:tcW w:type="dxa" w:w="955"/>
                  <w:tcBorders>
                    <w:top w:val="none" w:color="000000" w:sz="4"/>
                    <w:left w:val="none" w:color="000000" w:sz="4"/>
                    <w:bottom w:val="single" w:color="000000" w:sz="4"/>
                    <w:right w:val="single" w:color="000000" w:sz="4"/>
                  </w:tcBorders>
                  <w:vAlign w:val="top"/>
                </w:tcPr>
                <w:p>
                  <w:pPr>
                    <w:jc w:val="center"/>
                  </w:pPr>
                  <w:r>
                    <w:rPr>
                      <w:sz w:val="21"/>
                    </w:rPr>
                    <w:t>8</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2622"/>
                  <w:tcBorders>
                    <w:top w:val="none" w:color="000000" w:sz="4"/>
                    <w:left w:val="single" w:color="000000" w:sz="4"/>
                    <w:bottom w:val="single" w:color="000000" w:sz="4"/>
                    <w:right w:val="single" w:color="000000" w:sz="4"/>
                  </w:tcBorders>
                  <w:vAlign w:val="top"/>
                </w:tcPr>
                <w:p>
                  <w:pPr>
                    <w:jc w:val="center"/>
                  </w:pPr>
                  <w:r>
                    <w:rPr>
                      <w:sz w:val="21"/>
                    </w:rPr>
                    <w:t>太和镇户籍的</w:t>
                  </w:r>
                  <w:r>
                    <w:rPr>
                      <w:sz w:val="21"/>
                    </w:rPr>
                    <w:t>60岁以上普通长者</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3</w:t>
                  </w:r>
                </w:p>
              </w:tc>
              <w:tc>
                <w:tcPr>
                  <w:tcW w:type="dxa" w:w="955"/>
                  <w:tcBorders>
                    <w:top w:val="none" w:color="000000" w:sz="4"/>
                    <w:left w:val="none" w:color="000000" w:sz="4"/>
                    <w:bottom w:val="single" w:color="000000" w:sz="4"/>
                    <w:right w:val="single" w:color="000000" w:sz="4"/>
                  </w:tcBorders>
                  <w:vAlign w:val="top"/>
                </w:tcPr>
                <w:p>
                  <w:pPr>
                    <w:jc w:val="center"/>
                  </w:pPr>
                  <w:r>
                    <w:rPr>
                      <w:sz w:val="21"/>
                    </w:rPr>
                    <w:t>5</w:t>
                  </w:r>
                </w:p>
              </w:tc>
              <w:tc>
                <w:tcPr>
                  <w:tcW w:type="dxa" w:w="965"/>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2622"/>
                  <w:tcBorders>
                    <w:top w:val="none" w:color="000000" w:sz="4"/>
                    <w:left w:val="single" w:color="000000" w:sz="4"/>
                    <w:bottom w:val="single" w:color="000000" w:sz="4"/>
                    <w:right w:val="single" w:color="000000" w:sz="4"/>
                  </w:tcBorders>
                  <w:vAlign w:val="top"/>
                </w:tcPr>
                <w:p>
                  <w:pPr>
                    <w:jc w:val="center"/>
                  </w:pPr>
                  <w:r>
                    <w:rPr>
                      <w:sz w:val="21"/>
                    </w:rPr>
                    <w:t>广州市户籍（非太和镇户籍）</w:t>
                  </w:r>
                  <w:r>
                    <w:rPr>
                      <w:sz w:val="21"/>
                    </w:rPr>
                    <w:t>60岁及以上长者，广州市户籍（非太和镇户籍）18-59岁持重度残疾人证的人士</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3</w:t>
                  </w:r>
                </w:p>
              </w:tc>
              <w:tc>
                <w:tcPr>
                  <w:tcW w:type="dxa" w:w="955"/>
                  <w:tcBorders>
                    <w:top w:val="none" w:color="000000" w:sz="4"/>
                    <w:left w:val="none" w:color="000000" w:sz="4"/>
                    <w:bottom w:val="single" w:color="000000" w:sz="4"/>
                    <w:right w:val="single" w:color="000000" w:sz="4"/>
                  </w:tcBorders>
                  <w:vAlign w:val="top"/>
                </w:tcPr>
                <w:p>
                  <w:pPr>
                    <w:jc w:val="center"/>
                  </w:pPr>
                  <w:r>
                    <w:rPr>
                      <w:sz w:val="21"/>
                    </w:rPr>
                    <w:t>0</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622"/>
                  <w:tcBorders>
                    <w:top w:val="none" w:color="000000" w:sz="4"/>
                    <w:left w:val="single" w:color="000000" w:sz="4"/>
                    <w:bottom w:val="single" w:color="000000" w:sz="4"/>
                    <w:right w:val="single" w:color="000000" w:sz="4"/>
                  </w:tcBorders>
                  <w:vAlign w:val="top"/>
                </w:tcPr>
                <w:p>
                  <w:pPr>
                    <w:jc w:val="center"/>
                  </w:pPr>
                  <w:r>
                    <w:rPr>
                      <w:sz w:val="21"/>
                    </w:rPr>
                    <w:t>非广州市户籍</w:t>
                  </w:r>
                  <w:r>
                    <w:rPr>
                      <w:sz w:val="21"/>
                    </w:rPr>
                    <w:t>60岁及以上长者</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0</w:t>
                  </w:r>
                </w:p>
              </w:tc>
              <w:tc>
                <w:tcPr>
                  <w:tcW w:type="dxa" w:w="955"/>
                  <w:tcBorders>
                    <w:top w:val="none" w:color="000000" w:sz="4"/>
                    <w:left w:val="none" w:color="000000" w:sz="4"/>
                    <w:bottom w:val="single" w:color="000000" w:sz="4"/>
                    <w:right w:val="single" w:color="000000" w:sz="4"/>
                  </w:tcBorders>
                  <w:vAlign w:val="top"/>
                </w:tcPr>
                <w:p>
                  <w:pPr>
                    <w:jc w:val="center"/>
                  </w:pPr>
                  <w:r>
                    <w:rPr>
                      <w:sz w:val="21"/>
                    </w:rPr>
                    <w:t>0</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13</w:t>
                  </w:r>
                </w:p>
              </w:tc>
            </w:tr>
          </w:tbl>
          <w:p>
            <w:pPr>
              <w:jc w:val="left"/>
            </w:pPr>
            <w:r>
              <w:rPr>
                <w:sz w:val="21"/>
              </w:rPr>
              <w:t>（注：</w:t>
            </w:r>
            <w:r>
              <w:rPr>
                <w:sz w:val="21"/>
              </w:rPr>
              <w:t>1.太和镇助餐配餐定价13元/餐，供应午餐和晚餐；2.非太和镇户籍长者不享受镇补贴。3.如市补贴、镇补贴有变动，按最新要求落实。4.助餐配餐服务提供多种不同价额的套餐，长者根据选择的套餐高于补贴金额需补差价。</w:t>
            </w:r>
            <w:r>
              <w:rPr>
                <w:sz w:val="21"/>
              </w:rPr>
              <w:t>）</w:t>
            </w:r>
          </w:p>
          <w:p>
            <w:pPr>
              <w:jc w:val="both"/>
            </w:pPr>
            <w:r>
              <w:rPr>
                <w:b/>
                <w:sz w:val="21"/>
              </w:rPr>
              <w:t>三、</w:t>
            </w:r>
            <w:r>
              <w:rPr>
                <w:b/>
                <w:sz w:val="21"/>
              </w:rPr>
              <w:t>响应供应商和人员要求</w:t>
            </w:r>
          </w:p>
          <w:p>
            <w:pPr>
              <w:ind w:firstLine="420"/>
              <w:jc w:val="left"/>
            </w:pPr>
            <w:r>
              <w:rPr>
                <w:b/>
                <w:sz w:val="21"/>
              </w:rPr>
              <w:t>（一）响应供应商要求</w:t>
            </w:r>
          </w:p>
          <w:p>
            <w:pPr>
              <w:ind w:firstLine="420"/>
              <w:jc w:val="both"/>
            </w:pPr>
            <w:r>
              <w:rPr>
                <w:sz w:val="21"/>
              </w:rPr>
              <w:t>1.响应供应商</w:t>
            </w:r>
            <w:r>
              <w:rPr>
                <w:sz w:val="21"/>
              </w:rPr>
              <w:t>成交</w:t>
            </w:r>
            <w:r>
              <w:rPr>
                <w:sz w:val="21"/>
              </w:rPr>
              <w:t>后统一纳入广州市为老服务综合平台供应商库，接受政府部门的监督管理，按照政府部门的要求开展服务。</w:t>
            </w:r>
          </w:p>
          <w:p>
            <w:pPr>
              <w:ind w:firstLine="420"/>
              <w:jc w:val="both"/>
            </w:pPr>
            <w:r>
              <w:rPr>
                <w:sz w:val="21"/>
              </w:rPr>
              <w:t>2.</w:t>
            </w:r>
            <w:r>
              <w:rPr>
                <w:sz w:val="21"/>
              </w:rPr>
              <w:t>响应供应商应具备养老服务资质，有链接家政企业、护理站、医疗机构等服务资源的能力，能够拓展</w:t>
            </w:r>
            <w:r>
              <w:rPr>
                <w:sz w:val="21"/>
              </w:rPr>
              <w:t>“家政+养老”及“羊城家政”基层服务站的相关工作。</w:t>
            </w:r>
          </w:p>
          <w:p>
            <w:pPr>
              <w:ind w:firstLine="420"/>
              <w:jc w:val="both"/>
            </w:pPr>
            <w:r>
              <w:rPr>
                <w:sz w:val="21"/>
              </w:rPr>
              <w:t>3.按照合同等约定履行提供服务的义务，认真组织实施项目，按时完成项目任务，保证服务数量、质量和效果，主动接受有关部门、服务对象及社会监督，严禁成交供应商将服务项目交由其他服务供应机构实际承担的转包行为。</w:t>
            </w:r>
          </w:p>
          <w:p>
            <w:pPr>
              <w:ind w:firstLine="420"/>
              <w:jc w:val="both"/>
            </w:pPr>
            <w:r>
              <w:rPr>
                <w:sz w:val="21"/>
              </w:rPr>
              <w:t>4.严格按照合同等约定使用服务设施，严禁擅自改变服务设施功能和用途，主动接受政府部门管理和指导，认真落实消防、环保、卫生、安全管理等相关法律法规要求，购买场所责任保险。</w:t>
            </w:r>
          </w:p>
          <w:p>
            <w:pPr>
              <w:ind w:firstLine="420"/>
              <w:jc w:val="both"/>
            </w:pPr>
            <w:r>
              <w:rPr>
                <w:sz w:val="21"/>
              </w:rPr>
              <w:t>5.提供医疗服务和提供餐饮服务的应提供相关许可证。</w:t>
            </w:r>
          </w:p>
          <w:p>
            <w:pPr>
              <w:ind w:firstLine="420"/>
              <w:jc w:val="both"/>
            </w:pPr>
            <w:r>
              <w:rPr>
                <w:sz w:val="21"/>
              </w:rPr>
              <w:t>6.能有效管理居家社区养老服务相关文件和档案，真实完整记录并及时更新服务对象信息，保护个人信息安全，与服务对象的服务协议签约率及建档率达100%。</w:t>
            </w:r>
          </w:p>
          <w:p>
            <w:pPr>
              <w:ind w:firstLine="420"/>
              <w:jc w:val="both"/>
            </w:pPr>
            <w:r>
              <w:rPr>
                <w:sz w:val="21"/>
              </w:rPr>
              <w:t>7.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pPr>
              <w:ind w:firstLine="420"/>
              <w:jc w:val="both"/>
            </w:pPr>
            <w:r>
              <w:rPr>
                <w:sz w:val="21"/>
              </w:rPr>
              <w:t>8.建立服务风险防范制度，为工作人员购买人身意外保险。</w:t>
            </w:r>
          </w:p>
          <w:p>
            <w:pPr>
              <w:ind w:firstLine="420"/>
              <w:jc w:val="both"/>
            </w:pPr>
            <w:r>
              <w:rPr>
                <w:sz w:val="21"/>
              </w:rPr>
              <w:t>9.建立完善的规章制度和工作流程，包括财务、人事、运营、公共安全、卫生、资产、服务等方面的管理制度和应急措施。</w:t>
            </w:r>
          </w:p>
          <w:p>
            <w:pPr>
              <w:ind w:firstLine="420"/>
              <w:jc w:val="both"/>
            </w:pPr>
            <w:r>
              <w:rPr>
                <w:sz w:val="21"/>
              </w:rPr>
              <w:t>10.按照广州市推进具备综合功能的社区养老服务机构建设的工作部署，</w:t>
            </w:r>
            <w:r>
              <w:rPr>
                <w:sz w:val="21"/>
              </w:rPr>
              <w:t>响应</w:t>
            </w:r>
            <w:r>
              <w:rPr>
                <w:sz w:val="21"/>
              </w:rPr>
              <w:t>供应商原则上需提供在太和镇辖区内不少于</w:t>
            </w:r>
            <w:r>
              <w:rPr>
                <w:sz w:val="21"/>
              </w:rPr>
              <w:t>1000平方米的</w:t>
            </w:r>
            <w:r>
              <w:rPr>
                <w:sz w:val="21"/>
              </w:rPr>
              <w:t>服务</w:t>
            </w:r>
            <w:r>
              <w:rPr>
                <w:sz w:val="21"/>
              </w:rPr>
              <w:t>场地，具备全托、日托、上门服务、康复保健、助餐配餐、家政</w:t>
            </w:r>
            <w:r>
              <w:rPr>
                <w:sz w:val="21"/>
              </w:rPr>
              <w:t>+养老、家庭养老床位、医养结合、辅具租赁、对下指导、人员培训、统筹调配资源等功能。（</w:t>
            </w:r>
            <w:r>
              <w:rPr>
                <w:sz w:val="21"/>
              </w:rPr>
              <w:t>响应供应商</w:t>
            </w:r>
            <w:r>
              <w:rPr>
                <w:sz w:val="21"/>
              </w:rPr>
              <w:t>需在响应文件中就此条款的全部内容提供</w:t>
            </w:r>
            <w:r>
              <w:rPr>
                <w:b/>
                <w:sz w:val="21"/>
              </w:rPr>
              <w:t>承诺函</w:t>
            </w:r>
            <w:r>
              <w:rPr>
                <w:sz w:val="21"/>
              </w:rPr>
              <w:t>）。</w:t>
            </w:r>
          </w:p>
          <w:p>
            <w:pPr>
              <w:ind w:firstLine="420"/>
              <w:jc w:val="left"/>
            </w:pPr>
            <w:r>
              <w:rPr>
                <w:b/>
                <w:sz w:val="21"/>
              </w:rPr>
              <w:t>（二）人员要求</w:t>
            </w:r>
          </w:p>
          <w:p>
            <w:pPr>
              <w:ind w:firstLine="420"/>
              <w:jc w:val="left"/>
            </w:pPr>
            <w:r>
              <w:rPr>
                <w:sz w:val="21"/>
              </w:rPr>
              <w:t>1.为本项目</w:t>
            </w:r>
            <w:r>
              <w:rPr>
                <w:sz w:val="21"/>
              </w:rPr>
              <w:t>配备</w:t>
            </w:r>
            <w:r>
              <w:rPr>
                <w:sz w:val="21"/>
              </w:rPr>
              <w:t>专职工作人员不少于</w:t>
            </w:r>
            <w:r>
              <w:rPr>
                <w:sz w:val="21"/>
              </w:rPr>
              <w:t>8名</w:t>
            </w:r>
            <w:r>
              <w:rPr>
                <w:sz w:val="21"/>
              </w:rPr>
              <w:t>，</w:t>
            </w:r>
            <w:r>
              <w:rPr>
                <w:sz w:val="21"/>
              </w:rPr>
              <w:t>含专职项目负责人</w:t>
            </w:r>
            <w:r>
              <w:rPr>
                <w:sz w:val="21"/>
              </w:rPr>
              <w:t>1名</w:t>
            </w:r>
            <w:r>
              <w:rPr>
                <w:sz w:val="21"/>
              </w:rPr>
              <w:t>，</w:t>
            </w:r>
            <w:r>
              <w:rPr>
                <w:sz w:val="21"/>
              </w:rPr>
              <w:t>执业护士、康复治疗师、社会工作师、养老护理员各不少于</w:t>
            </w:r>
            <w:r>
              <w:rPr>
                <w:sz w:val="21"/>
              </w:rPr>
              <w:t>1名</w:t>
            </w:r>
            <w:r>
              <w:rPr>
                <w:sz w:val="21"/>
              </w:rPr>
              <w:t>（应</w:t>
            </w:r>
            <w:r>
              <w:rPr>
                <w:sz w:val="21"/>
              </w:rPr>
              <w:t>具</w:t>
            </w:r>
            <w:r>
              <w:rPr>
                <w:sz w:val="21"/>
              </w:rPr>
              <w:t>有</w:t>
            </w:r>
            <w:r>
              <w:rPr>
                <w:sz w:val="21"/>
              </w:rPr>
              <w:t>相应的从业资格</w:t>
            </w:r>
            <w:r>
              <w:rPr>
                <w:sz w:val="21"/>
              </w:rPr>
              <w:t>），其他专职工作人员具有大专以上学历</w:t>
            </w:r>
            <w:r>
              <w:rPr>
                <w:sz w:val="21"/>
              </w:rPr>
              <w:t>。按项目实际服务需要配备专职或兼职执业医师</w:t>
            </w:r>
            <w:r>
              <w:rPr>
                <w:sz w:val="21"/>
              </w:rPr>
              <w:t>和其他工作人员。各村居颐康服务站配备专职或兼职工作人员不少</w:t>
            </w:r>
            <w:r>
              <w:rPr>
                <w:sz w:val="21"/>
              </w:rPr>
              <w:t>1名。</w:t>
            </w:r>
            <w:r>
              <w:rPr>
                <w:sz w:val="21"/>
              </w:rPr>
              <w:t>响应供应商承诺在</w:t>
            </w:r>
            <w:r>
              <w:rPr>
                <w:sz w:val="21"/>
              </w:rPr>
              <w:t>运营</w:t>
            </w:r>
            <w:r>
              <w:rPr>
                <w:sz w:val="21"/>
              </w:rPr>
              <w:t>期</w:t>
            </w:r>
            <w:r>
              <w:rPr>
                <w:sz w:val="21"/>
              </w:rPr>
              <w:t>间</w:t>
            </w:r>
            <w:r>
              <w:rPr>
                <w:sz w:val="21"/>
              </w:rPr>
              <w:t>必须保证投入的工作人员数量不能减少，如投入专职工作人员的数量未达到要求，则按照</w:t>
            </w:r>
            <w:r>
              <w:rPr>
                <w:sz w:val="21"/>
              </w:rPr>
              <w:t>10万元/人/年的标准，扣减支付项目费用。</w:t>
            </w:r>
            <w:r>
              <w:rPr>
                <w:sz w:val="21"/>
              </w:rPr>
              <w:t>运营</w:t>
            </w:r>
            <w:r>
              <w:rPr>
                <w:sz w:val="21"/>
              </w:rPr>
              <w:t>期</w:t>
            </w:r>
            <w:r>
              <w:rPr>
                <w:sz w:val="21"/>
              </w:rPr>
              <w:t>间</w:t>
            </w:r>
            <w:r>
              <w:rPr>
                <w:sz w:val="21"/>
              </w:rPr>
              <w:t>如有人事变动问题，应及时补充工作人员，必须保证能达到响应时承诺投入的工作人员。</w:t>
            </w:r>
          </w:p>
          <w:p>
            <w:pPr>
              <w:ind w:firstLine="420"/>
              <w:jc w:val="both"/>
            </w:pPr>
            <w:r>
              <w:rPr>
                <w:sz w:val="21"/>
              </w:rPr>
              <w:t>2.提供上门生活照料服务的，保障上门服务人员与服务对象的比例不低于1:10。</w:t>
            </w:r>
          </w:p>
          <w:p>
            <w:pPr>
              <w:ind w:firstLine="420"/>
              <w:jc w:val="both"/>
            </w:pPr>
            <w:r>
              <w:rPr>
                <w:sz w:val="21"/>
              </w:rPr>
              <w:t>3.提供康复护理服务的，护理人员与服务对象的配备比例不低于1:10，护理人员应具有护理、康复治疗专业技术教育背景或从业资格。</w:t>
            </w:r>
          </w:p>
          <w:p>
            <w:pPr>
              <w:ind w:firstLine="420"/>
              <w:jc w:val="both"/>
            </w:pPr>
            <w:r>
              <w:rPr>
                <w:sz w:val="21"/>
              </w:rPr>
              <w:t>4.提供医疗保健类服务的，应配备执业医生、执业护士、康复治疗师等专业人员。</w:t>
            </w:r>
          </w:p>
          <w:p>
            <w:pPr>
              <w:ind w:firstLine="420"/>
              <w:jc w:val="both"/>
            </w:pPr>
            <w:r>
              <w:rPr>
                <w:sz w:val="21"/>
              </w:rPr>
              <w:t>5.应配备具有财会专业教育背景或持有财会职业资格证书的人员管理财务。</w:t>
            </w:r>
          </w:p>
          <w:p>
            <w:pPr>
              <w:ind w:firstLine="420"/>
              <w:jc w:val="both"/>
            </w:pPr>
            <w:r>
              <w:rPr>
                <w:sz w:val="21"/>
              </w:rPr>
              <w:t>6.成交供应商应保证服务人员上岗前接受不少于10学时的岗前培训，每年在岗培训时间不少于15学时。</w:t>
            </w:r>
          </w:p>
          <w:p>
            <w:pPr>
              <w:ind w:firstLine="420"/>
              <w:jc w:val="left"/>
            </w:pPr>
            <w:r>
              <w:rPr>
                <w:b/>
                <w:sz w:val="21"/>
              </w:rPr>
              <w:t>（三）服务要求</w:t>
            </w:r>
          </w:p>
          <w:p>
            <w:pPr>
              <w:ind w:firstLine="420"/>
              <w:jc w:val="both"/>
            </w:pPr>
            <w:r>
              <w:rPr>
                <w:sz w:val="21"/>
              </w:rPr>
              <w:t>1.严格按照《广州市居家社区养老服务管理办法》和广州市地方标准《社区居家养老服务规范》的要求开展服务。</w:t>
            </w:r>
          </w:p>
          <w:p>
            <w:pPr>
              <w:ind w:firstLine="420"/>
              <w:jc w:val="both"/>
            </w:pPr>
            <w:r>
              <w:rPr>
                <w:sz w:val="21"/>
              </w:rPr>
              <w:t>2.对辖区内老年人的服务覆盖率达到100%。</w:t>
            </w:r>
          </w:p>
          <w:p>
            <w:pPr>
              <w:ind w:firstLine="420"/>
              <w:jc w:val="both"/>
            </w:pPr>
            <w:r>
              <w:rPr>
                <w:sz w:val="21"/>
              </w:rPr>
              <w:t>3.能够根据服务对象的实际需求制订详细具体的服务方案，并做好服务记录。</w:t>
            </w:r>
          </w:p>
          <w:p>
            <w:pPr>
              <w:ind w:firstLine="420"/>
              <w:jc w:val="both"/>
            </w:pPr>
            <w:r>
              <w:rPr>
                <w:sz w:val="21"/>
              </w:rPr>
              <w:t>4.服务项目完成率达到100%，服务对象满意率达到80%及以上。</w:t>
            </w:r>
          </w:p>
          <w:p>
            <w:pPr>
              <w:ind w:firstLine="420"/>
              <w:jc w:val="both"/>
            </w:pPr>
            <w:r>
              <w:rPr>
                <w:sz w:val="21"/>
              </w:rPr>
              <w:t>5.如现有颐康服务站点不符合民政部门的有关要求，成交供应商须按要求进行升级改造，强化助餐配餐、保健康复、个人照料的服务功能（需在响应文件中提供</w:t>
            </w:r>
            <w:r>
              <w:rPr>
                <w:b/>
                <w:sz w:val="21"/>
              </w:rPr>
              <w:t>承诺函</w:t>
            </w:r>
            <w:r>
              <w:rPr>
                <w:sz w:val="21"/>
              </w:rPr>
              <w:t>）。</w:t>
            </w:r>
          </w:p>
          <w:p>
            <w:pPr>
              <w:ind w:firstLine="420"/>
              <w:jc w:val="both"/>
            </w:pPr>
            <w:r>
              <w:rPr>
                <w:sz w:val="21"/>
              </w:rPr>
              <w:t>6.为户籍特殊独居人员安装居家安全监测设备，提供定期上门巡访服务。每月对尚未安装居家安全监测设备的特殊困难老年人提供不少于2次的上门探访服务，按要求做好探访记录等台账管理。</w:t>
            </w:r>
          </w:p>
          <w:p>
            <w:pPr>
              <w:ind w:firstLine="420"/>
              <w:jc w:val="both"/>
            </w:pPr>
            <w:r>
              <w:rPr>
                <w:sz w:val="21"/>
              </w:rPr>
              <w:t>7.服务人员应遵循职业操守，按规定开展服务。</w:t>
            </w:r>
          </w:p>
          <w:p>
            <w:pPr>
              <w:ind w:firstLine="420"/>
              <w:jc w:val="both"/>
            </w:pPr>
            <w:r>
              <w:rPr>
                <w:sz w:val="21"/>
              </w:rPr>
              <w:t>8.能有效管理社区居家养老服务相关文件和档案，真实完整记录并及时更新服务对象信息，保护个人信息安全，与服务对象的服务协议签约率及建档率达100%</w:t>
            </w:r>
            <w:r>
              <w:rPr>
                <w:sz w:val="21"/>
              </w:rPr>
              <w:t>。</w:t>
            </w:r>
          </w:p>
          <w:p>
            <w:pPr>
              <w:ind w:firstLine="420"/>
              <w:jc w:val="left"/>
            </w:pPr>
            <w:r>
              <w:rPr>
                <w:b/>
                <w:sz w:val="21"/>
              </w:rPr>
              <w:t>（四）服务收费</w:t>
            </w:r>
          </w:p>
          <w:p>
            <w:pPr>
              <w:ind w:firstLine="420"/>
              <w:jc w:val="both"/>
            </w:pPr>
            <w:r>
              <w:rPr>
                <w:sz w:val="21"/>
              </w:rPr>
              <w:t>1.</w:t>
            </w:r>
            <w:r>
              <w:rPr>
                <w:sz w:val="21"/>
              </w:rPr>
              <w:t>成交供应商</w:t>
            </w:r>
            <w:r>
              <w:rPr>
                <w:sz w:val="21"/>
              </w:rPr>
              <w:t>开展的服务项</w:t>
            </w:r>
            <w:r>
              <w:rPr>
                <w:sz w:val="21"/>
              </w:rPr>
              <w:t>目费用按照《广州市社区居家养老服务项目清单与指导参考价（试行）》（穗居家养老服务指导中心办〔</w:t>
            </w:r>
            <w:r>
              <w:rPr>
                <w:sz w:val="21"/>
              </w:rPr>
              <w:t>2018〕6号）的要求执行，由</w:t>
            </w:r>
            <w:r>
              <w:rPr>
                <w:sz w:val="21"/>
              </w:rPr>
              <w:t>采购人</w:t>
            </w:r>
            <w:r>
              <w:rPr>
                <w:sz w:val="21"/>
              </w:rPr>
              <w:t>与</w:t>
            </w:r>
            <w:r>
              <w:rPr>
                <w:sz w:val="21"/>
              </w:rPr>
              <w:t>成交供应商</w:t>
            </w:r>
            <w:r>
              <w:rPr>
                <w:sz w:val="21"/>
              </w:rPr>
              <w:t>商定并进行公示。</w:t>
            </w:r>
          </w:p>
          <w:p>
            <w:pPr>
              <w:ind w:firstLine="420"/>
              <w:jc w:val="both"/>
            </w:pPr>
            <w:r>
              <w:rPr>
                <w:sz w:val="21"/>
              </w:rPr>
              <w:t>2.</w:t>
            </w:r>
            <w:r>
              <w:rPr>
                <w:sz w:val="21"/>
              </w:rPr>
              <w:t>成交供应商</w:t>
            </w:r>
            <w:r>
              <w:rPr>
                <w:sz w:val="21"/>
              </w:rPr>
              <w:t>不得利用平台以产品展示的方式向服务对象推销保健食品、器材、产品等，如经发现成交供应商情况严重，</w:t>
            </w:r>
            <w:r>
              <w:rPr>
                <w:sz w:val="21"/>
              </w:rPr>
              <w:t>采购人</w:t>
            </w:r>
            <w:r>
              <w:rPr>
                <w:sz w:val="21"/>
              </w:rPr>
              <w:t>可立即取消合同并按相关法律追究</w:t>
            </w:r>
            <w:r>
              <w:rPr>
                <w:sz w:val="21"/>
              </w:rPr>
              <w:t>成交供应商</w:t>
            </w:r>
            <w:r>
              <w:rPr>
                <w:sz w:val="21"/>
              </w:rPr>
              <w:t>法律责任。</w:t>
            </w:r>
          </w:p>
          <w:p>
            <w:pPr>
              <w:jc w:val="both"/>
            </w:pPr>
            <w:r>
              <w:rPr>
                <w:b/>
                <w:sz w:val="21"/>
              </w:rPr>
              <w:t>四、</w:t>
            </w:r>
            <w:r>
              <w:rPr>
                <w:b/>
                <w:sz w:val="21"/>
              </w:rPr>
              <w:t>保密要求</w:t>
            </w:r>
          </w:p>
          <w:p>
            <w:pPr>
              <w:ind w:firstLine="420"/>
              <w:jc w:val="both"/>
            </w:pPr>
            <w:r>
              <w:rPr>
                <w:sz w:val="21"/>
              </w:rPr>
              <w:t>1.成交供应商须对本项目涉及服务对象的个人相关信息进行保密，未经服务对象或其法定监护人书面许可，不得对外披露，不得以任何形式提供给第三方，不得在参与本项目工作之外使用这些保密信息。</w:t>
            </w:r>
          </w:p>
          <w:p>
            <w:pPr>
              <w:ind w:firstLine="420"/>
              <w:jc w:val="both"/>
            </w:pPr>
            <w:r>
              <w:rPr>
                <w:sz w:val="21"/>
              </w:rPr>
              <w:t>2.成交供应商在本项目终止后不得保留以任何形式存储的服务对象的任何信息数据，不得利用该项目的信息数据为其他的单位（包括自办单位）或项目服务。</w:t>
            </w:r>
          </w:p>
          <w:p>
            <w:pPr>
              <w:jc w:val="both"/>
            </w:pPr>
            <w:r>
              <w:rPr>
                <w:b/>
                <w:sz w:val="21"/>
              </w:rPr>
              <w:t>五、</w:t>
            </w:r>
            <w:r>
              <w:rPr>
                <w:b/>
                <w:sz w:val="21"/>
              </w:rPr>
              <w:t>服务评估</w:t>
            </w:r>
          </w:p>
          <w:p>
            <w:pPr>
              <w:ind w:firstLine="420"/>
              <w:jc w:val="both"/>
            </w:pPr>
            <w:r>
              <w:rPr>
                <w:sz w:val="21"/>
              </w:rPr>
              <w:t>自双方合同签订之日起，成交供应商运营满</w:t>
            </w:r>
            <w:r>
              <w:rPr>
                <w:sz w:val="21"/>
              </w:rPr>
              <w:t>1</w:t>
            </w:r>
            <w:r>
              <w:rPr>
                <w:sz w:val="21"/>
              </w:rPr>
              <w:t>个自然</w:t>
            </w:r>
            <w:r>
              <w:rPr>
                <w:sz w:val="21"/>
              </w:rPr>
              <w:t>年需向采购人提交自评报告，由采购人向白云区民政局申请服务评估。对承接的服务项目评估定级不合格的</w:t>
            </w:r>
            <w:r>
              <w:rPr>
                <w:sz w:val="21"/>
              </w:rPr>
              <w:t>成交供应商</w:t>
            </w:r>
            <w:r>
              <w:rPr>
                <w:sz w:val="21"/>
              </w:rPr>
              <w:t>，由白云区民政局督促整改，整改后仍不合格的</w:t>
            </w:r>
            <w:r>
              <w:rPr>
                <w:sz w:val="21"/>
              </w:rPr>
              <w:t>成交供应商</w:t>
            </w:r>
            <w:r>
              <w:rPr>
                <w:sz w:val="21"/>
              </w:rPr>
              <w:t>，</w:t>
            </w:r>
            <w:r>
              <w:rPr>
                <w:sz w:val="21"/>
              </w:rPr>
              <w:t>采购人有权追究其违约责任</w:t>
            </w:r>
            <w:r>
              <w:rPr>
                <w:sz w:val="21"/>
              </w:rPr>
              <w:t>。</w:t>
            </w:r>
          </w:p>
          <w:p>
            <w:pPr>
              <w:jc w:val="both"/>
            </w:pPr>
            <w:r>
              <w:rPr>
                <w:b/>
                <w:sz w:val="21"/>
              </w:rPr>
              <w:t>六、</w:t>
            </w:r>
            <w:r>
              <w:rPr>
                <w:b/>
                <w:sz w:val="21"/>
              </w:rPr>
              <w:t>其他要求</w:t>
            </w:r>
          </w:p>
          <w:p>
            <w:pPr>
              <w:ind w:firstLine="420"/>
              <w:jc w:val="both"/>
            </w:pPr>
            <w:r>
              <w:rPr>
                <w:sz w:val="21"/>
              </w:rPr>
              <w:t>★</w:t>
            </w:r>
            <w:r>
              <w:rPr>
                <w:sz w:val="21"/>
              </w:rPr>
              <w:t>1.运营期间，如市、区关于养老服务的相关政策调整（包括但不限于居家社区养老政策、综合养老服务项目建设及运营政策等）、重点服</w:t>
            </w:r>
            <w:r>
              <w:rPr>
                <w:sz w:val="21"/>
              </w:rPr>
              <w:t>务对象人数、补贴标准发生变化等，成交供应商必须无条件接受，并严格按有关要求执行，成交供应商与采购人应根据最新政策签订补充协议，补充协议和原运营合同具有同等法律效力。（提供书面</w:t>
            </w:r>
            <w:r>
              <w:rPr>
                <w:b/>
                <w:sz w:val="21"/>
              </w:rPr>
              <w:t>承诺函</w:t>
            </w:r>
            <w:r>
              <w:rPr>
                <w:sz w:val="21"/>
              </w:rPr>
              <w:t>）</w:t>
            </w:r>
          </w:p>
          <w:p>
            <w:pPr>
              <w:ind w:firstLine="420"/>
              <w:jc w:val="both"/>
            </w:pPr>
            <w:r>
              <w:rPr>
                <w:sz w:val="21"/>
              </w:rPr>
              <w:t>2.</w:t>
            </w:r>
            <w:r>
              <w:rPr>
                <w:sz w:val="21"/>
              </w:rPr>
              <w:t>运营</w:t>
            </w:r>
            <w:r>
              <w:rPr>
                <w:sz w:val="21"/>
              </w:rPr>
              <w:t>期间，如遇到国家规定的广州市职工最低工资标准发生调整，采购人将不作任何调整，具体以广州市有关部门颁发的文件为准。</w:t>
            </w:r>
          </w:p>
          <w:p>
            <w:pPr>
              <w:ind w:firstLine="420"/>
              <w:jc w:val="both"/>
            </w:pPr>
            <w:r>
              <w:rPr>
                <w:sz w:val="21"/>
              </w:rPr>
              <w:t>3.</w:t>
            </w:r>
            <w:r>
              <w:rPr>
                <w:sz w:val="21"/>
              </w:rPr>
              <w:t>运营</w:t>
            </w:r>
            <w:r>
              <w:rPr>
                <w:sz w:val="21"/>
              </w:rPr>
              <w:t>期间，如财政拨款出现调整，双方另行商定。</w:t>
            </w:r>
          </w:p>
          <w:p>
            <w:pPr>
              <w:ind w:firstLine="420"/>
              <w:jc w:val="both"/>
            </w:pPr>
            <w:r>
              <w:rPr>
                <w:sz w:val="21"/>
              </w:rPr>
              <w:t>★</w:t>
            </w:r>
            <w:r>
              <w:rPr>
                <w:sz w:val="21"/>
              </w:rPr>
              <w:t>4.</w:t>
            </w:r>
            <w:r>
              <w:rPr>
                <w:sz w:val="21"/>
              </w:rPr>
              <w:t>运营</w:t>
            </w:r>
            <w:r>
              <w:rPr>
                <w:sz w:val="21"/>
              </w:rPr>
              <w:t>期间，成交供应商被上级通报未如实记录工单等情况，经查证情况属实的，年度评估等级不予评优；若出现安全事故，造成严重后果的，予以不合格一票否决。（提供书面</w:t>
            </w:r>
            <w:r>
              <w:rPr>
                <w:b/>
                <w:sz w:val="21"/>
              </w:rPr>
              <w:t>承诺函</w:t>
            </w:r>
            <w:r>
              <w:rPr>
                <w:sz w:val="21"/>
              </w:rPr>
              <w:t>）</w:t>
            </w:r>
          </w:p>
          <w:p>
            <w:pPr>
              <w:ind w:firstLine="420"/>
              <w:jc w:val="both"/>
            </w:pPr>
            <w:r>
              <w:rPr>
                <w:sz w:val="21"/>
              </w:rPr>
              <w:t>5.运营期间，不得发生欺老、虐老等违法行为，不得从事与养老服务无关的经营活动，不得利用本项目场地从事违法犯罪行为（包括但不限于生产、销售、经营国家规定的违禁品等），不得从事任何其他违法活动。成交供应商不得发行与本项目相关的商业预付卡，不得利用本项目的任何场地以产品展示的方式向服务对象推销所谓的保健食品或者保健器材等，如经发现上述任一情况的，采购人可视严重程度自行选择单方立即解除合同并按相关法律追究法律责任。运营期间，因成交供应商经营活动发生的一切纠纷，由成交供应商自行承担全部法律责任。</w:t>
            </w:r>
          </w:p>
          <w:p>
            <w:pPr>
              <w:ind w:firstLine="420"/>
              <w:jc w:val="both"/>
            </w:pPr>
            <w:r>
              <w:rPr>
                <w:sz w:val="21"/>
              </w:rPr>
              <w:t>6.</w:t>
            </w:r>
            <w:r>
              <w:rPr>
                <w:sz w:val="21"/>
              </w:rPr>
              <w:t>运营</w:t>
            </w:r>
            <w:r>
              <w:rPr>
                <w:sz w:val="21"/>
              </w:rPr>
              <w:t>期间，如成交</w:t>
            </w:r>
            <w:r>
              <w:rPr>
                <w:sz w:val="21"/>
              </w:rPr>
              <w:t>供应商</w:t>
            </w:r>
            <w:r>
              <w:rPr>
                <w:sz w:val="21"/>
              </w:rPr>
              <w:t>在年度内的服务质量评估不合格的，采购人有权解除合同并不向成交供应商做任何赔偿或补偿。在解除合同至</w:t>
            </w:r>
            <w:r>
              <w:rPr>
                <w:sz w:val="21"/>
              </w:rPr>
              <w:t>采购人</w:t>
            </w:r>
            <w:r>
              <w:rPr>
                <w:sz w:val="21"/>
              </w:rPr>
              <w:t>确定接替的居家社区养老服务机构正式履行合同前，成交供应商仍要为原服务对象提供合同约定的服务，费用按实际人数及服务时间进行结算。合同履行完毕或解除合同后，成交供应商应与接替的居家养老服务机构做好服务内容、相关档案等的交接工作。</w:t>
            </w:r>
          </w:p>
          <w:p>
            <w:pPr>
              <w:ind w:firstLine="420"/>
              <w:jc w:val="both"/>
            </w:pPr>
            <w:r>
              <w:rPr>
                <w:sz w:val="21"/>
              </w:rPr>
              <w:t>7.运营期间，成交供应商应守法经营，遵守国家的各项法律规定，遵守上级部门的管理公约，必须按有关部门要求认真落实安全生产工作，如因成交供应商原因（包括但不限于安全生产等工作落实不到位等）造成发生事故，或被有关行政主管部门处罚或者责令整改的，因此造成的一切损害损失及法律责任均由成交供应商承担。</w:t>
            </w:r>
          </w:p>
          <w:p>
            <w:pPr>
              <w:ind w:firstLine="420"/>
              <w:jc w:val="both"/>
            </w:pPr>
            <w:r>
              <w:rPr>
                <w:sz w:val="21"/>
              </w:rPr>
              <w:t>8.如采购人或政府职能部门收到关于</w:t>
            </w:r>
            <w:r>
              <w:rPr>
                <w:sz w:val="21"/>
              </w:rPr>
              <w:t>成交</w:t>
            </w:r>
            <w:r>
              <w:rPr>
                <w:sz w:val="21"/>
              </w:rPr>
              <w:t>供应商违反建设、对老人存在暴力或不文明的行为的投诉或反映，</w:t>
            </w:r>
            <w:r>
              <w:rPr>
                <w:sz w:val="21"/>
              </w:rPr>
              <w:t>如情况属实，</w:t>
            </w:r>
            <w:r>
              <w:rPr>
                <w:sz w:val="21"/>
              </w:rPr>
              <w:t>采购人有权责令成交供应商在限期内改正，并依照相关的规定追究成交供应商的违约责任。</w:t>
            </w:r>
          </w:p>
          <w:p>
            <w:pPr>
              <w:ind w:firstLine="420"/>
              <w:jc w:val="both"/>
            </w:pPr>
            <w:r>
              <w:rPr>
                <w:sz w:val="21"/>
              </w:rPr>
              <w:t>9.成交供应商应自行负责相关行政审批。运营期间未经采购人同意，成交供应商不得转租或改变经营项目。</w:t>
            </w:r>
          </w:p>
          <w:p>
            <w:pPr>
              <w:ind w:firstLine="420"/>
              <w:jc w:val="both"/>
            </w:pPr>
            <w:r>
              <w:rPr>
                <w:sz w:val="21"/>
              </w:rPr>
              <w:t>10.成交供应商不得以本项目的经营权向第三方进行分包、转包、担保、保证、抵押、融资、贷款或其他有损害采购人权益的行为。</w:t>
            </w:r>
          </w:p>
          <w:p>
            <w:pPr>
              <w:ind w:firstLine="420"/>
              <w:jc w:val="both"/>
            </w:pPr>
            <w:r>
              <w:rPr>
                <w:sz w:val="21"/>
              </w:rPr>
              <w:t>11.成交供应商应当按照建筑、消防、食品安全、医疗卫生等法律、法规和国家、省、市有关标准开展服务活动；应与服务对象签订服务协议，购买机构责任保险和场地险；须申请纳入长期护理保险协议定点服务机构，其内设医疗机构按规定纳入医保定点机构，便于为老年人提供综合性、全方位的养老服务。</w:t>
            </w:r>
          </w:p>
          <w:p>
            <w:pPr>
              <w:ind w:firstLine="420"/>
              <w:jc w:val="both"/>
            </w:pPr>
            <w:r>
              <w:rPr>
                <w:sz w:val="21"/>
              </w:rPr>
              <w:t>12.成交供应商如需要对服务设施进行改造，改造方案需先报</w:t>
            </w:r>
            <w:r>
              <w:rPr>
                <w:sz w:val="21"/>
              </w:rPr>
              <w:t>采购人</w:t>
            </w:r>
            <w:r>
              <w:rPr>
                <w:sz w:val="21"/>
              </w:rPr>
              <w:t>审核，经采购人同意后方可实施。</w:t>
            </w:r>
          </w:p>
          <w:p>
            <w:pPr>
              <w:ind w:firstLine="420"/>
              <w:jc w:val="both"/>
            </w:pPr>
            <w:r>
              <w:rPr>
                <w:sz w:val="21"/>
              </w:rPr>
              <w:t>13.</w:t>
            </w:r>
            <w:r>
              <w:rPr>
                <w:sz w:val="21"/>
              </w:rPr>
              <w:t>因采购人使用的是财政资金，采购人在前款规定的付款时间为向政府财政支付部门提出办理财政支付申请手续的时间（不含政府财政支付部门审核的时间），待完成财政支付审批手续后，采购人在</w:t>
            </w:r>
            <w:r>
              <w:rPr>
                <w:sz w:val="21"/>
              </w:rPr>
              <w:t>10</w:t>
            </w:r>
            <w:r>
              <w:rPr>
                <w:sz w:val="21"/>
              </w:rPr>
              <w:t>个工作日内向成交供应商付款。</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广州市白云区太和镇人民政府</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以下金额： ￥31,500.00元（大写：人民币叁万壹仟伍佰元整）。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吕永珊、陈蔚</w:t>
      </w:r>
    </w:p>
    <w:p>
      <w:pPr>
        <w:ind w:firstLine="480"/>
      </w:pPr>
      <w:r>
        <w:rPr/>
        <w:t>电话：</w:t>
      </w:r>
      <w:r>
        <w:rPr/>
        <w:t>020-37814404、020-87688049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太和镇综合养老服务中心（颐康中心）运营)：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采购包1（太和镇综合养老服务中心（颐康中心）运营）：</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响应价×（1-P1）。 5、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采购包1（太和镇综合养老服务中心（颐康中心）运营）：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单位负责人为同一人或者存在直接控股、管理关系的不同供应商，不得同时参加本采购项目响应。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采购包1（太和镇综合养老服务中心（颐康中心）运营）：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服务工时是固定唯一的，且在磋商文件规定的范围内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采购包1(太和镇综合养老服务中心（颐康中心）运营):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综合信用分5.0分</w:t>
            </w:r>
          </w:p>
          <w:p>
            <w:r>
              <w:rPr/>
              <w:t>报价得分20.0分</w:t>
            </w:r>
          </w:p>
        </w:tc>
      </w:tr>
      <w:tr>
        <w:tc>
          <w:tcPr>
            <w:tcW w:type="dxa" w:w="922"/>
            <w:gridSpan w:val="2"/>
            <w:vMerge w:val="restart"/>
          </w:tcPr>
          <w:p>
            <w:pPr>
              <w:jc w:val="center"/>
            </w:pPr>
            <w:r>
              <w:rPr/>
              <w:t>技术部分</w:t>
            </w:r>
          </w:p>
        </w:tc>
        <w:tc>
          <w:tcPr>
            <w:tcW w:type="dxa" w:w="2307"/>
          </w:tcPr>
          <w:p>
            <w:pPr>
              <w:jc w:val="left"/>
            </w:pPr>
            <w:r>
              <w:rPr/>
              <w:t>采购需求“▲”条款响应情况 (7.0分)</w:t>
            </w:r>
          </w:p>
        </w:tc>
        <w:tc>
          <w:tcPr>
            <w:tcW w:type="dxa" w:w="5076"/>
          </w:tcPr>
          <w:p>
            <w:pPr>
              <w:jc w:val="left"/>
            </w:pPr>
            <w:r>
              <w:rPr/>
              <w:t>满足采购需求中带“▲”条款（共14项），得7分，每一项不满足扣0.5分，最低0分。 注：采购需求中要求提供相关证明材料的，需按要求提供，否则不得分。</w:t>
            </w:r>
          </w:p>
        </w:tc>
      </w:tr>
      <w:tr>
        <w:tc>
          <w:tcPr>
            <w:tcW w:type="dxa" w:w="922"/>
            <w:gridSpan w:val="2"/>
            <w:vMerge/>
          </w:tcPr>
          <w:p/>
        </w:tc>
        <w:tc>
          <w:tcPr>
            <w:tcW w:type="dxa" w:w="2307"/>
          </w:tcPr>
          <w:p>
            <w:pPr>
              <w:jc w:val="left"/>
            </w:pPr>
            <w:r>
              <w:rPr/>
              <w:t>项目计划的专业服务内容（一） (2.0分)</w:t>
            </w:r>
          </w:p>
        </w:tc>
        <w:tc>
          <w:tcPr>
            <w:tcW w:type="dxa" w:w="5076"/>
          </w:tcPr>
          <w:p>
            <w:pPr>
              <w:jc w:val="left"/>
            </w:pPr>
            <w:r>
              <w:rPr/>
              <w:t>磋商小组根据响应供应商对本项目项目计划的专业服务内容进行评审，内容应包括：  1.项目内容及本辖区情况熟悉程度； 2.人员结构及分工； 3.服务供给； 4.应急预案。 注：提供全部内容得2分，每缺1项扣0.5分。</w:t>
            </w:r>
          </w:p>
        </w:tc>
      </w:tr>
      <w:tr>
        <w:tc>
          <w:tcPr>
            <w:tcW w:type="dxa" w:w="922"/>
            <w:gridSpan w:val="2"/>
            <w:vMerge/>
          </w:tcPr>
          <w:p/>
        </w:tc>
        <w:tc>
          <w:tcPr>
            <w:tcW w:type="dxa" w:w="2307"/>
          </w:tcPr>
          <w:p>
            <w:pPr>
              <w:jc w:val="left"/>
            </w:pPr>
            <w:r>
              <w:rPr/>
              <w:t>项目计划的专业服务内容（二） (8.0分)</w:t>
            </w:r>
            <w:r>
              <w:rPr/>
              <w:t>，（等次分值选择：</w:t>
            </w:r>
            <w:r>
              <w:rPr/>
              <w:t>0.0;</w:t>
            </w:r>
            <w:r>
              <w:rPr/>
              <w:t>1.0;</w:t>
            </w:r>
            <w:r>
              <w:rPr/>
              <w:t>4.0;</w:t>
            </w:r>
            <w:r>
              <w:rPr/>
              <w:t>6.0;</w:t>
            </w:r>
            <w:r>
              <w:rPr/>
              <w:t>8.0;</w:t>
            </w:r>
            <w:r>
              <w:rPr/>
              <w:t>）</w:t>
            </w:r>
          </w:p>
        </w:tc>
        <w:tc>
          <w:tcPr>
            <w:tcW w:type="dxa" w:w="5076"/>
          </w:tcPr>
          <w:p>
            <w:pPr>
              <w:jc w:val="left"/>
            </w:pPr>
            <w:r>
              <w:rPr/>
              <w:t>磋商小组根据响应供应商对本项目项目计划的专业服务内容进行评审：  1.非常熟悉项目内容及本辖区情况，针对本项目制定了完善的实施计划、人员结构及分工、服务供给、应急预案等内容，对进度把控及方案质量保证有详细的说明，有创新特色，有效保障本项目实施，有利于实现服务效果，得8分；   2.熟悉项目内容，能针对本项目制定相应的实施计划、人员结构及分工、服务供给、应急预案等内容，对进度把控及方案质量保证有相关的说明，基本能保障本项目实施，基本满足服务效果，得6分；   3.了解项目内容，能针对本项目制定相应的实施计划、人员结构及分工、服务供给等内容，对进度把控及方案质量保证有一些说明，部分保障本项目实施，部分满足服务效果，得4分；  4.不了解项目内容，不能针对本项目制定相应的实施计划、人员结构及分工、服务供给等内容，对进度把控及方案质量没有说明，无法保障本项目实施，无法达到服务效果，得1分； 5.不提供不得分。</w:t>
            </w:r>
          </w:p>
        </w:tc>
      </w:tr>
      <w:tr>
        <w:tc>
          <w:tcPr>
            <w:tcW w:type="dxa" w:w="922"/>
            <w:gridSpan w:val="2"/>
            <w:vMerge/>
          </w:tcPr>
          <w:p/>
        </w:tc>
        <w:tc>
          <w:tcPr>
            <w:tcW w:type="dxa" w:w="2307"/>
          </w:tcPr>
          <w:p>
            <w:pPr>
              <w:jc w:val="left"/>
            </w:pPr>
            <w:r>
              <w:rPr/>
              <w:t>投入项目的专业团队人员情况（一） (4.0分)</w:t>
            </w:r>
          </w:p>
        </w:tc>
        <w:tc>
          <w:tcPr>
            <w:tcW w:type="dxa" w:w="5076"/>
          </w:tcPr>
          <w:p>
            <w:pPr>
              <w:jc w:val="left"/>
            </w:pPr>
            <w:r>
              <w:rPr/>
              <w:t>为本项目配备的专职的项目负责人：   1.具有5年及以上项目管理工作经验，且有社会工作师证的，得4分；  2.具有5年及以上项目管理工作经验，没有社会工作师证的，得3分；   3.具有5年以下项目管理工作经验，得1分。  注：须提供相关工作经验证明材料及磋商截止之日前六个月内任意一个月响应供应商为其购买社保或代缴个税的证明文件；无工作经验或不提供不得分。</w:t>
            </w:r>
          </w:p>
        </w:tc>
      </w:tr>
      <w:tr>
        <w:tc>
          <w:tcPr>
            <w:tcW w:type="dxa" w:w="922"/>
            <w:gridSpan w:val="2"/>
            <w:vMerge/>
          </w:tcPr>
          <w:p/>
        </w:tc>
        <w:tc>
          <w:tcPr>
            <w:tcW w:type="dxa" w:w="2307"/>
          </w:tcPr>
          <w:p>
            <w:pPr>
              <w:jc w:val="left"/>
            </w:pPr>
            <w:r>
              <w:rPr/>
              <w:t>投入项目的专业团队人员情况（二） (4.0分)</w:t>
            </w:r>
          </w:p>
        </w:tc>
        <w:tc>
          <w:tcPr>
            <w:tcW w:type="dxa" w:w="5076"/>
          </w:tcPr>
          <w:p>
            <w:pPr>
              <w:jc w:val="left"/>
            </w:pPr>
            <w:r>
              <w:rPr/>
              <w:t>为本项目配备执业医师的情况：   每配备1位专职或兼职执业医师得1分，本项最高得4分。 注：专职人员须提供相关证明材料及磋商截止之日前六个月内任意一个月响应供应商为其购买社保或代缴个税的证明文件；兼职人员须提供兼职合同/协议；无提供不得分。</w:t>
            </w:r>
          </w:p>
        </w:tc>
      </w:tr>
      <w:tr>
        <w:tc>
          <w:tcPr>
            <w:tcW w:type="dxa" w:w="922"/>
            <w:gridSpan w:val="2"/>
            <w:vMerge/>
          </w:tcPr>
          <w:p/>
        </w:tc>
        <w:tc>
          <w:tcPr>
            <w:tcW w:type="dxa" w:w="2307"/>
          </w:tcPr>
          <w:p>
            <w:pPr>
              <w:jc w:val="left"/>
            </w:pPr>
            <w:r>
              <w:rPr/>
              <w:t>投入项目的专业团队人员情况（三） (4.0分)</w:t>
            </w:r>
          </w:p>
        </w:tc>
        <w:tc>
          <w:tcPr>
            <w:tcW w:type="dxa" w:w="5076"/>
          </w:tcPr>
          <w:p>
            <w:pPr>
              <w:jc w:val="left"/>
            </w:pPr>
            <w:r>
              <w:rPr/>
              <w:t>为本项目配备执业护士的情况：   每配备1位专职或兼职执业护士得1分，本项最高得4分。  注：专职人员须提供相关证明材料及磋商截止之日前六个月内任意一个月响应供应商为其购买社保或代缴个税的证明文件；兼职人员须提供兼职合同/ 协议；无提供不得分。</w:t>
            </w:r>
          </w:p>
        </w:tc>
      </w:tr>
      <w:tr>
        <w:tc>
          <w:tcPr>
            <w:tcW w:type="dxa" w:w="922"/>
            <w:gridSpan w:val="2"/>
            <w:vMerge/>
          </w:tcPr>
          <w:p/>
        </w:tc>
        <w:tc>
          <w:tcPr>
            <w:tcW w:type="dxa" w:w="2307"/>
          </w:tcPr>
          <w:p>
            <w:pPr>
              <w:jc w:val="left"/>
            </w:pPr>
            <w:r>
              <w:rPr/>
              <w:t>投入项目的专业团队人员情况（四） (2.0分)</w:t>
            </w:r>
          </w:p>
        </w:tc>
        <w:tc>
          <w:tcPr>
            <w:tcW w:type="dxa" w:w="5076"/>
          </w:tcPr>
          <w:p>
            <w:pPr>
              <w:jc w:val="left"/>
            </w:pPr>
            <w:r>
              <w:rPr/>
              <w:t>为本项目配备康复治疗师的情况：  每配备1位专职或兼职康复治疗师得1分，本项最高得2分。  注：专职人员须提供磋商截止之日前六个月内任意一个月，响应供应商为其购买社保或代缴个税的证明文件；兼职人员须提供兼职合同/ 协议；无提供不得分。</w:t>
            </w:r>
          </w:p>
        </w:tc>
      </w:tr>
      <w:tr>
        <w:tc>
          <w:tcPr>
            <w:tcW w:type="dxa" w:w="922"/>
            <w:gridSpan w:val="2"/>
            <w:vMerge/>
          </w:tcPr>
          <w:p/>
        </w:tc>
        <w:tc>
          <w:tcPr>
            <w:tcW w:type="dxa" w:w="2307"/>
          </w:tcPr>
          <w:p>
            <w:pPr>
              <w:jc w:val="left"/>
            </w:pPr>
            <w:r>
              <w:rPr/>
              <w:t>投入项目的专业团队人员情况（五） (4.0分)</w:t>
            </w:r>
          </w:p>
        </w:tc>
        <w:tc>
          <w:tcPr>
            <w:tcW w:type="dxa" w:w="5076"/>
          </w:tcPr>
          <w:p>
            <w:pPr>
              <w:jc w:val="left"/>
            </w:pPr>
            <w:r>
              <w:rPr/>
              <w:t>为本项目配备专职社会工作师的情况：   1.配备中级社会工作师，每配备1位得2分；   2.配备初级社会工作师，每配备1位得1分。   同一人不重复得分，本项最高得4分。  注：须提供相关证明材料及磋商截止之日前六个月内任意一个月响应供应商为其购买社保或代缴个税的证明文件；无提供不得分。</w:t>
            </w:r>
          </w:p>
        </w:tc>
      </w:tr>
      <w:tr>
        <w:tc>
          <w:tcPr>
            <w:tcW w:type="dxa" w:w="922"/>
            <w:gridSpan w:val="2"/>
            <w:vMerge/>
          </w:tcPr>
          <w:p/>
        </w:tc>
        <w:tc>
          <w:tcPr>
            <w:tcW w:type="dxa" w:w="2307"/>
          </w:tcPr>
          <w:p>
            <w:pPr>
              <w:jc w:val="left"/>
            </w:pPr>
            <w:r>
              <w:rPr/>
              <w:t>项目计划实施的制度保障（一） (1.0分)</w:t>
            </w:r>
          </w:p>
        </w:tc>
        <w:tc>
          <w:tcPr>
            <w:tcW w:type="dxa" w:w="5076"/>
          </w:tcPr>
          <w:p>
            <w:pPr>
              <w:jc w:val="left"/>
            </w:pPr>
            <w:r>
              <w:rPr/>
              <w:t>磋商小组根据响应供应商对本项目项目计划实施的制度保障进行评审，内容应包括：  1.工作制度； 2.保障服务计划。 注：提供全部内容得1分，每缺1项扣0.5分。</w:t>
            </w:r>
          </w:p>
        </w:tc>
      </w:tr>
      <w:tr>
        <w:tc>
          <w:tcPr>
            <w:tcW w:type="dxa" w:w="922"/>
            <w:gridSpan w:val="2"/>
            <w:vMerge/>
          </w:tcPr>
          <w:p/>
        </w:tc>
        <w:tc>
          <w:tcPr>
            <w:tcW w:type="dxa" w:w="2307"/>
          </w:tcPr>
          <w:p>
            <w:pPr>
              <w:jc w:val="left"/>
            </w:pPr>
            <w:r>
              <w:rPr/>
              <w:t>项目计划实施的制度保障（二） (5.0分)</w:t>
            </w:r>
            <w:r>
              <w:rPr/>
              <w:t>，（等次分值选择：</w:t>
            </w:r>
            <w:r>
              <w:rPr/>
              <w:t>0.0;</w:t>
            </w:r>
            <w:r>
              <w:rPr/>
              <w:t>1.0;</w:t>
            </w:r>
            <w:r>
              <w:rPr/>
              <w:t>3.0;</w:t>
            </w:r>
            <w:r>
              <w:rPr/>
              <w:t>5.0;</w:t>
            </w:r>
            <w:r>
              <w:rPr/>
              <w:t>）</w:t>
            </w:r>
          </w:p>
        </w:tc>
        <w:tc>
          <w:tcPr>
            <w:tcW w:type="dxa" w:w="5076"/>
          </w:tcPr>
          <w:p>
            <w:pPr>
              <w:jc w:val="left"/>
            </w:pPr>
            <w:r>
              <w:rPr/>
              <w:t>磋商小组根据响应供应商项目计划实施的制度保障进行评审：  1.有系统的服务保障制度，具有科学合理性和可执行性，有效保障本项目实施，有利于实现服务效果，得5分；   2.有系统的服务保障制度，具有一定的合理性和可执行性，基本能保障本项目实施，基本满足服务效果，得3分；   3.有系统的服务保障制度，但合理性和可执行性低的，部分保障本项目实施，部分满足服务效果，得1分；   4.无相关保障运行制度的，无法保障本项目实施，无法达到服务效果，得0分。</w:t>
            </w:r>
          </w:p>
        </w:tc>
      </w:tr>
      <w:tr>
        <w:tc>
          <w:tcPr>
            <w:tcW w:type="dxa" w:w="922"/>
            <w:gridSpan w:val="2"/>
            <w:vMerge/>
          </w:tcPr>
          <w:p/>
        </w:tc>
        <w:tc>
          <w:tcPr>
            <w:tcW w:type="dxa" w:w="2307"/>
          </w:tcPr>
          <w:p>
            <w:pPr>
              <w:jc w:val="left"/>
            </w:pPr>
            <w:r>
              <w:rPr/>
              <w:t>项目经费预算保障（一）  (1.0分)</w:t>
            </w:r>
          </w:p>
        </w:tc>
        <w:tc>
          <w:tcPr>
            <w:tcW w:type="dxa" w:w="5076"/>
          </w:tcPr>
          <w:p>
            <w:pPr>
              <w:jc w:val="left"/>
            </w:pPr>
            <w:r>
              <w:rPr/>
              <w:t>磋商小组根据响应供应商对本项目项目经费预算保障进行评审，内容应包括：  1.项目经费使用计划； 2.预算明细。 注：提供全部内容得1分，每缺1项扣0.5分。</w:t>
            </w:r>
          </w:p>
        </w:tc>
      </w:tr>
      <w:tr>
        <w:tc>
          <w:tcPr>
            <w:tcW w:type="dxa" w:w="922"/>
            <w:gridSpan w:val="2"/>
            <w:vMerge/>
          </w:tcPr>
          <w:p/>
        </w:tc>
        <w:tc>
          <w:tcPr>
            <w:tcW w:type="dxa" w:w="2307"/>
          </w:tcPr>
          <w:p>
            <w:pPr>
              <w:jc w:val="left"/>
            </w:pPr>
            <w:r>
              <w:rPr/>
              <w:t>项目经费预算保障（二） (6.0分)</w:t>
            </w:r>
            <w:r>
              <w:rPr/>
              <w:t>，（等次分值选择：</w:t>
            </w:r>
            <w:r>
              <w:rPr/>
              <w:t>0.0;</w:t>
            </w:r>
            <w:r>
              <w:rPr/>
              <w:t>1.0;</w:t>
            </w:r>
            <w:r>
              <w:rPr/>
              <w:t>3.0;</w:t>
            </w:r>
            <w:r>
              <w:rPr/>
              <w:t>6.0;</w:t>
            </w:r>
            <w:r>
              <w:rPr/>
              <w:t>）</w:t>
            </w:r>
          </w:p>
        </w:tc>
        <w:tc>
          <w:tcPr>
            <w:tcW w:type="dxa" w:w="5076"/>
          </w:tcPr>
          <w:p>
            <w:pPr>
              <w:jc w:val="left"/>
            </w:pPr>
            <w:r>
              <w:rPr/>
              <w:t>磋商小组根据响应供应商提供的项目经费预算保障进行评审：  1.项目经费预算科目清晰，全面考虑了工作中各项可能性支出，预算明细合理，有效保障本项目实施，有利于实现服务效果，得6分；  2.项目经费预算科目清晰，考虑了工作中各项可能性支出，预算明细有其合理性，基本能保障本项目实施，基本满足服务效果，得3分；   3.项目经费预算科目清晰，但对工作中各项主要性支出考虑不够全面，预算明细不够合理，部分保障本项目实施，部分满足服务效果，得1分；   4.无项目经费预算或项目经费预算科目不清晰，无法保障本项目实施，无法达到服务效果，均得0分。</w:t>
            </w:r>
          </w:p>
        </w:tc>
      </w:tr>
      <w:tr>
        <w:tc>
          <w:tcPr>
            <w:tcW w:type="dxa" w:w="922"/>
            <w:gridSpan w:val="2"/>
            <w:vMerge/>
          </w:tcPr>
          <w:p/>
        </w:tc>
        <w:tc>
          <w:tcPr>
            <w:tcW w:type="dxa" w:w="2307"/>
          </w:tcPr>
          <w:p>
            <w:pPr>
              <w:jc w:val="left"/>
            </w:pPr>
            <w:r>
              <w:rPr/>
              <w:t>整合慈善资源能力和方案（一） (1.0分)</w:t>
            </w:r>
          </w:p>
        </w:tc>
        <w:tc>
          <w:tcPr>
            <w:tcW w:type="dxa" w:w="5076"/>
          </w:tcPr>
          <w:p>
            <w:pPr>
              <w:jc w:val="left"/>
            </w:pPr>
            <w:r>
              <w:rPr/>
              <w:t>磋商小组根据响应供应商对本项目整合慈善资源能力和方案进行评审，内容应包括：  1.整合慈善资源的计划和能力； 2.对整合的资源运用到项目长者服务的具体方案。 注：提供全部内容得1分，每缺1项扣0.5分。</w:t>
            </w:r>
          </w:p>
        </w:tc>
      </w:tr>
      <w:tr>
        <w:tc>
          <w:tcPr>
            <w:tcW w:type="dxa" w:w="922"/>
            <w:gridSpan w:val="2"/>
            <w:vMerge/>
          </w:tcPr>
          <w:p/>
        </w:tc>
        <w:tc>
          <w:tcPr>
            <w:tcW w:type="dxa" w:w="2307"/>
          </w:tcPr>
          <w:p>
            <w:pPr>
              <w:jc w:val="left"/>
            </w:pPr>
            <w:r>
              <w:rPr/>
              <w:t>整合慈善资源能力和方案（二） (6.0分)</w:t>
            </w:r>
            <w:r>
              <w:rPr/>
              <w:t>，（等次分值选择：</w:t>
            </w:r>
            <w:r>
              <w:rPr/>
              <w:t>0.0;</w:t>
            </w:r>
            <w:r>
              <w:rPr/>
              <w:t>1.0;</w:t>
            </w:r>
            <w:r>
              <w:rPr/>
              <w:t>3.0;</w:t>
            </w:r>
            <w:r>
              <w:rPr/>
              <w:t>6.0;</w:t>
            </w:r>
            <w:r>
              <w:rPr/>
              <w:t>）</w:t>
            </w:r>
          </w:p>
        </w:tc>
        <w:tc>
          <w:tcPr>
            <w:tcW w:type="dxa" w:w="5076"/>
          </w:tcPr>
          <w:p>
            <w:pPr>
              <w:jc w:val="left"/>
            </w:pPr>
            <w:r>
              <w:rPr/>
              <w:t>磋商小组根据响应供应商整合慈善资源能力和方案进行评审：   1.出具了符合采购人实际情况的方案，且具有科学合理性和可执行性，有效保障本项目实施，有利于实现服务效果，得6分；   2.出具了符合采购人实际情况的方案，且有一定的合理性和可执行性，基本能保障本项目实施，基本满足服务效果，得3分；   3.出具了符合采购人实际情况的方案，但可执行性低，部分保障本项目实施，部分满足服务效果，得1分；  4.出具的方案不符合采购人实际情况，无法保障本项目实施，无法达到服务效果，得0分。</w:t>
            </w:r>
          </w:p>
        </w:tc>
      </w:tr>
      <w:tr>
        <w:tc>
          <w:tcPr>
            <w:tcW w:type="dxa" w:w="922"/>
            <w:gridSpan w:val="2"/>
            <w:vMerge w:val="restart"/>
          </w:tcPr>
          <w:p>
            <w:pPr>
              <w:jc w:val="center"/>
            </w:pPr>
            <w:r>
              <w:rPr/>
              <w:t>商务部分</w:t>
            </w:r>
          </w:p>
        </w:tc>
        <w:tc>
          <w:tcPr>
            <w:tcW w:type="dxa" w:w="2307"/>
          </w:tcPr>
          <w:p>
            <w:pPr>
              <w:jc w:val="left"/>
            </w:pPr>
            <w:r>
              <w:rPr/>
              <w:t>响应供应商综合实力（一）  (1.5分)</w:t>
            </w:r>
          </w:p>
        </w:tc>
        <w:tc>
          <w:tcPr>
            <w:tcW w:type="dxa" w:w="5076"/>
          </w:tcPr>
          <w:p>
            <w:pPr>
              <w:jc w:val="left"/>
            </w:pPr>
            <w:r>
              <w:rPr/>
              <w:t>磋商小组根据响应供应商对本项目响应供应商综合实力进行评审，内容应包括：  1.办公场所情况； 2.员工职责范围和工作守则； 3.人事、运营、公共安全、卫生、服务等方面的管理制度。 注：提供全部内容得1.5分，每缺1项扣0.5分。</w:t>
            </w:r>
          </w:p>
        </w:tc>
      </w:tr>
      <w:tr>
        <w:tc>
          <w:tcPr>
            <w:tcW w:type="dxa" w:w="922"/>
            <w:gridSpan w:val="2"/>
            <w:vMerge/>
          </w:tcPr>
          <w:p/>
        </w:tc>
        <w:tc>
          <w:tcPr>
            <w:tcW w:type="dxa" w:w="2307"/>
          </w:tcPr>
          <w:p>
            <w:pPr>
              <w:jc w:val="left"/>
            </w:pPr>
            <w:r>
              <w:rPr/>
              <w:t>响应供应商综合实力（二） (3.5分)</w:t>
            </w:r>
            <w:r>
              <w:rPr/>
              <w:t>，（等次分值选择：</w:t>
            </w:r>
            <w:r>
              <w:rPr/>
              <w:t>0.0;</w:t>
            </w:r>
            <w:r>
              <w:rPr/>
              <w:t>1.0;</w:t>
            </w:r>
            <w:r>
              <w:rPr/>
              <w:t>2.0;</w:t>
            </w:r>
            <w:r>
              <w:rPr/>
              <w:t>3.5;</w:t>
            </w:r>
            <w:r>
              <w:rPr/>
              <w:t>）</w:t>
            </w:r>
          </w:p>
        </w:tc>
        <w:tc>
          <w:tcPr>
            <w:tcW w:type="dxa" w:w="5076"/>
          </w:tcPr>
          <w:p>
            <w:pPr>
              <w:jc w:val="left"/>
            </w:pPr>
            <w:r>
              <w:rPr/>
              <w:t>磋商小组根据响应供应商办公场所情况进行评审：  1.配置与其服务内容、服务范围相适应的固定场所与设施设备充分、全面，有效保障本项目实施，有利于实现服务效果，得3.5分；  2.配置办公区与服务接待区，配置与其服务内容、服务范围基本适应的固定场所与设施设备，基本能保障本项目实施，基本满足服务效果，得2分；  3.配置办公区与服务接待区，配置与其服务内容、服务范围不完全适应的固定场所与设施设备不够充分、全面，部分保障本项目实施，部分满足服务效果，得1分；  4.不提供不得分。</w:t>
            </w:r>
          </w:p>
        </w:tc>
      </w:tr>
      <w:tr>
        <w:tc>
          <w:tcPr>
            <w:tcW w:type="dxa" w:w="922"/>
            <w:gridSpan w:val="2"/>
            <w:vMerge/>
          </w:tcPr>
          <w:p/>
        </w:tc>
        <w:tc>
          <w:tcPr>
            <w:tcW w:type="dxa" w:w="2307"/>
          </w:tcPr>
          <w:p>
            <w:pPr>
              <w:jc w:val="left"/>
            </w:pPr>
            <w:r>
              <w:rPr/>
              <w:t>响应供应商综合实力（三） (3.0分)</w:t>
            </w:r>
            <w:r>
              <w:rPr/>
              <w:t>，（等次分值选择：</w:t>
            </w:r>
            <w:r>
              <w:rPr/>
              <w:t>0.0;</w:t>
            </w:r>
            <w:r>
              <w:rPr/>
              <w:t>1.0;</w:t>
            </w:r>
            <w:r>
              <w:rPr/>
              <w:t>2.0;</w:t>
            </w:r>
            <w:r>
              <w:rPr/>
              <w:t>3.0;</w:t>
            </w:r>
            <w:r>
              <w:rPr/>
              <w:t>）</w:t>
            </w:r>
          </w:p>
        </w:tc>
        <w:tc>
          <w:tcPr>
            <w:tcW w:type="dxa" w:w="5076"/>
          </w:tcPr>
          <w:p>
            <w:pPr>
              <w:jc w:val="left"/>
            </w:pPr>
            <w:r>
              <w:rPr/>
              <w:t>根据响应供应商员工职责范围和工作守则进行评审：  1.具备明确的员工职责范围和完善工作守则，有效保障本项目实施，有利于实现服务效果，得3分；  2.具备基本明确的员工职责范围和基本完善工作守则，基本能保障本项目实施，基本满足服务效果，得2分；  3.具备不够明确的员工职责范围和不够完善工作守则，部分保障本项目实施，部分满足服务效果，得1分；  4.不提供不得分。</w:t>
            </w:r>
          </w:p>
        </w:tc>
      </w:tr>
      <w:tr>
        <w:tc>
          <w:tcPr>
            <w:tcW w:type="dxa" w:w="922"/>
            <w:gridSpan w:val="2"/>
            <w:vMerge/>
          </w:tcPr>
          <w:p/>
        </w:tc>
        <w:tc>
          <w:tcPr>
            <w:tcW w:type="dxa" w:w="2307"/>
          </w:tcPr>
          <w:p>
            <w:pPr>
              <w:jc w:val="left"/>
            </w:pPr>
            <w:r>
              <w:rPr/>
              <w:t>响应供应商综合实力（四） (2.0分)</w:t>
            </w:r>
            <w:r>
              <w:rPr/>
              <w:t>，（等次分值选择：</w:t>
            </w:r>
            <w:r>
              <w:rPr/>
              <w:t>0.0;</w:t>
            </w:r>
            <w:r>
              <w:rPr/>
              <w:t>0.5;</w:t>
            </w:r>
            <w:r>
              <w:rPr/>
              <w:t>1.0;</w:t>
            </w:r>
            <w:r>
              <w:rPr/>
              <w:t>2.0;</w:t>
            </w:r>
            <w:r>
              <w:rPr/>
              <w:t>）</w:t>
            </w:r>
          </w:p>
        </w:tc>
        <w:tc>
          <w:tcPr>
            <w:tcW w:type="dxa" w:w="5076"/>
          </w:tcPr>
          <w:p>
            <w:pPr>
              <w:jc w:val="left"/>
            </w:pPr>
            <w:r>
              <w:rPr/>
              <w:t>根据响应供应商包括人事、运营、公共安全、卫生、服务等方面的管理制度进行评审：  1.具备完善的人事、运营、公共安全、卫生、服务等方面的管理制度，有效保障本项目实施，有利于实现服务效果，得2分；  2.具备基本完善的人事、运营、公共安全、卫生、服务等方面的管理制度，基本能保障本项目实施，基本满足服务效果，得1分；  3.具备不够完善的人事、运营、公共安全、卫生、服务等方面的管理制度，部分保障本项目实施，部分满足服务效果，得0.5分；  4.不提供不得分。</w:t>
            </w:r>
          </w:p>
        </w:tc>
      </w:tr>
      <w:tr>
        <w:tc>
          <w:tcPr>
            <w:tcW w:type="dxa" w:w="922"/>
            <w:gridSpan w:val="2"/>
            <w:vMerge/>
          </w:tcPr>
          <w:p/>
        </w:tc>
        <w:tc>
          <w:tcPr>
            <w:tcW w:type="dxa" w:w="2307"/>
          </w:tcPr>
          <w:p>
            <w:pPr>
              <w:jc w:val="left"/>
            </w:pPr>
            <w:r>
              <w:rPr/>
              <w:t>响应供应商综合实力（五） (1.0分)</w:t>
            </w:r>
          </w:p>
        </w:tc>
        <w:tc>
          <w:tcPr>
            <w:tcW w:type="dxa" w:w="5076"/>
          </w:tcPr>
          <w:p>
            <w:pPr>
              <w:jc w:val="left"/>
            </w:pPr>
            <w:r>
              <w:rPr/>
              <w:t>响应供应商具有医疗服务能力的，得1分，无或其他不得分。  （注：提供响应供应商自有医疗资质或与有医疗资质的机构合作的协议作为有效的证明材料复印件，无提供不得分）</w:t>
            </w:r>
          </w:p>
        </w:tc>
      </w:tr>
      <w:tr>
        <w:tc>
          <w:tcPr>
            <w:tcW w:type="dxa" w:w="922"/>
            <w:gridSpan w:val="2"/>
            <w:vMerge/>
          </w:tcPr>
          <w:p/>
        </w:tc>
        <w:tc>
          <w:tcPr>
            <w:tcW w:type="dxa" w:w="2307"/>
          </w:tcPr>
          <w:p>
            <w:pPr>
              <w:jc w:val="left"/>
            </w:pPr>
            <w:r>
              <w:rPr/>
              <w:t>响应供应商综合实力（六） (1.0分)</w:t>
            </w:r>
          </w:p>
        </w:tc>
        <w:tc>
          <w:tcPr>
            <w:tcW w:type="dxa" w:w="5076"/>
          </w:tcPr>
          <w:p>
            <w:pPr>
              <w:jc w:val="left"/>
            </w:pPr>
            <w:r>
              <w:rPr/>
              <w:t>响应供应商具有食品经营能力的，得1分，无或其他不得分。 （注：提供响应供应商自有食品经营资质或与有食品经营资质的机构合作的协议作为有效的证明材料复印件，无提供不得分）</w:t>
            </w:r>
          </w:p>
        </w:tc>
      </w:tr>
      <w:tr>
        <w:tc>
          <w:tcPr>
            <w:tcW w:type="dxa" w:w="922"/>
            <w:gridSpan w:val="2"/>
            <w:vMerge/>
          </w:tcPr>
          <w:p/>
        </w:tc>
        <w:tc>
          <w:tcPr>
            <w:tcW w:type="dxa" w:w="2307"/>
          </w:tcPr>
          <w:p>
            <w:pPr>
              <w:jc w:val="left"/>
            </w:pPr>
            <w:r>
              <w:rPr/>
              <w:t>响应供应商财务执行能力（一） (2.0分)</w:t>
            </w:r>
          </w:p>
        </w:tc>
        <w:tc>
          <w:tcPr>
            <w:tcW w:type="dxa" w:w="5076"/>
          </w:tcPr>
          <w:p>
            <w:pPr>
              <w:jc w:val="left"/>
            </w:pPr>
            <w:r>
              <w:rPr/>
              <w:t>为本项目配备的专职或兼职的财会专业人员：   1.具有财会类相关专业高级职称的，得2分； 2.具有财会类相关专业中级职称的，得1分； 3.具有财会类相关专业初级职称的，得0.5分； 4.没有财会类相关专业职称的不得分； 注：专职人员须提供磋商截止之日前六个月内任意一个月，响应供应商为其购买社保或代缴个税的证明文件；兼职人员须提供兼职合同/ 协议；无提供不得分。</w:t>
            </w:r>
          </w:p>
        </w:tc>
      </w:tr>
      <w:tr>
        <w:tc>
          <w:tcPr>
            <w:tcW w:type="dxa" w:w="922"/>
            <w:gridSpan w:val="2"/>
            <w:vMerge/>
          </w:tcPr>
          <w:p/>
        </w:tc>
        <w:tc>
          <w:tcPr>
            <w:tcW w:type="dxa" w:w="2307"/>
          </w:tcPr>
          <w:p>
            <w:pPr>
              <w:jc w:val="left"/>
            </w:pPr>
            <w:r>
              <w:rPr/>
              <w:t>响应供应商财务执行能力（二） (2.0分)</w:t>
            </w:r>
            <w:r>
              <w:rPr/>
              <w:t>，（等次分值选择：</w:t>
            </w:r>
            <w:r>
              <w:rPr/>
              <w:t>0.0;</w:t>
            </w:r>
            <w:r>
              <w:rPr/>
              <w:t>1.0;</w:t>
            </w:r>
            <w:r>
              <w:rPr/>
              <w:t>2.0;</w:t>
            </w:r>
            <w:r>
              <w:rPr/>
              <w:t>）</w:t>
            </w:r>
          </w:p>
        </w:tc>
        <w:tc>
          <w:tcPr>
            <w:tcW w:type="dxa" w:w="5076"/>
          </w:tcPr>
          <w:p>
            <w:pPr>
              <w:jc w:val="left"/>
            </w:pPr>
            <w:r>
              <w:rPr/>
              <w:t>财务管理制度情况：  1.财务管理、财务审核、财务监督机制健全，有清晰的经费预算、费用报批、物资采购程序，财务记录详细，有效保障本项目实施，有利于实现服务效果，得2分；  2.财务管理、财务审核、财务监督制度基本健全，有经费预算、费用报批、物资采购程序，有财务记录，基本能保障本项目实施，基本满足服务效果，得1分；  3.财务管理、财务审核、财务监督制度不健全，无法保障本项目实施，无法达到服务效果，得0分。</w:t>
            </w:r>
          </w:p>
        </w:tc>
      </w:tr>
      <w:tr>
        <w:tc>
          <w:tcPr>
            <w:tcW w:type="dxa" w:w="922"/>
            <w:gridSpan w:val="2"/>
            <w:vMerge/>
          </w:tcPr>
          <w:p/>
        </w:tc>
        <w:tc>
          <w:tcPr>
            <w:tcW w:type="dxa" w:w="2307"/>
          </w:tcPr>
          <w:p>
            <w:pPr>
              <w:jc w:val="left"/>
            </w:pPr>
            <w:r>
              <w:rPr/>
              <w:t>响应供应商同类服务业绩 (4.0分)</w:t>
            </w:r>
          </w:p>
        </w:tc>
        <w:tc>
          <w:tcPr>
            <w:tcW w:type="dxa" w:w="5076"/>
          </w:tcPr>
          <w:p>
            <w:pPr>
              <w:jc w:val="left"/>
            </w:pPr>
            <w:r>
              <w:rPr/>
              <w:t>响应供应商自2020年1月1日（以合同签订时间为准）以来有承接同类服务项目的，每提供一项得2分，本项最高4分。  （注：提供相关证明材料，无提供不得分）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本项目价格分采用响应服务工时计算，满足采购文件要求且计划投入本项目的年度服务工时数最多的为评标基准工时，其价格分为满分。其他供应商的工时分统一按照下列公式计算:响应服务工时得分=(供应商计划投入本项目的年度服务总工时量/基准工时量)x价格权重。</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审结果按评审后总得分由高到低顺序排列。总得分相同的按响应供应商年度服务总工时由高到低顺序排列。得分且响应年度服务总工时相同的，由磋商小组采取随机抽取的方式确定。排名第一的响应供应商为第一成交候选供应商，排名第二的响应供应商为第二成交候选供应商，排名第三的响应供应商为第三成交候选供应商，评审后得分最高的响应供应商获得成交供应商推荐资格；评审得分相同的，由采购人或者采购人委托磋商小组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sz w:val="44"/>
        </w:rPr>
        <w:t>广州市居家社区养老服务供应商运营合同</w:t>
      </w:r>
    </w:p>
    <w:p>
      <w:pPr>
        <w:jc w:val="center"/>
      </w:pPr>
    </w:p>
    <w:p>
      <w:pPr>
        <w:jc w:val="center"/>
      </w:pPr>
      <w:r>
        <w:rPr>
          <w:sz w:val="32"/>
        </w:rPr>
        <w:t>（参考模板）</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both"/>
      </w:pPr>
    </w:p>
    <w:p>
      <w:pPr>
        <w:jc w:val="both"/>
      </w:pPr>
    </w:p>
    <w:p>
      <w:pPr>
        <w:jc w:val="both"/>
      </w:pPr>
    </w:p>
    <w:p>
      <w:pPr>
        <w:jc w:val="both"/>
      </w:pPr>
    </w:p>
    <w:p>
      <w:pPr>
        <w:jc w:val="both"/>
      </w:pPr>
    </w:p>
    <w:p>
      <w:pPr>
        <w:jc w:val="left"/>
      </w:pPr>
      <w:r>
        <w:rPr>
          <w:b/>
          <w:sz w:val="21"/>
        </w:rPr>
        <w:t>注：</w:t>
      </w:r>
      <w:r>
        <w:rPr>
          <w:b/>
          <w:sz w:val="21"/>
        </w:rPr>
        <w:t>合同具体事项须根据采购文件的约定及乙方响应文件的承诺执行。</w:t>
      </w:r>
    </w:p>
    <w:p>
      <w:pPr>
        <w:jc w:val="left"/>
      </w:pPr>
    </w:p>
    <w:p>
      <w:pPr>
        <w:ind w:firstLine="420"/>
        <w:jc w:val="both"/>
      </w:pPr>
    </w:p>
    <w:p>
      <w:pPr>
        <w:jc w:val="both"/>
      </w:pPr>
      <w:r>
        <w:rPr>
          <w:sz w:val="32"/>
        </w:rPr>
        <w:t>协议编号</w:t>
      </w:r>
      <w:r>
        <w:rPr>
          <w:sz w:val="32"/>
        </w:rPr>
        <w:t>：</w:t>
      </w:r>
    </w:p>
    <w:p>
      <w:pPr>
        <w:jc w:val="both"/>
      </w:pPr>
    </w:p>
    <w:p>
      <w:pPr>
        <w:jc w:val="center"/>
      </w:pPr>
      <w:r>
        <w:rPr>
          <w:sz w:val="44"/>
        </w:rPr>
        <w:t>广州市社区养老服务设施委托运营协议</w:t>
      </w:r>
    </w:p>
    <w:p>
      <w:pPr>
        <w:jc w:val="both"/>
      </w:pPr>
    </w:p>
    <w:p>
      <w:pPr>
        <w:jc w:val="both"/>
      </w:pPr>
    </w:p>
    <w:p>
      <w:pPr>
        <w:ind w:firstLine="640"/>
        <w:jc w:val="both"/>
      </w:pPr>
      <w:r>
        <w:rPr>
          <w:sz w:val="32"/>
        </w:rPr>
        <w:t>甲方</w:t>
      </w:r>
      <w:r>
        <w:rPr>
          <w:sz w:val="32"/>
        </w:rPr>
        <w:t>：</w:t>
      </w:r>
      <w:r>
        <w:rPr>
          <w:sz w:val="32"/>
        </w:rPr>
        <w:t>（服务委托方）</w:t>
      </w:r>
    </w:p>
    <w:p>
      <w:pPr>
        <w:ind w:firstLine="640"/>
        <w:jc w:val="both"/>
      </w:pPr>
      <w:r>
        <w:rPr>
          <w:sz w:val="32"/>
        </w:rPr>
        <w:t>单位名称</w:t>
      </w:r>
      <w:r>
        <w:rPr>
          <w:sz w:val="32"/>
        </w:rPr>
        <w:t>：广州市白云区太和镇人民政府</w:t>
      </w:r>
    </w:p>
    <w:p>
      <w:pPr>
        <w:ind w:firstLine="640"/>
        <w:jc w:val="both"/>
      </w:pPr>
      <w:r>
        <w:rPr>
          <w:sz w:val="32"/>
        </w:rPr>
        <w:t>单位地址</w:t>
      </w:r>
      <w:r>
        <w:rPr>
          <w:sz w:val="32"/>
        </w:rPr>
        <w:t>：广州市白云区太和镇朝亮南路</w:t>
      </w:r>
      <w:r>
        <w:rPr>
          <w:sz w:val="32"/>
        </w:rPr>
        <w:t>22</w:t>
      </w:r>
      <w:r>
        <w:rPr>
          <w:sz w:val="32"/>
        </w:rPr>
        <w:t>号</w:t>
      </w:r>
    </w:p>
    <w:p>
      <w:pPr>
        <w:ind w:firstLine="640"/>
        <w:jc w:val="both"/>
      </w:pPr>
      <w:r>
        <w:rPr>
          <w:sz w:val="32"/>
        </w:rPr>
        <w:t>法定代表人</w:t>
      </w:r>
      <w:r>
        <w:rPr>
          <w:sz w:val="32"/>
        </w:rPr>
        <w:t>：</w:t>
      </w:r>
      <w:r>
        <w:rPr>
          <w:sz w:val="32"/>
        </w:rPr>
        <w:t xml:space="preserve">                </w:t>
      </w:r>
      <w:r>
        <w:rPr>
          <w:sz w:val="32"/>
        </w:rPr>
        <w:t>联系电话</w:t>
      </w:r>
      <w:r>
        <w:rPr>
          <w:sz w:val="32"/>
        </w:rPr>
        <w:t>：</w:t>
      </w:r>
    </w:p>
    <w:p>
      <w:pPr>
        <w:ind w:firstLine="640"/>
        <w:jc w:val="both"/>
      </w:pPr>
      <w:r>
        <w:rPr>
          <w:sz w:val="32"/>
        </w:rPr>
        <w:t>联</w:t>
      </w:r>
      <w:r>
        <w:rPr>
          <w:sz w:val="32"/>
        </w:rPr>
        <w:t>系</w:t>
      </w:r>
      <w:r>
        <w:rPr>
          <w:sz w:val="32"/>
        </w:rPr>
        <w:t>人</w:t>
      </w:r>
      <w:r>
        <w:rPr>
          <w:sz w:val="32"/>
        </w:rPr>
        <w:t>：</w:t>
      </w:r>
      <w:r>
        <w:rPr>
          <w:sz w:val="32"/>
        </w:rPr>
        <w:t xml:space="preserve">                  </w:t>
      </w:r>
      <w:r>
        <w:rPr>
          <w:sz w:val="32"/>
        </w:rPr>
        <w:t>联系电话</w:t>
      </w:r>
      <w:r>
        <w:rPr>
          <w:sz w:val="32"/>
        </w:rPr>
        <w:t>：</w:t>
      </w:r>
    </w:p>
    <w:p>
      <w:pPr>
        <w:ind w:firstLine="640"/>
        <w:jc w:val="both"/>
      </w:pPr>
      <w:r>
        <w:rPr>
          <w:sz w:val="32"/>
        </w:rPr>
        <w:t>乙方</w:t>
      </w:r>
      <w:r>
        <w:rPr>
          <w:sz w:val="32"/>
        </w:rPr>
        <w:t>：</w:t>
      </w:r>
      <w:r>
        <w:rPr>
          <w:sz w:val="32"/>
        </w:rPr>
        <w:t>（养老服务组织）</w:t>
      </w:r>
    </w:p>
    <w:p>
      <w:pPr>
        <w:ind w:firstLine="640"/>
        <w:jc w:val="both"/>
      </w:pPr>
      <w:r>
        <w:rPr>
          <w:sz w:val="32"/>
        </w:rPr>
        <w:t>单位名称</w:t>
      </w:r>
      <w:r>
        <w:rPr>
          <w:sz w:val="32"/>
        </w:rPr>
        <w:t>：</w:t>
      </w:r>
    </w:p>
    <w:p>
      <w:pPr>
        <w:ind w:firstLine="640"/>
        <w:jc w:val="both"/>
      </w:pPr>
      <w:r>
        <w:rPr>
          <w:sz w:val="32"/>
        </w:rPr>
        <w:t>单位地址</w:t>
      </w:r>
      <w:r>
        <w:rPr>
          <w:sz w:val="32"/>
        </w:rPr>
        <w:t>：</w:t>
      </w:r>
    </w:p>
    <w:p>
      <w:pPr>
        <w:ind w:firstLine="640"/>
        <w:jc w:val="both"/>
      </w:pPr>
      <w:r>
        <w:rPr>
          <w:sz w:val="32"/>
        </w:rPr>
        <w:t>法定代表人</w:t>
      </w:r>
      <w:r>
        <w:rPr>
          <w:sz w:val="32"/>
        </w:rPr>
        <w:t>：</w:t>
      </w:r>
      <w:r>
        <w:rPr>
          <w:sz w:val="32"/>
        </w:rPr>
        <w:t xml:space="preserve">                </w:t>
      </w:r>
      <w:r>
        <w:rPr>
          <w:sz w:val="32"/>
        </w:rPr>
        <w:t>联系电话</w:t>
      </w:r>
      <w:r>
        <w:rPr>
          <w:sz w:val="32"/>
        </w:rPr>
        <w:t>：</w:t>
      </w:r>
    </w:p>
    <w:p>
      <w:pPr>
        <w:ind w:firstLine="640"/>
        <w:jc w:val="both"/>
      </w:pPr>
      <w:r>
        <w:rPr>
          <w:sz w:val="32"/>
        </w:rPr>
        <w:t>联</w:t>
      </w:r>
      <w:r>
        <w:rPr>
          <w:sz w:val="32"/>
        </w:rPr>
        <w:t>系</w:t>
      </w:r>
      <w:r>
        <w:rPr>
          <w:sz w:val="32"/>
        </w:rPr>
        <w:t>人</w:t>
      </w:r>
      <w:r>
        <w:rPr>
          <w:sz w:val="32"/>
        </w:rPr>
        <w:t>：</w:t>
      </w:r>
      <w:r>
        <w:rPr>
          <w:sz w:val="32"/>
        </w:rPr>
        <w:t xml:space="preserve">                  </w:t>
      </w:r>
      <w:r>
        <w:rPr>
          <w:sz w:val="32"/>
        </w:rPr>
        <w:t>联系电话</w:t>
      </w:r>
      <w:r>
        <w:rPr>
          <w:sz w:val="32"/>
        </w:rPr>
        <w:t>：</w:t>
      </w:r>
    </w:p>
    <w:p>
      <w:pPr>
        <w:jc w:val="both"/>
      </w:pPr>
    </w:p>
    <w:p>
      <w:pPr>
        <w:ind w:firstLine="640"/>
        <w:jc w:val="both"/>
      </w:pPr>
      <w:r>
        <w:rPr>
          <w:sz w:val="32"/>
        </w:rPr>
        <w:t>根据《中华人民共和国民法典》《中华人民共和国老年人权益保障法》《中华人民共和国政府采购法》《广东省养老服务条例》《广东省老年人权益保障条例》《广州市养老服务条例》《广州市居家社区养老服务管理办法》等相关法律法规及政策文件规定，甲乙双方在平等自愿、协商一致的基础上，就甲方委托乙方承接</w:t>
      </w:r>
      <w:r>
        <w:rPr>
          <w:sz w:val="32"/>
          <w:u w:val="single"/>
        </w:rPr>
        <w:t>太和</w:t>
      </w:r>
      <w:r>
        <w:rPr>
          <w:sz w:val="32"/>
          <w:u w:val="single"/>
        </w:rPr>
        <w:t>镇综合养老服务中心（颐康中心</w:t>
      </w:r>
      <w:r>
        <w:rPr>
          <w:sz w:val="32"/>
          <w:u w:val="single"/>
        </w:rPr>
        <w:t>）和</w:t>
      </w:r>
      <w:r>
        <w:rPr>
          <w:sz w:val="32"/>
          <w:u w:val="single"/>
        </w:rPr>
        <w:t>社区（</w:t>
      </w:r>
      <w:r>
        <w:rPr>
          <w:sz w:val="32"/>
          <w:u w:val="single"/>
        </w:rPr>
        <w:t>村</w:t>
      </w:r>
      <w:r>
        <w:rPr>
          <w:sz w:val="32"/>
          <w:u w:val="single"/>
        </w:rPr>
        <w:t>）颐康服务站项目</w:t>
      </w:r>
      <w:r>
        <w:rPr>
          <w:sz w:val="32"/>
        </w:rPr>
        <w:t>事宜签订协议如下</w:t>
      </w:r>
      <w:r>
        <w:rPr>
          <w:sz w:val="32"/>
        </w:rPr>
        <w:t>：</w:t>
      </w:r>
    </w:p>
    <w:p>
      <w:pPr>
        <w:ind w:firstLine="640"/>
        <w:jc w:val="both"/>
      </w:pPr>
      <w:r>
        <w:rPr>
          <w:sz w:val="32"/>
        </w:rPr>
        <w:t>一、项目期限</w:t>
      </w:r>
    </w:p>
    <w:p>
      <w:pPr>
        <w:ind w:firstLine="640"/>
        <w:jc w:val="both"/>
      </w:pPr>
      <w:r>
        <w:rPr>
          <w:sz w:val="32"/>
        </w:rPr>
        <w:t>本项目周期为</w:t>
      </w:r>
      <w:r>
        <w:rPr>
          <w:sz w:val="32"/>
          <w:u w:val="single"/>
        </w:rPr>
        <w:t>2</w:t>
      </w:r>
      <w:r>
        <w:rPr>
          <w:sz w:val="32"/>
          <w:u w:val="single"/>
        </w:rPr>
        <w:t>年</w:t>
      </w:r>
      <w:r>
        <w:rPr>
          <w:sz w:val="32"/>
          <w:u w:val="single"/>
        </w:rPr>
        <w:t>11</w:t>
      </w:r>
      <w:r>
        <w:rPr>
          <w:sz w:val="32"/>
          <w:u w:val="single"/>
        </w:rPr>
        <w:t>个月</w:t>
      </w:r>
      <w:r>
        <w:rPr>
          <w:sz w:val="32"/>
        </w:rPr>
        <w:t>（</w:t>
      </w:r>
      <w:r>
        <w:rPr>
          <w:sz w:val="32"/>
          <w:u w:val="single"/>
        </w:rPr>
        <w:t>2024</w:t>
      </w:r>
      <w:r>
        <w:rPr>
          <w:sz w:val="32"/>
          <w:u w:val="single"/>
        </w:rPr>
        <w:t>年</w:t>
      </w:r>
      <w:r>
        <w:rPr>
          <w:sz w:val="32"/>
          <w:u w:val="single"/>
        </w:rPr>
        <w:t>2</w:t>
      </w:r>
      <w:r>
        <w:rPr>
          <w:sz w:val="32"/>
          <w:u w:val="single"/>
        </w:rPr>
        <w:t>月</w:t>
      </w:r>
      <w:r>
        <w:rPr>
          <w:sz w:val="32"/>
          <w:u w:val="single"/>
        </w:rPr>
        <w:t>1</w:t>
      </w:r>
      <w:r>
        <w:rPr>
          <w:sz w:val="32"/>
          <w:u w:val="single"/>
        </w:rPr>
        <w:t>日至</w:t>
      </w:r>
      <w:r>
        <w:rPr>
          <w:sz w:val="32"/>
          <w:u w:val="single"/>
        </w:rPr>
        <w:t>2026</w:t>
      </w:r>
      <w:r>
        <w:rPr>
          <w:sz w:val="32"/>
          <w:u w:val="single"/>
        </w:rPr>
        <w:t>年</w:t>
      </w:r>
      <w:r>
        <w:rPr>
          <w:sz w:val="32"/>
          <w:u w:val="single"/>
        </w:rPr>
        <w:t>12</w:t>
      </w:r>
      <w:r>
        <w:rPr>
          <w:sz w:val="32"/>
          <w:u w:val="single"/>
        </w:rPr>
        <w:t>月</w:t>
      </w:r>
      <w:r>
        <w:rPr>
          <w:sz w:val="32"/>
          <w:u w:val="single"/>
        </w:rPr>
        <w:t>31</w:t>
      </w:r>
      <w:r>
        <w:rPr>
          <w:sz w:val="32"/>
          <w:u w:val="single"/>
        </w:rPr>
        <w:t>日</w:t>
      </w:r>
      <w:r>
        <w:rPr>
          <w:sz w:val="32"/>
          <w:u w:val="single"/>
        </w:rPr>
        <w:t>）</w:t>
      </w:r>
      <w:r>
        <w:rPr>
          <w:sz w:val="32"/>
        </w:rPr>
        <w:t>，</w:t>
      </w:r>
      <w:r>
        <w:rPr>
          <w:sz w:val="32"/>
        </w:rPr>
        <w:t>项目协议一年一签。本协议服务期限为</w:t>
      </w:r>
      <w:r>
        <w:rPr>
          <w:sz w:val="32"/>
          <w:u w:val="single"/>
        </w:rPr>
        <w:t>1</w:t>
      </w:r>
      <w:r>
        <w:rPr>
          <w:sz w:val="32"/>
        </w:rPr>
        <w:t>年</w:t>
      </w:r>
      <w:r>
        <w:rPr>
          <w:sz w:val="32"/>
        </w:rPr>
        <w:t>，</w:t>
      </w:r>
      <w:r>
        <w:rPr>
          <w:sz w:val="32"/>
        </w:rPr>
        <w:t>自</w:t>
      </w:r>
      <w:r>
        <w:rPr>
          <w:sz w:val="32"/>
          <w:u w:val="single"/>
        </w:rPr>
        <w:t>2024</w:t>
      </w:r>
      <w:r>
        <w:rPr>
          <w:sz w:val="32"/>
          <w:u w:val="single"/>
        </w:rPr>
        <w:t>年</w:t>
      </w:r>
      <w:r>
        <w:rPr>
          <w:sz w:val="32"/>
          <w:u w:val="single"/>
        </w:rPr>
        <w:t>2</w:t>
      </w:r>
      <w:r>
        <w:rPr>
          <w:sz w:val="32"/>
          <w:u w:val="single"/>
        </w:rPr>
        <w:t>月</w:t>
      </w:r>
      <w:r>
        <w:rPr>
          <w:sz w:val="32"/>
          <w:u w:val="single"/>
        </w:rPr>
        <w:t>1</w:t>
      </w:r>
      <w:r>
        <w:rPr>
          <w:sz w:val="32"/>
          <w:u w:val="single"/>
        </w:rPr>
        <w:t>日至</w:t>
      </w:r>
      <w:r>
        <w:rPr>
          <w:sz w:val="32"/>
          <w:u w:val="single"/>
        </w:rPr>
        <w:t>2024</w:t>
      </w:r>
      <w:r>
        <w:rPr>
          <w:sz w:val="32"/>
          <w:u w:val="single"/>
        </w:rPr>
        <w:t>年</w:t>
      </w:r>
      <w:r>
        <w:rPr>
          <w:sz w:val="32"/>
          <w:u w:val="single"/>
        </w:rPr>
        <w:t>12</w:t>
      </w:r>
      <w:r>
        <w:rPr>
          <w:sz w:val="32"/>
          <w:u w:val="single"/>
        </w:rPr>
        <w:t>月</w:t>
      </w:r>
      <w:r>
        <w:rPr>
          <w:sz w:val="32"/>
          <w:u w:val="single"/>
        </w:rPr>
        <w:t>31</w:t>
      </w:r>
      <w:r>
        <w:rPr>
          <w:sz w:val="32"/>
          <w:u w:val="single"/>
        </w:rPr>
        <w:t>日</w:t>
      </w:r>
      <w:r>
        <w:rPr>
          <w:sz w:val="32"/>
        </w:rPr>
        <w:t>。</w:t>
      </w:r>
    </w:p>
    <w:p>
      <w:pPr>
        <w:ind w:firstLine="640"/>
        <w:jc w:val="both"/>
      </w:pPr>
      <w:r>
        <w:rPr>
          <w:sz w:val="32"/>
        </w:rPr>
        <w:t>二、项目内容</w:t>
      </w:r>
    </w:p>
    <w:p>
      <w:pPr>
        <w:ind w:firstLine="643"/>
        <w:jc w:val="both"/>
      </w:pPr>
      <w:r>
        <w:rPr>
          <w:b/>
          <w:sz w:val="32"/>
        </w:rPr>
        <w:t>（一）运营设施。</w:t>
      </w:r>
    </w:p>
    <w:p>
      <w:pPr>
        <w:ind w:firstLine="640"/>
        <w:jc w:val="both"/>
      </w:pPr>
      <w:r>
        <w:rPr>
          <w:sz w:val="32"/>
        </w:rPr>
        <w:t>甲方委托乙方承办以下社区养老服务设施</w:t>
      </w:r>
      <w:r>
        <w:rPr>
          <w:sz w:val="32"/>
        </w:rPr>
        <w:t>：</w:t>
      </w:r>
    </w:p>
    <w:p>
      <w:pPr>
        <w:ind w:firstLine="640"/>
        <w:jc w:val="both"/>
      </w:pPr>
      <w:r>
        <w:rPr>
          <w:sz w:val="32"/>
        </w:rPr>
        <w:t>太和</w:t>
      </w:r>
      <w:r>
        <w:rPr>
          <w:sz w:val="32"/>
        </w:rPr>
        <w:t>镇综合养老服务中心（颐康中心</w:t>
      </w:r>
      <w:r>
        <w:rPr>
          <w:sz w:val="32"/>
        </w:rPr>
        <w:t>）、</w:t>
      </w:r>
      <w:r>
        <w:rPr>
          <w:sz w:val="32"/>
        </w:rPr>
        <w:t>14</w:t>
      </w:r>
      <w:r>
        <w:rPr>
          <w:sz w:val="32"/>
        </w:rPr>
        <w:t>个</w:t>
      </w:r>
      <w:r>
        <w:rPr>
          <w:sz w:val="32"/>
        </w:rPr>
        <w:t>社区（村）颐康服务站的</w:t>
      </w:r>
      <w:r>
        <w:rPr>
          <w:sz w:val="32"/>
        </w:rPr>
        <w:t>□</w:t>
      </w:r>
      <w:r>
        <w:rPr>
          <w:sz w:val="32"/>
        </w:rPr>
        <w:t>建设、</w:t>
      </w:r>
      <w:r>
        <w:rPr>
          <w:sz w:val="32"/>
        </w:rPr>
        <w:t>☑</w:t>
      </w:r>
      <w:r>
        <w:rPr>
          <w:sz w:val="32"/>
        </w:rPr>
        <w:t>改造、</w:t>
      </w:r>
      <w:r>
        <w:rPr>
          <w:sz w:val="32"/>
        </w:rPr>
        <w:t>☑</w:t>
      </w:r>
      <w:r>
        <w:rPr>
          <w:sz w:val="32"/>
        </w:rPr>
        <w:t>运营、</w:t>
      </w:r>
      <w:r>
        <w:rPr>
          <w:sz w:val="32"/>
        </w:rPr>
        <w:t>□</w:t>
      </w:r>
      <w:r>
        <w:rPr>
          <w:sz w:val="32"/>
        </w:rPr>
        <w:t>其他</w:t>
      </w:r>
      <w:r>
        <w:rPr>
          <w:sz w:val="32"/>
        </w:rPr>
        <w:t>：</w:t>
      </w:r>
      <w:r>
        <w:rPr>
          <w:sz w:val="32"/>
        </w:rPr>
        <w:t>__________</w:t>
      </w:r>
    </w:p>
    <w:tbl>
      <w:tblPr>
        <w:tblW w:w="0" w:type="auto"/>
        <w:tblBorders>
          <w:top w:val="none" w:color="000000" w:sz="4"/>
          <w:left w:val="none" w:color="000000" w:sz="4"/>
          <w:bottom w:val="none" w:color="000000" w:sz="4"/>
          <w:right w:val="none" w:color="000000" w:sz="4"/>
          <w:insideH w:val="none"/>
          <w:insideV w:val="none"/>
        </w:tblBorders>
      </w:tblPr>
      <w:tblGrid>
        <w:gridCol w:w="689"/>
        <w:gridCol w:w="2542"/>
        <w:gridCol w:w="3867"/>
        <w:gridCol w:w="1208"/>
      </w:tblGrid>
      <w:tr>
        <w:tc>
          <w:tcPr>
            <w:tcW w:type="dxa" w:w="68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42"/>
            <w:tcBorders>
              <w:top w:val="single" w:color="000000" w:sz="4"/>
              <w:left w:val="single" w:color="000000" w:sz="4"/>
              <w:bottom w:val="single" w:color="000000" w:sz="4"/>
              <w:right w:val="single" w:color="000000" w:sz="4"/>
            </w:tcBorders>
            <w:vAlign w:val="top"/>
          </w:tcPr>
          <w:p>
            <w:pPr>
              <w:jc w:val="center"/>
            </w:pPr>
            <w:r>
              <w:rPr>
                <w:b/>
                <w:sz w:val="21"/>
              </w:rPr>
              <w:t>设施名称</w:t>
            </w:r>
          </w:p>
        </w:tc>
        <w:tc>
          <w:tcPr>
            <w:tcW w:type="dxa" w:w="3867"/>
            <w:tcBorders>
              <w:top w:val="single" w:color="000000" w:sz="4"/>
              <w:left w:val="single" w:color="000000" w:sz="4"/>
              <w:bottom w:val="single" w:color="000000" w:sz="4"/>
              <w:right w:val="single" w:color="000000" w:sz="4"/>
            </w:tcBorders>
            <w:vAlign w:val="top"/>
          </w:tcPr>
          <w:p>
            <w:pPr>
              <w:jc w:val="center"/>
            </w:pPr>
            <w:r>
              <w:rPr>
                <w:b/>
                <w:sz w:val="21"/>
              </w:rPr>
              <w:t>设施地址</w:t>
            </w:r>
          </w:p>
        </w:tc>
        <w:tc>
          <w:tcPr>
            <w:tcW w:type="dxa" w:w="1208"/>
            <w:tcBorders>
              <w:top w:val="single" w:color="000000" w:sz="4"/>
              <w:left w:val="single" w:color="000000" w:sz="4"/>
              <w:bottom w:val="single" w:color="000000" w:sz="4"/>
              <w:right w:val="single" w:color="000000" w:sz="4"/>
            </w:tcBorders>
            <w:vAlign w:val="top"/>
          </w:tcPr>
          <w:p>
            <w:pPr>
              <w:jc w:val="center"/>
            </w:pPr>
            <w:r>
              <w:rPr>
                <w:b/>
                <w:sz w:val="21"/>
              </w:rPr>
              <w:t>可使用面积（㎡）</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太和镇综合养老服务中心（颐康中心）</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太和镇太和北路</w:t>
            </w:r>
            <w:r>
              <w:rPr>
                <w:sz w:val="21"/>
              </w:rPr>
              <w:t>201号101室、601室</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2244</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太和镇兴丰村颐康服务站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太和镇兴丰秧地乪路</w:t>
            </w:r>
            <w:r>
              <w:rPr>
                <w:sz w:val="21"/>
              </w:rPr>
              <w:t>27号1楼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430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太和镇穗丰村颐康服务站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太和镇穗丰村罗布洞</w:t>
            </w:r>
            <w:r>
              <w:rPr>
                <w:sz w:val="21"/>
              </w:rPr>
              <w:t>69号1楼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太和镇白山村颐康服务站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太和镇白山村兴太</w:t>
            </w:r>
            <w:r>
              <w:rPr>
                <w:sz w:val="21"/>
              </w:rPr>
              <w:t>二</w:t>
            </w:r>
            <w:r>
              <w:rPr>
                <w:sz w:val="21"/>
              </w:rPr>
              <w:t>路</w:t>
            </w:r>
            <w:r>
              <w:rPr>
                <w:sz w:val="21"/>
              </w:rPr>
              <w:t>139</w:t>
            </w:r>
            <w:r>
              <w:rPr>
                <w:sz w:val="21"/>
              </w:rPr>
              <w:t>号</w:t>
            </w:r>
            <w:r>
              <w:rPr>
                <w:sz w:val="21"/>
              </w:rPr>
              <w:t>2楼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太和镇头陂村颐康服务站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太和镇头陂村龙迳南街</w:t>
            </w:r>
            <w:r>
              <w:rPr>
                <w:sz w:val="21"/>
              </w:rPr>
              <w:t>1号</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太和镇沙亭村颐康服务站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太和镇沙亭村沙亭南路</w:t>
            </w:r>
            <w:r>
              <w:rPr>
                <w:sz w:val="21"/>
              </w:rPr>
              <w:t>28－4号1楼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太和镇田心村颐康服务站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太和镇田心村江街</w:t>
            </w:r>
            <w:r>
              <w:rPr>
                <w:sz w:val="21"/>
              </w:rPr>
              <w:t>15号1楼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太和镇草庄村颐康服务站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太和镇草庄村中街</w:t>
            </w:r>
            <w:r>
              <w:rPr>
                <w:sz w:val="21"/>
              </w:rPr>
              <w:t>1号1楼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太和镇和龙村颐康服务站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太和镇和龙四社罗洞二街</w:t>
            </w:r>
            <w:r>
              <w:rPr>
                <w:sz w:val="21"/>
              </w:rPr>
              <w:t>2号1楼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太和镇大沥村颐康服务站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太和镇大沥村西约</w:t>
            </w:r>
            <w:r>
              <w:rPr>
                <w:sz w:val="21"/>
              </w:rPr>
              <w:t>1巷1号1楼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太和镇谢家庄村颐康服务站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太和镇谢家庄村谢家庄东兴西路</w:t>
            </w:r>
            <w:r>
              <w:rPr>
                <w:sz w:val="21"/>
              </w:rPr>
              <w:t>1号1.2楼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太和镇营溪村颐康服务站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太和镇营溪村营西街</w:t>
            </w:r>
            <w:r>
              <w:rPr>
                <w:sz w:val="21"/>
              </w:rPr>
              <w:t>30号</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250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太和镇和珊社区颐康服务站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太和镇珊景</w:t>
            </w:r>
            <w:r>
              <w:rPr>
                <w:sz w:val="21"/>
              </w:rPr>
              <w:t>路</w:t>
            </w:r>
            <w:r>
              <w:rPr>
                <w:sz w:val="21"/>
              </w:rPr>
              <w:t>1号</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太和镇联升社区颐康服务站</w:t>
            </w:r>
            <w:r>
              <w:rPr>
                <w:sz w:val="21"/>
              </w:rPr>
              <w:t>（未运营）</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太和镇和意二街</w:t>
            </w:r>
            <w:r>
              <w:rPr>
                <w:sz w:val="21"/>
              </w:rPr>
              <w:t>24号</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8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542"/>
            <w:tcBorders>
              <w:top w:val="none" w:color="000000" w:sz="4"/>
              <w:left w:val="single" w:color="000000" w:sz="4"/>
              <w:bottom w:val="single" w:color="000000" w:sz="4"/>
              <w:right w:val="single" w:color="000000" w:sz="4"/>
            </w:tcBorders>
            <w:vAlign w:val="top"/>
          </w:tcPr>
          <w:p>
            <w:pPr>
              <w:jc w:val="center"/>
            </w:pPr>
            <w:r>
              <w:rPr>
                <w:sz w:val="21"/>
              </w:rPr>
              <w:t>太和镇丰泰社区颐康服务站</w:t>
            </w:r>
          </w:p>
        </w:tc>
        <w:tc>
          <w:tcPr>
            <w:tcW w:type="dxa" w:w="3867"/>
            <w:tcBorders>
              <w:top w:val="none" w:color="000000" w:sz="4"/>
              <w:left w:val="single" w:color="000000" w:sz="4"/>
              <w:bottom w:val="single" w:color="000000" w:sz="4"/>
              <w:right w:val="single" w:color="000000" w:sz="4"/>
            </w:tcBorders>
            <w:vAlign w:val="top"/>
          </w:tcPr>
          <w:p>
            <w:pPr>
              <w:jc w:val="center"/>
            </w:pPr>
            <w:r>
              <w:rPr>
                <w:sz w:val="21"/>
              </w:rPr>
              <w:t>太和镇广从三路</w:t>
            </w:r>
            <w:r>
              <w:rPr>
                <w:sz w:val="21"/>
              </w:rPr>
              <w:t>92号一楼</w:t>
            </w:r>
          </w:p>
        </w:tc>
        <w:tc>
          <w:tcPr>
            <w:tcW w:type="dxa" w:w="1208"/>
            <w:tcBorders>
              <w:top w:val="none" w:color="000000" w:sz="4"/>
              <w:left w:val="single" w:color="000000" w:sz="4"/>
              <w:bottom w:val="single" w:color="000000" w:sz="4"/>
              <w:right w:val="single" w:color="000000" w:sz="4"/>
            </w:tcBorders>
            <w:vAlign w:val="top"/>
          </w:tcPr>
          <w:p>
            <w:pPr>
              <w:jc w:val="center"/>
            </w:pPr>
            <w:r>
              <w:rPr>
                <w:sz w:val="21"/>
              </w:rPr>
              <w:t>200</w:t>
            </w:r>
          </w:p>
        </w:tc>
      </w:tr>
    </w:tbl>
    <w:p>
      <w:pPr>
        <w:jc w:val="both"/>
      </w:pPr>
      <w:r>
        <w:rPr>
          <w:sz w:val="21"/>
        </w:rPr>
        <w:t>（注：乙方根据社区养老服务设施实际情况开展运营，如地址变更，以实际情况为准。）</w:t>
      </w:r>
    </w:p>
    <w:p>
      <w:pPr>
        <w:ind w:firstLine="640"/>
        <w:jc w:val="both"/>
      </w:pPr>
      <w:r>
        <w:rPr>
          <w:sz w:val="32"/>
        </w:rPr>
        <w:t>设施开放时间为上午</w:t>
      </w:r>
      <w:r>
        <w:rPr>
          <w:sz w:val="32"/>
          <w:u w:val="single"/>
        </w:rPr>
        <w:t>9:00-12:00</w:t>
      </w:r>
      <w:r>
        <w:rPr>
          <w:sz w:val="32"/>
        </w:rPr>
        <w:t>、下午</w:t>
      </w:r>
      <w:r>
        <w:rPr>
          <w:sz w:val="32"/>
          <w:u w:val="single"/>
        </w:rPr>
        <w:t>14:00-18:00</w:t>
      </w:r>
      <w:r>
        <w:rPr>
          <w:sz w:val="32"/>
        </w:rPr>
        <w:t>。其</w:t>
      </w:r>
      <w:r>
        <w:rPr>
          <w:sz w:val="32"/>
        </w:rPr>
        <w:t>中，工作</w:t>
      </w:r>
      <w:r>
        <w:rPr>
          <w:sz w:val="32"/>
        </w:rPr>
        <w:t>日面向老年人开放时间不少于</w:t>
      </w:r>
      <w:r>
        <w:rPr>
          <w:sz w:val="32"/>
          <w:u w:val="single"/>
        </w:rPr>
        <w:t>6</w:t>
      </w:r>
      <w:r>
        <w:rPr>
          <w:sz w:val="32"/>
        </w:rPr>
        <w:t>小时。</w:t>
      </w:r>
    </w:p>
    <w:p>
      <w:pPr>
        <w:ind w:firstLine="643"/>
        <w:jc w:val="both"/>
      </w:pPr>
      <w:r>
        <w:rPr>
          <w:b/>
          <w:sz w:val="32"/>
        </w:rPr>
        <w:t>（二）服务对象。</w:t>
      </w:r>
    </w:p>
    <w:p>
      <w:pPr>
        <w:ind w:firstLine="640"/>
        <w:jc w:val="both"/>
      </w:pPr>
      <w:r>
        <w:rPr>
          <w:sz w:val="32"/>
        </w:rPr>
        <w:t>乙方运营的</w:t>
      </w:r>
      <w:r>
        <w:rPr>
          <w:sz w:val="32"/>
          <w:u w:val="single"/>
        </w:rPr>
        <w:t>太和</w:t>
      </w:r>
      <w:r>
        <w:rPr>
          <w:sz w:val="32"/>
          <w:u w:val="single"/>
        </w:rPr>
        <w:t>镇综合养老服务中心（颐康中心</w:t>
      </w:r>
      <w:r>
        <w:rPr>
          <w:sz w:val="32"/>
          <w:u w:val="single"/>
        </w:rPr>
        <w:t>）、</w:t>
      </w:r>
      <w:r>
        <w:rPr>
          <w:sz w:val="32"/>
          <w:u w:val="single"/>
        </w:rPr>
        <w:t>社区（村）颐康服务站</w:t>
      </w:r>
      <w:r>
        <w:rPr>
          <w:sz w:val="32"/>
        </w:rPr>
        <w:t>应当按规定面向本市常住老年人提供居家社区养老服务，重点为有需求的失能、失智老年人提供服务，优先保障特殊困难老年人群服务需求。其中，符合《广州市居家社区养老服务管理办法》规定的资助对象的服务率须达到</w:t>
      </w:r>
      <w:r>
        <w:rPr>
          <w:sz w:val="32"/>
        </w:rPr>
        <w:t>100%</w:t>
      </w:r>
      <w:r>
        <w:rPr>
          <w:sz w:val="32"/>
        </w:rPr>
        <w:t>。</w:t>
      </w:r>
    </w:p>
    <w:p>
      <w:pPr>
        <w:ind w:firstLine="643"/>
        <w:jc w:val="both"/>
      </w:pPr>
      <w:r>
        <w:rPr>
          <w:b/>
          <w:sz w:val="32"/>
        </w:rPr>
        <w:t>（三）服务内容。</w:t>
      </w:r>
    </w:p>
    <w:p>
      <w:pPr>
        <w:ind w:firstLine="640"/>
        <w:jc w:val="both"/>
      </w:pPr>
      <w:r>
        <w:rPr>
          <w:sz w:val="32"/>
        </w:rPr>
        <w:t>1</w:t>
      </w:r>
      <w:r>
        <w:rPr>
          <w:sz w:val="32"/>
        </w:rPr>
        <w:t>.</w:t>
      </w:r>
      <w:r>
        <w:rPr>
          <w:sz w:val="32"/>
        </w:rPr>
        <w:t>乙方运营的</w:t>
      </w:r>
      <w:r>
        <w:rPr>
          <w:sz w:val="32"/>
          <w:u w:val="single"/>
        </w:rPr>
        <w:t>太和</w:t>
      </w:r>
      <w:r>
        <w:rPr>
          <w:sz w:val="32"/>
          <w:u w:val="single"/>
        </w:rPr>
        <w:t>镇综合养老服务中心（颐康中心）</w:t>
      </w:r>
      <w:r>
        <w:rPr>
          <w:sz w:val="32"/>
        </w:rPr>
        <w:t>应当具备全托、日托、上门服务、对下指导、统筹调配资源等功能，并提供</w:t>
      </w:r>
      <w:r>
        <w:rPr>
          <w:sz w:val="32"/>
          <w:u w:val="single"/>
        </w:rPr>
        <w:t>养老</w:t>
      </w:r>
      <w:r>
        <w:rPr>
          <w:sz w:val="32"/>
          <w:u w:val="single"/>
        </w:rPr>
        <w:t>向导</w:t>
      </w:r>
      <w:r>
        <w:rPr>
          <w:sz w:val="32"/>
          <w:u w:val="single"/>
        </w:rPr>
        <w:t>服务、助餐配餐、生</w:t>
      </w:r>
      <w:r>
        <w:rPr>
          <w:sz w:val="32"/>
          <w:u w:val="single"/>
        </w:rPr>
        <w:t>活</w:t>
      </w:r>
      <w:r>
        <w:rPr>
          <w:sz w:val="32"/>
          <w:u w:val="single"/>
        </w:rPr>
        <w:t>照料、定期巡</w:t>
      </w:r>
      <w:r>
        <w:rPr>
          <w:sz w:val="32"/>
          <w:u w:val="single"/>
        </w:rPr>
        <w:t>访</w:t>
      </w:r>
      <w:r>
        <w:rPr>
          <w:sz w:val="32"/>
          <w:u w:val="single"/>
        </w:rPr>
        <w:t>、辅具租赁、家庭照护培</w:t>
      </w:r>
      <w:r>
        <w:rPr>
          <w:sz w:val="32"/>
          <w:u w:val="single"/>
        </w:rPr>
        <w:t>训</w:t>
      </w:r>
      <w:r>
        <w:rPr>
          <w:sz w:val="32"/>
          <w:u w:val="single"/>
        </w:rPr>
        <w:t>、文体教育、居家适老化改造、家庭养老床位、</w:t>
      </w:r>
      <w:r>
        <w:rPr>
          <w:sz w:val="32"/>
          <w:u w:val="single"/>
        </w:rPr>
        <w:t>日</w:t>
      </w:r>
      <w:r>
        <w:rPr>
          <w:sz w:val="32"/>
          <w:u w:val="single"/>
        </w:rPr>
        <w:t>间托管、临时托养</w:t>
      </w:r>
      <w:r>
        <w:rPr>
          <w:sz w:val="32"/>
          <w:u w:val="single"/>
        </w:rPr>
        <w:t>/</w:t>
      </w:r>
      <w:r>
        <w:rPr>
          <w:sz w:val="32"/>
          <w:u w:val="single"/>
        </w:rPr>
        <w:t>全托服务</w:t>
      </w:r>
      <w:r>
        <w:rPr>
          <w:sz w:val="32"/>
          <w:u w:val="single"/>
        </w:rPr>
        <w:t>、医养康养</w:t>
      </w:r>
      <w:r>
        <w:rPr>
          <w:sz w:val="32"/>
          <w:u w:val="single"/>
        </w:rPr>
        <w:t>、</w:t>
      </w:r>
      <w:r>
        <w:rPr>
          <w:sz w:val="32"/>
          <w:u w:val="single"/>
        </w:rPr>
        <w:t>康复护理</w:t>
      </w:r>
      <w:r>
        <w:rPr>
          <w:sz w:val="32"/>
          <w:u w:val="single"/>
        </w:rPr>
        <w:t>、服务转介</w:t>
      </w:r>
      <w:r>
        <w:rPr>
          <w:sz w:val="32"/>
        </w:rPr>
        <w:t>等服务项目。</w:t>
      </w:r>
    </w:p>
    <w:p>
      <w:pPr>
        <w:ind w:firstLine="640"/>
        <w:jc w:val="both"/>
      </w:pPr>
      <w:r>
        <w:rPr>
          <w:sz w:val="32"/>
        </w:rPr>
        <w:t>2</w:t>
      </w:r>
      <w:r>
        <w:rPr>
          <w:sz w:val="32"/>
        </w:rPr>
        <w:t>.</w:t>
      </w:r>
      <w:r>
        <w:rPr>
          <w:sz w:val="32"/>
        </w:rPr>
        <w:t>乙方运营的社区（村）级颐康服务站应当具备日间照料、上门服务、助餐配餐、文体康乐等功能，并提供</w:t>
      </w:r>
      <w:r>
        <w:rPr>
          <w:sz w:val="32"/>
          <w:u w:val="single"/>
        </w:rPr>
        <w:t>养老服务向导、助餐配餐</w:t>
      </w:r>
      <w:r>
        <w:rPr>
          <w:sz w:val="32"/>
          <w:u w:val="single"/>
        </w:rPr>
        <w:t>、生活照料、文体教育、日间托管</w:t>
      </w:r>
      <w:r>
        <w:rPr>
          <w:sz w:val="32"/>
        </w:rPr>
        <w:t>等服务项目。</w:t>
      </w:r>
    </w:p>
    <w:p>
      <w:pPr>
        <w:ind w:firstLine="640"/>
        <w:jc w:val="both"/>
      </w:pPr>
      <w:r>
        <w:rPr>
          <w:sz w:val="32"/>
        </w:rPr>
        <w:t>3</w:t>
      </w:r>
      <w:r>
        <w:rPr>
          <w:sz w:val="32"/>
        </w:rPr>
        <w:t>.</w:t>
      </w:r>
      <w:r>
        <w:rPr>
          <w:sz w:val="32"/>
        </w:rPr>
        <w:t>乙方在甲方支持和协助下，统筹管理辖内所有社区养老服务设施和长者饭堂，形成</w:t>
      </w:r>
      <w:r>
        <w:rPr>
          <w:sz w:val="32"/>
        </w:rPr>
        <w:t>“1+N”</w:t>
      </w:r>
      <w:r>
        <w:rPr>
          <w:sz w:val="32"/>
        </w:rPr>
        <w:t>服务网络，增加嵌入式、综合性、多功能、普惠性养老服务供给，为有需要的老年人提供一站式和到户式综合养老服务。乙方应统筹整合为老资源，对上述服务设施提供业务指导、资源协调、人员培训等服务。</w:t>
      </w:r>
    </w:p>
    <w:p>
      <w:pPr>
        <w:ind w:firstLine="640"/>
        <w:jc w:val="both"/>
      </w:pPr>
      <w:r>
        <w:rPr>
          <w:sz w:val="32"/>
        </w:rPr>
        <w:t>4</w:t>
      </w:r>
      <w:r>
        <w:rPr>
          <w:sz w:val="32"/>
        </w:rPr>
        <w:t>.</w:t>
      </w:r>
      <w:r>
        <w:rPr>
          <w:sz w:val="32"/>
        </w:rPr>
        <w:t>乙方运营的所有服务设施设置养老服务向导点，提供养老政策咨询、服务查询、办事指引、服务转介等服务。应与</w:t>
      </w:r>
      <w:r>
        <w:rPr>
          <w:sz w:val="32"/>
        </w:rPr>
        <w:t>“</w:t>
      </w:r>
      <w:r>
        <w:rPr>
          <w:sz w:val="32"/>
        </w:rPr>
        <w:t>平安通</w:t>
      </w:r>
      <w:r>
        <w:rPr>
          <w:sz w:val="32"/>
        </w:rPr>
        <w:t>”</w:t>
      </w:r>
      <w:r>
        <w:rPr>
          <w:sz w:val="32"/>
        </w:rPr>
        <w:t>运营机构建立服务转介机制。</w:t>
      </w:r>
    </w:p>
    <w:p>
      <w:pPr>
        <w:ind w:firstLine="640"/>
        <w:jc w:val="both"/>
      </w:pPr>
      <w:r>
        <w:rPr>
          <w:sz w:val="32"/>
        </w:rPr>
        <w:t>5</w:t>
      </w:r>
      <w:r>
        <w:rPr>
          <w:sz w:val="32"/>
        </w:rPr>
        <w:t>.</w:t>
      </w:r>
      <w:r>
        <w:rPr>
          <w:sz w:val="32"/>
        </w:rPr>
        <w:t>乙方提供的服务项目根据</w:t>
      </w:r>
      <w:r>
        <w:rPr>
          <w:sz w:val="32"/>
        </w:rPr>
        <w:t>广州</w:t>
      </w:r>
      <w:r>
        <w:rPr>
          <w:sz w:val="32"/>
        </w:rPr>
        <w:t>市基本养老服务清单和政策法规要求进行动态调整。</w:t>
      </w:r>
    </w:p>
    <w:p>
      <w:pPr>
        <w:ind w:firstLine="643"/>
        <w:jc w:val="both"/>
      </w:pPr>
      <w:r>
        <w:rPr>
          <w:b/>
          <w:sz w:val="32"/>
        </w:rPr>
        <w:t>（四）服务指标。</w:t>
      </w:r>
    </w:p>
    <w:p>
      <w:pPr>
        <w:ind w:firstLine="640"/>
        <w:jc w:val="both"/>
      </w:pPr>
      <w:r>
        <w:rPr>
          <w:sz w:val="32"/>
        </w:rPr>
        <w:t>1.</w:t>
      </w:r>
      <w:r>
        <w:rPr>
          <w:sz w:val="32"/>
        </w:rPr>
        <w:t>乙方以服务设施为单位，</w:t>
      </w:r>
      <w:r>
        <w:rPr>
          <w:sz w:val="32"/>
          <w:u w:val="single"/>
        </w:rPr>
        <w:t>太和镇综合养老服务中心（颐康中心）</w:t>
      </w:r>
      <w:r>
        <w:rPr>
          <w:sz w:val="32"/>
        </w:rPr>
        <w:t>每年在服务区域内开展服务对象需求调查至少</w:t>
      </w:r>
      <w:r>
        <w:rPr>
          <w:sz w:val="32"/>
          <w:u w:val="single"/>
        </w:rPr>
        <w:t>1</w:t>
      </w:r>
      <w:r>
        <w:rPr>
          <w:sz w:val="32"/>
        </w:rPr>
        <w:t>次，开展线下服务宣传活动至少</w:t>
      </w:r>
      <w:r>
        <w:rPr>
          <w:sz w:val="32"/>
          <w:u w:val="single"/>
        </w:rPr>
        <w:t>8</w:t>
      </w:r>
      <w:r>
        <w:rPr>
          <w:sz w:val="32"/>
        </w:rPr>
        <w:t>场，开展服务对象满意度调查至少</w:t>
      </w:r>
      <w:r>
        <w:rPr>
          <w:sz w:val="32"/>
          <w:u w:val="single"/>
        </w:rPr>
        <w:t>2</w:t>
      </w:r>
      <w:r>
        <w:rPr>
          <w:sz w:val="32"/>
        </w:rPr>
        <w:t>次</w:t>
      </w:r>
      <w:r>
        <w:rPr>
          <w:sz w:val="32"/>
        </w:rPr>
        <w:t>。每个</w:t>
      </w:r>
      <w:r>
        <w:rPr>
          <w:sz w:val="32"/>
          <w:u w:val="single"/>
        </w:rPr>
        <w:t>社区（村）颐康服务站</w:t>
      </w:r>
      <w:r>
        <w:rPr>
          <w:sz w:val="32"/>
        </w:rPr>
        <w:t>开展线下服务宣传活动至少</w:t>
      </w:r>
      <w:r>
        <w:rPr>
          <w:sz w:val="32"/>
          <w:u w:val="single"/>
        </w:rPr>
        <w:t>2</w:t>
      </w:r>
      <w:r>
        <w:rPr>
          <w:sz w:val="32"/>
        </w:rPr>
        <w:t>场，开展服务满意度调查至少</w:t>
      </w:r>
      <w:r>
        <w:rPr>
          <w:sz w:val="32"/>
          <w:u w:val="single"/>
        </w:rPr>
        <w:t>2</w:t>
      </w:r>
      <w:r>
        <w:rPr>
          <w:sz w:val="32"/>
        </w:rPr>
        <w:t>次。</w:t>
      </w:r>
    </w:p>
    <w:p>
      <w:pPr>
        <w:ind w:firstLine="640"/>
        <w:jc w:val="both"/>
      </w:pPr>
      <w:r>
        <w:rPr>
          <w:sz w:val="32"/>
        </w:rPr>
        <w:t>2.</w:t>
      </w:r>
      <w:r>
        <w:rPr>
          <w:sz w:val="32"/>
        </w:rPr>
        <w:t>乙方</w:t>
      </w:r>
      <w:r>
        <w:rPr>
          <w:sz w:val="32"/>
        </w:rPr>
        <w:t>每年</w:t>
      </w:r>
      <w:r>
        <w:rPr>
          <w:sz w:val="32"/>
        </w:rPr>
        <w:t>直接为老年人提供的服务总人次不低于</w:t>
      </w:r>
      <w:r>
        <w:rPr>
          <w:sz w:val="32"/>
          <w:u w:val="single"/>
        </w:rPr>
        <w:t>1.5</w:t>
      </w:r>
      <w:r>
        <w:rPr>
          <w:sz w:val="32"/>
          <w:u w:val="single"/>
        </w:rPr>
        <w:t>万人次</w:t>
      </w:r>
      <w:r>
        <w:rPr>
          <w:sz w:val="32"/>
        </w:rPr>
        <w:t>，其中自费服务对象服务总人次不低于</w:t>
      </w:r>
      <w:r>
        <w:rPr>
          <w:sz w:val="32"/>
          <w:u w:val="single"/>
        </w:rPr>
        <w:t>2500</w:t>
      </w:r>
      <w:r>
        <w:rPr>
          <w:sz w:val="32"/>
          <w:u w:val="single"/>
        </w:rPr>
        <w:t>人次</w:t>
      </w:r>
      <w:r>
        <w:rPr>
          <w:sz w:val="32"/>
        </w:rPr>
        <w:t>。</w:t>
      </w:r>
    </w:p>
    <w:p>
      <w:pPr>
        <w:ind w:firstLine="640"/>
        <w:jc w:val="both"/>
      </w:pPr>
      <w:r>
        <w:rPr>
          <w:sz w:val="32"/>
        </w:rPr>
        <w:t>3.</w:t>
      </w:r>
      <w:r>
        <w:rPr>
          <w:sz w:val="32"/>
        </w:rPr>
        <w:t>乙方具体提供以下服务项目并完成相应指标</w:t>
      </w:r>
      <w:r>
        <w:rPr>
          <w:sz w:val="32"/>
        </w:rPr>
        <w:t>：</w:t>
      </w:r>
    </w:p>
    <w:tbl>
      <w:tblPr>
        <w:tblW w:w="0" w:type="auto"/>
        <w:tblBorders>
          <w:top w:val="none" w:color="000000" w:sz="4"/>
          <w:left w:val="none" w:color="000000" w:sz="4"/>
          <w:bottom w:val="none" w:color="000000" w:sz="4"/>
          <w:right w:val="none" w:color="000000" w:sz="4"/>
          <w:insideH w:val="none"/>
          <w:insideV w:val="none"/>
        </w:tblBorders>
      </w:tblPr>
      <w:tblGrid>
        <w:gridCol w:w="620"/>
        <w:gridCol w:w="1074"/>
        <w:gridCol w:w="3733"/>
        <w:gridCol w:w="1942"/>
        <w:gridCol w:w="937"/>
      </w:tblGrid>
      <w:tr>
        <w:tc>
          <w:tcPr>
            <w:tcW w:type="dxa" w:w="6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74"/>
            <w:tcBorders>
              <w:top w:val="single" w:color="000000" w:sz="4"/>
              <w:left w:val="single" w:color="000000" w:sz="4"/>
              <w:bottom w:val="single" w:color="000000" w:sz="4"/>
              <w:right w:val="single" w:color="000000" w:sz="4"/>
            </w:tcBorders>
            <w:vAlign w:val="top"/>
          </w:tcPr>
          <w:p>
            <w:pPr>
              <w:jc w:val="center"/>
            </w:pPr>
            <w:r>
              <w:rPr>
                <w:sz w:val="21"/>
              </w:rPr>
              <w:t>服务项目</w:t>
            </w:r>
          </w:p>
        </w:tc>
        <w:tc>
          <w:tcPr>
            <w:tcW w:type="dxa" w:w="3733"/>
            <w:tcBorders>
              <w:top w:val="single" w:color="000000" w:sz="4"/>
              <w:left w:val="single" w:color="000000" w:sz="4"/>
              <w:bottom w:val="single" w:color="000000" w:sz="4"/>
              <w:right w:val="single" w:color="000000" w:sz="4"/>
            </w:tcBorders>
            <w:vAlign w:val="top"/>
          </w:tcPr>
          <w:p>
            <w:pPr>
              <w:jc w:val="center"/>
            </w:pPr>
            <w:r>
              <w:rPr>
                <w:sz w:val="21"/>
              </w:rPr>
              <w:t>内容要求</w:t>
            </w:r>
          </w:p>
        </w:tc>
        <w:tc>
          <w:tcPr>
            <w:tcW w:type="dxa" w:w="1942"/>
            <w:tcBorders>
              <w:top w:val="single" w:color="000000" w:sz="4"/>
              <w:left w:val="single" w:color="000000" w:sz="4"/>
              <w:bottom w:val="single" w:color="000000" w:sz="4"/>
              <w:right w:val="single" w:color="000000" w:sz="4"/>
            </w:tcBorders>
            <w:vAlign w:val="top"/>
          </w:tcPr>
          <w:p>
            <w:pPr>
              <w:jc w:val="center"/>
            </w:pPr>
            <w:r>
              <w:rPr>
                <w:sz w:val="21"/>
              </w:rPr>
              <w:t>服务指标</w:t>
            </w:r>
          </w:p>
        </w:tc>
        <w:tc>
          <w:tcPr>
            <w:tcW w:type="dxa" w:w="937"/>
            <w:tcBorders>
              <w:top w:val="single" w:color="000000" w:sz="4"/>
              <w:left w:val="single" w:color="000000" w:sz="4"/>
              <w:bottom w:val="single" w:color="000000" w:sz="4"/>
              <w:right w:val="single" w:color="000000" w:sz="4"/>
            </w:tcBorders>
            <w:vAlign w:val="top"/>
          </w:tcPr>
          <w:p>
            <w:pPr>
              <w:jc w:val="center"/>
            </w:pPr>
            <w:r>
              <w:rPr>
                <w:sz w:val="21"/>
              </w:rPr>
              <w:t>最低服务工时指标</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养老服务向导</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为老年人提供养老政策咨询、服务查询、办事指引、服务转介等服务。</w:t>
            </w:r>
          </w:p>
        </w:tc>
        <w:tc>
          <w:tcPr>
            <w:tcW w:type="dxa" w:w="1942"/>
            <w:tcBorders>
              <w:top w:val="none" w:color="000000" w:sz="4"/>
              <w:left w:val="single" w:color="000000" w:sz="4"/>
              <w:bottom w:val="single" w:color="000000" w:sz="4"/>
              <w:right w:val="single" w:color="000000" w:sz="4"/>
            </w:tcBorders>
            <w:vAlign w:val="top"/>
          </w:tcPr>
          <w:p>
            <w:pPr>
              <w:jc w:val="both"/>
            </w:pPr>
          </w:p>
        </w:tc>
        <w:tc>
          <w:tcPr>
            <w:tcW w:type="dxa" w:w="937"/>
            <w:tcBorders>
              <w:top w:val="none" w:color="000000" w:sz="4"/>
              <w:left w:val="single" w:color="000000" w:sz="4"/>
              <w:bottom w:val="single" w:color="000000" w:sz="4"/>
              <w:right w:val="single" w:color="000000" w:sz="4"/>
            </w:tcBorders>
            <w:vAlign w:val="top"/>
          </w:tcPr>
          <w:p>
            <w:pPr>
              <w:jc w:val="center"/>
            </w:pPr>
            <w:r>
              <w:rPr>
                <w:sz w:val="21"/>
              </w:rPr>
              <w:t>190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助餐配餐</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以长者饭堂为主要依托，为老年人提供制餐、配餐、分餐、就餐、送餐等服务。</w:t>
            </w:r>
          </w:p>
        </w:tc>
        <w:tc>
          <w:tcPr>
            <w:tcW w:type="dxa" w:w="1942"/>
            <w:tcBorders>
              <w:top w:val="none" w:color="000000" w:sz="4"/>
              <w:left w:val="single" w:color="000000" w:sz="4"/>
              <w:bottom w:val="single" w:color="000000" w:sz="4"/>
              <w:right w:val="single" w:color="000000" w:sz="4"/>
            </w:tcBorders>
            <w:vAlign w:val="top"/>
          </w:tcPr>
          <w:p>
            <w:pPr>
              <w:jc w:val="left"/>
            </w:pPr>
            <w:r>
              <w:rPr>
                <w:sz w:val="21"/>
              </w:rPr>
              <w:t>1.</w:t>
            </w:r>
            <w:r>
              <w:rPr>
                <w:sz w:val="21"/>
              </w:rPr>
              <w:t>建设自建厨房模式的长者饭堂数量</w:t>
            </w:r>
            <w:r>
              <w:rPr>
                <w:sz w:val="21"/>
              </w:rPr>
              <w:t>≥1</w:t>
            </w:r>
            <w:r>
              <w:rPr>
                <w:sz w:val="21"/>
              </w:rPr>
              <w:t>；</w:t>
            </w:r>
          </w:p>
          <w:p>
            <w:pPr>
              <w:jc w:val="left"/>
            </w:pPr>
            <w:r>
              <w:rPr>
                <w:sz w:val="21"/>
              </w:rPr>
              <w:t>2.60周岁及以上老年人享受助餐配餐服务覆盖率占户籍老年人口的比率≥3.5%</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12500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生活照料</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为居家老年人提供上门助洁、助浴、洗涤、生活护理、协助进餐、陪伴就医、代办服务等全方位生活照料服务。</w:t>
            </w:r>
          </w:p>
        </w:tc>
        <w:tc>
          <w:tcPr>
            <w:tcW w:type="dxa" w:w="1942"/>
            <w:tcBorders>
              <w:top w:val="none" w:color="000000" w:sz="4"/>
              <w:left w:val="single" w:color="000000" w:sz="4"/>
              <w:bottom w:val="single" w:color="000000" w:sz="4"/>
              <w:right w:val="single" w:color="000000" w:sz="4"/>
            </w:tcBorders>
            <w:vAlign w:val="top"/>
          </w:tcPr>
          <w:p>
            <w:pPr>
              <w:jc w:val="both"/>
            </w:pPr>
            <w:r>
              <w:rPr>
                <w:sz w:val="21"/>
              </w:rPr>
              <w:t>1.“家政+养老”服务村（居）覆盖率100%；</w:t>
            </w:r>
          </w:p>
          <w:p>
            <w:pPr>
              <w:jc w:val="both"/>
            </w:pPr>
            <w:r>
              <w:rPr>
                <w:sz w:val="21"/>
              </w:rPr>
              <w:t>2.</w:t>
            </w:r>
            <w:r>
              <w:rPr>
                <w:sz w:val="21"/>
              </w:rPr>
              <w:t>60周岁及以上老年人“家政+养老”上门服务覆盖率占户籍老年人口的比率≥2.5%</w:t>
            </w:r>
            <w:r>
              <w:rPr>
                <w:sz w:val="21"/>
              </w:rPr>
              <w:t>。</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2330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辅具租赁</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向失能或者部分失能老年人提供辅具适配或租赁服务。</w:t>
            </w:r>
          </w:p>
        </w:tc>
        <w:tc>
          <w:tcPr>
            <w:tcW w:type="dxa" w:w="1942"/>
            <w:tcBorders>
              <w:top w:val="none" w:color="000000" w:sz="4"/>
              <w:left w:val="single" w:color="000000" w:sz="4"/>
              <w:bottom w:val="single" w:color="000000" w:sz="4"/>
              <w:right w:val="single" w:color="000000" w:sz="4"/>
            </w:tcBorders>
            <w:vAlign w:val="top"/>
          </w:tcPr>
          <w:p>
            <w:pPr>
              <w:jc w:val="both"/>
            </w:pPr>
          </w:p>
        </w:tc>
        <w:tc>
          <w:tcPr>
            <w:tcW w:type="dxa" w:w="937"/>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家庭照护培训</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为老年人及其家庭照护者提供家庭照护技能培训。</w:t>
            </w:r>
          </w:p>
        </w:tc>
        <w:tc>
          <w:tcPr>
            <w:tcW w:type="dxa" w:w="1942"/>
            <w:tcBorders>
              <w:top w:val="none" w:color="000000" w:sz="4"/>
              <w:left w:val="single" w:color="000000" w:sz="4"/>
              <w:bottom w:val="single" w:color="000000" w:sz="4"/>
              <w:right w:val="single" w:color="000000" w:sz="4"/>
            </w:tcBorders>
            <w:vAlign w:val="top"/>
          </w:tcPr>
          <w:p>
            <w:pPr>
              <w:jc w:val="both"/>
            </w:pPr>
          </w:p>
        </w:tc>
        <w:tc>
          <w:tcPr>
            <w:tcW w:type="dxa" w:w="937"/>
            <w:tcBorders>
              <w:top w:val="none" w:color="000000" w:sz="4"/>
              <w:left w:val="single" w:color="000000" w:sz="4"/>
              <w:bottom w:val="single" w:color="000000" w:sz="4"/>
              <w:right w:val="single" w:color="000000" w:sz="4"/>
            </w:tcBorders>
            <w:vAlign w:val="top"/>
          </w:tcPr>
          <w:p>
            <w:pPr>
              <w:jc w:val="center"/>
            </w:pPr>
            <w:r>
              <w:rPr>
                <w:sz w:val="21"/>
              </w:rPr>
              <w:t>1260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文体教育</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为老年人提供文体娱乐、精神慰藉、互帮互助和老年教育等活动。</w:t>
            </w:r>
          </w:p>
        </w:tc>
        <w:tc>
          <w:tcPr>
            <w:tcW w:type="dxa" w:w="1942"/>
            <w:tcBorders>
              <w:top w:val="none" w:color="000000" w:sz="4"/>
              <w:left w:val="single" w:color="000000" w:sz="4"/>
              <w:bottom w:val="single" w:color="000000" w:sz="4"/>
              <w:right w:val="single" w:color="000000" w:sz="4"/>
            </w:tcBorders>
            <w:vAlign w:val="top"/>
          </w:tcPr>
          <w:p>
            <w:pPr>
              <w:jc w:val="both"/>
            </w:pPr>
          </w:p>
        </w:tc>
        <w:tc>
          <w:tcPr>
            <w:tcW w:type="dxa" w:w="937"/>
            <w:tcBorders>
              <w:top w:val="none" w:color="000000" w:sz="4"/>
              <w:left w:val="single" w:color="000000" w:sz="4"/>
              <w:bottom w:val="single" w:color="000000" w:sz="4"/>
              <w:right w:val="single" w:color="000000" w:sz="4"/>
            </w:tcBorders>
            <w:vAlign w:val="top"/>
          </w:tcPr>
          <w:p>
            <w:pPr>
              <w:jc w:val="center"/>
            </w:pPr>
            <w:r>
              <w:rPr>
                <w:sz w:val="21"/>
              </w:rPr>
              <w:t>3600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居家适老化改造</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为老年人提供居家适老化改造咨询、方案设计，做好居家适老化施工改造、设施配备、老年用品配置等服务。</w:t>
            </w:r>
          </w:p>
        </w:tc>
        <w:tc>
          <w:tcPr>
            <w:tcW w:type="dxa" w:w="1942"/>
            <w:tcBorders>
              <w:top w:val="none" w:color="000000" w:sz="4"/>
              <w:left w:val="single" w:color="000000" w:sz="4"/>
              <w:bottom w:val="single" w:color="000000" w:sz="4"/>
              <w:right w:val="single" w:color="000000" w:sz="4"/>
            </w:tcBorders>
            <w:vAlign w:val="top"/>
          </w:tcPr>
          <w:p>
            <w:pPr>
              <w:jc w:val="both"/>
            </w:pPr>
            <w:r>
              <w:rPr>
                <w:sz w:val="21"/>
              </w:rPr>
              <w:t>有意愿的老年人居家适老化改造完成率</w:t>
            </w:r>
            <w:r>
              <w:rPr>
                <w:sz w:val="21"/>
              </w:rPr>
              <w:t>100%。</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家庭养老床位</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为老年人的居住环境和生活空间进行地面、厨房、物理环境等适老化与门磁感应等智能化家居改造，在家中设置具备机构化服务功能的床位，根据其意愿和需求提供照料护理服务。</w:t>
            </w:r>
          </w:p>
        </w:tc>
        <w:tc>
          <w:tcPr>
            <w:tcW w:type="dxa" w:w="1942"/>
            <w:tcBorders>
              <w:top w:val="none" w:color="000000" w:sz="4"/>
              <w:left w:val="single" w:color="000000" w:sz="4"/>
              <w:bottom w:val="single" w:color="000000" w:sz="4"/>
              <w:right w:val="single" w:color="000000" w:sz="4"/>
            </w:tcBorders>
            <w:vAlign w:val="top"/>
          </w:tcPr>
          <w:p>
            <w:pPr>
              <w:jc w:val="left"/>
            </w:pPr>
            <w:r>
              <w:rPr>
                <w:sz w:val="21"/>
              </w:rPr>
              <w:t>有意愿的家庭养老床位建床率</w:t>
            </w:r>
            <w:r>
              <w:rPr>
                <w:sz w:val="21"/>
              </w:rPr>
              <w:t>100%。</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日间托管</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在社区服务场所内为失能（失智）及</w:t>
            </w:r>
          </w:p>
          <w:p>
            <w:pPr>
              <w:jc w:val="both"/>
            </w:pPr>
            <w:r>
              <w:rPr>
                <w:sz w:val="21"/>
              </w:rPr>
              <w:t>日常生活需要照料的老年人提供助餐配餐、康复护理、医疗保健和文化娱乐等日间照料服务。</w:t>
            </w:r>
          </w:p>
        </w:tc>
        <w:tc>
          <w:tcPr>
            <w:tcW w:type="dxa" w:w="1942"/>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r>
              <w:rPr>
                <w:sz w:val="21"/>
              </w:rPr>
              <w:t>3520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临时托养</w:t>
            </w:r>
          </w:p>
          <w:p>
            <w:pPr>
              <w:jc w:val="center"/>
            </w:pPr>
            <w:r>
              <w:rPr>
                <w:sz w:val="21"/>
              </w:rPr>
              <w:t>/长期托养</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为老年人提供生活照料、康复护理、助餐配餐、医疗保健、精神慰藉、临终关怀、辅具租赁、文化娱乐、紧急援助、夜间住宿等托养服务。</w:t>
            </w:r>
          </w:p>
        </w:tc>
        <w:tc>
          <w:tcPr>
            <w:tcW w:type="dxa" w:w="1942"/>
            <w:tcBorders>
              <w:top w:val="none" w:color="000000" w:sz="4"/>
              <w:left w:val="single" w:color="000000" w:sz="4"/>
              <w:bottom w:val="single" w:color="000000" w:sz="4"/>
              <w:right w:val="single" w:color="000000" w:sz="4"/>
            </w:tcBorders>
            <w:vAlign w:val="top"/>
          </w:tcPr>
          <w:p>
            <w:pPr>
              <w:jc w:val="both"/>
            </w:pPr>
            <w:r>
              <w:rPr>
                <w:sz w:val="21"/>
              </w:rPr>
              <w:t>1.设置床位不少于10张，其中护理型床位不少于75%；</w:t>
            </w:r>
          </w:p>
          <w:p>
            <w:pPr>
              <w:jc w:val="both"/>
            </w:pPr>
            <w:r>
              <w:rPr>
                <w:sz w:val="21"/>
              </w:rPr>
              <w:t>2.全托床位人住率不低于30%。</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74"/>
            <w:tcBorders>
              <w:top w:val="none" w:color="000000" w:sz="4"/>
              <w:left w:val="single" w:color="000000" w:sz="4"/>
              <w:bottom w:val="single" w:color="000000" w:sz="4"/>
              <w:right w:val="single" w:color="000000" w:sz="4"/>
            </w:tcBorders>
            <w:vAlign w:val="top"/>
          </w:tcPr>
          <w:p>
            <w:pPr>
              <w:jc w:val="both"/>
            </w:pPr>
            <w:r>
              <w:rPr>
                <w:sz w:val="21"/>
              </w:rPr>
              <w:t>医养康养</w:t>
            </w:r>
            <w:r>
              <w:rPr>
                <w:sz w:val="21"/>
              </w:rPr>
              <w:t>/康复护理</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1.为老年人提供生活方式和键康状况评估、体格检查、辅助检查、医疗保键、健康指导、慢病管理等健康管理和医养结合服务。</w:t>
            </w:r>
          </w:p>
          <w:p>
            <w:pPr>
              <w:jc w:val="both"/>
            </w:pPr>
            <w:r>
              <w:rPr>
                <w:sz w:val="21"/>
              </w:rPr>
              <w:t>2.为老年人提供廉复咨询、器材锻炼、康复训练、康复理疗等服务。</w:t>
            </w:r>
          </w:p>
        </w:tc>
        <w:tc>
          <w:tcPr>
            <w:tcW w:type="dxa" w:w="1942"/>
            <w:tcBorders>
              <w:top w:val="none" w:color="000000" w:sz="4"/>
              <w:left w:val="single" w:color="000000" w:sz="4"/>
              <w:bottom w:val="single" w:color="000000" w:sz="4"/>
              <w:right w:val="single" w:color="000000" w:sz="4"/>
            </w:tcBorders>
            <w:vAlign w:val="top"/>
          </w:tcPr>
          <w:p>
            <w:pPr>
              <w:jc w:val="both"/>
            </w:pPr>
            <w:r>
              <w:rPr>
                <w:sz w:val="21"/>
              </w:rPr>
              <w:t>1.自行获得医疗执业资质或与有医疗服务资质的第三方合作，为最务对象提供绿色就诊、转诊通道；</w:t>
            </w:r>
          </w:p>
          <w:p>
            <w:pPr>
              <w:jc w:val="both"/>
            </w:pPr>
            <w:r>
              <w:rPr>
                <w:sz w:val="21"/>
              </w:rPr>
              <w:t>2.自行获得居家护理长护险定点资质或与有资质的长护险定点资质机构合作，为服务对象提供长护险服务。</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74"/>
            <w:tcBorders>
              <w:top w:val="none" w:color="000000" w:sz="4"/>
              <w:left w:val="single" w:color="000000" w:sz="4"/>
              <w:bottom w:val="single" w:color="000000" w:sz="4"/>
              <w:right w:val="single" w:color="000000" w:sz="4"/>
            </w:tcBorders>
            <w:vAlign w:val="top"/>
          </w:tcPr>
          <w:p>
            <w:pPr>
              <w:jc w:val="center"/>
            </w:pPr>
            <w:r>
              <w:rPr>
                <w:sz w:val="21"/>
              </w:rPr>
              <w:t>定期巡访</w:t>
            </w:r>
          </w:p>
        </w:tc>
        <w:tc>
          <w:tcPr>
            <w:tcW w:type="dxa" w:w="3733"/>
            <w:tcBorders>
              <w:top w:val="none" w:color="000000" w:sz="4"/>
              <w:left w:val="single" w:color="000000" w:sz="4"/>
              <w:bottom w:val="single" w:color="000000" w:sz="4"/>
              <w:right w:val="single" w:color="000000" w:sz="4"/>
            </w:tcBorders>
            <w:vAlign w:val="top"/>
          </w:tcPr>
          <w:p>
            <w:pPr>
              <w:jc w:val="both"/>
            </w:pPr>
            <w:r>
              <w:rPr>
                <w:sz w:val="21"/>
              </w:rPr>
              <w:t>通过上门探视、电话询访等方式，为</w:t>
            </w:r>
          </w:p>
          <w:p>
            <w:pPr>
              <w:jc w:val="both"/>
            </w:pPr>
            <w:r>
              <w:rPr>
                <w:sz w:val="21"/>
              </w:rPr>
              <w:t>辖内常住</w:t>
            </w:r>
            <w:r>
              <w:rPr>
                <w:sz w:val="21"/>
              </w:rPr>
              <w:t>/服务对象中（选填）的空巢（独居）、留守、计划生育特殊家庭、仅与重度残疾子女共同居住老年人，分散供养特困人员中的老年人，失能且事实无人照顾的老年人提供日常巡访、政策宣传、服务转介等关爱服务。</w:t>
            </w:r>
          </w:p>
        </w:tc>
        <w:tc>
          <w:tcPr>
            <w:tcW w:type="dxa" w:w="1942"/>
            <w:tcBorders>
              <w:top w:val="none" w:color="000000" w:sz="4"/>
              <w:left w:val="single" w:color="000000" w:sz="4"/>
              <w:bottom w:val="single" w:color="000000" w:sz="4"/>
              <w:right w:val="single" w:color="000000" w:sz="4"/>
            </w:tcBorders>
            <w:vAlign w:val="top"/>
          </w:tcPr>
          <w:p>
            <w:pPr>
              <w:jc w:val="both"/>
            </w:pPr>
            <w:r>
              <w:rPr>
                <w:sz w:val="21"/>
              </w:rPr>
              <w:t>1.</w:t>
            </w:r>
            <w:r>
              <w:rPr>
                <w:sz w:val="21"/>
              </w:rPr>
              <w:t>特殊困难老年人月探访率</w:t>
            </w:r>
            <w:r>
              <w:rPr>
                <w:sz w:val="21"/>
              </w:rPr>
              <w:t>100%；</w:t>
            </w:r>
          </w:p>
          <w:p>
            <w:pPr>
              <w:jc w:val="both"/>
            </w:pPr>
            <w:r>
              <w:rPr>
                <w:sz w:val="21"/>
              </w:rPr>
              <w:t>2.</w:t>
            </w:r>
            <w:r>
              <w:rPr>
                <w:sz w:val="21"/>
              </w:rPr>
              <w:t>农村留守老年人月巡访率</w:t>
            </w:r>
            <w:r>
              <w:rPr>
                <w:sz w:val="21"/>
              </w:rPr>
              <w:t>100%.</w:t>
            </w:r>
          </w:p>
        </w:tc>
        <w:tc>
          <w:tcPr>
            <w:tcW w:type="dxa" w:w="937"/>
            <w:tcBorders>
              <w:top w:val="none" w:color="000000" w:sz="4"/>
              <w:left w:val="single" w:color="000000" w:sz="4"/>
              <w:bottom w:val="single" w:color="000000" w:sz="4"/>
              <w:right w:val="single" w:color="000000" w:sz="4"/>
            </w:tcBorders>
            <w:vAlign w:val="top"/>
          </w:tcPr>
          <w:p>
            <w:pPr>
              <w:jc w:val="center"/>
            </w:pPr>
            <w:r>
              <w:rPr>
                <w:sz w:val="21"/>
              </w:rPr>
              <w:t>2200</w:t>
            </w:r>
          </w:p>
        </w:tc>
      </w:tr>
    </w:tbl>
    <w:p>
      <w:pPr>
        <w:jc w:val="both"/>
      </w:pPr>
      <w:r>
        <w:rPr>
          <w:sz w:val="21"/>
        </w:rPr>
        <w:t>（注：</w:t>
      </w:r>
      <w:r>
        <w:rPr>
          <w:sz w:val="21"/>
        </w:rPr>
        <w:t>1.工时计算：（1）专职人员个人年度总工时=8小时/天*245天=1960小时、兼职人员个人年度总工时=6小时/天*245天=1470小时；（2）项目专业服务年度总工时=1960小时*8人+1470*12人=33320小时；（3）个人年度间接服务工时=年度会议时数+年度培训时数=2小时/周*49周+15小时=113小时；（4）项目年度直接服务工时=项目专业服务年度总工时﹣项目年度间接服务工时﹣1名预留员工年度服务工时=33320﹣113*20﹣1960=29100小时；（5）项目年度最低服务工时=项目年度直接服务工时=29100小时；项目年度最高服务工时=项目专业服务年度总工时×110%=33320×110%=36652小时。</w:t>
      </w:r>
      <w:r>
        <w:rPr>
          <w:sz w:val="21"/>
        </w:rPr>
        <w:t>2.服务工时可采用综合定额方式计算，其中生活照料、助餐配餐、康复护理、医养康养、日间托管等5项服务的工时合计不少于年度最低服务总工时的75%。</w:t>
      </w:r>
      <w:r>
        <w:rPr>
          <w:sz w:val="21"/>
        </w:rPr>
        <w:t>）</w:t>
      </w:r>
    </w:p>
    <w:p>
      <w:pPr>
        <w:ind w:firstLine="643"/>
        <w:jc w:val="both"/>
      </w:pPr>
      <w:r>
        <w:rPr>
          <w:b/>
          <w:sz w:val="32"/>
        </w:rPr>
        <w:t>（五）服务人员。</w:t>
      </w:r>
    </w:p>
    <w:p>
      <w:pPr>
        <w:ind w:firstLine="643"/>
        <w:jc w:val="both"/>
      </w:pPr>
      <w:r>
        <w:rPr>
          <w:b/>
          <w:sz w:val="32"/>
        </w:rPr>
        <w:t>1.</w:t>
      </w:r>
      <w:r>
        <w:rPr>
          <w:b/>
          <w:sz w:val="32"/>
        </w:rPr>
        <w:t>人员数量</w:t>
      </w:r>
    </w:p>
    <w:p>
      <w:pPr>
        <w:ind w:firstLine="640"/>
        <w:jc w:val="both"/>
      </w:pPr>
      <w:r>
        <w:rPr>
          <w:sz w:val="32"/>
        </w:rPr>
        <w:t>乙方在服务期内保证投入的专业工作人员数量不能减少，保证达到投标时承诺投入的人员水平标准，服务期中如有人事变动的，同一工作岗位人员空档时间累计不得超过</w:t>
      </w:r>
      <w:r>
        <w:rPr>
          <w:sz w:val="32"/>
        </w:rPr>
        <w:t>2</w:t>
      </w:r>
      <w:r>
        <w:rPr>
          <w:sz w:val="32"/>
        </w:rPr>
        <w:t>个月。如投入专职工作人员的数量未达到要求，则按照</w:t>
      </w:r>
      <w:r>
        <w:rPr>
          <w:sz w:val="32"/>
        </w:rPr>
        <w:t>10</w:t>
      </w:r>
      <w:r>
        <w:rPr>
          <w:sz w:val="32"/>
        </w:rPr>
        <w:t>万元</w:t>
      </w:r>
      <w:r>
        <w:rPr>
          <w:sz w:val="32"/>
        </w:rPr>
        <w:t>/</w:t>
      </w:r>
      <w:r>
        <w:rPr>
          <w:sz w:val="32"/>
        </w:rPr>
        <w:t>人</w:t>
      </w:r>
      <w:r>
        <w:rPr>
          <w:sz w:val="32"/>
        </w:rPr>
        <w:t>/</w:t>
      </w:r>
      <w:r>
        <w:rPr>
          <w:sz w:val="32"/>
        </w:rPr>
        <w:t>年的标准，扣减支付项目费用。</w:t>
      </w:r>
    </w:p>
    <w:p>
      <w:pPr>
        <w:ind w:firstLine="640"/>
        <w:jc w:val="both"/>
      </w:pPr>
      <w:r>
        <w:rPr>
          <w:sz w:val="32"/>
        </w:rPr>
        <w:t>（</w:t>
      </w:r>
      <w:r>
        <w:rPr>
          <w:sz w:val="32"/>
        </w:rPr>
        <w:t>1</w:t>
      </w:r>
      <w:r>
        <w:rPr>
          <w:sz w:val="32"/>
        </w:rPr>
        <w:t>）为镇综合养老服务中心（颐康中心）</w:t>
      </w:r>
      <w:r>
        <w:rPr>
          <w:sz w:val="32"/>
        </w:rPr>
        <w:t>项目</w:t>
      </w:r>
      <w:r>
        <w:rPr>
          <w:sz w:val="32"/>
        </w:rPr>
        <w:t>配备专职人员不少于</w:t>
      </w:r>
      <w:r>
        <w:rPr>
          <w:sz w:val="32"/>
        </w:rPr>
        <w:t>8</w:t>
      </w:r>
      <w:r>
        <w:rPr>
          <w:sz w:val="32"/>
        </w:rPr>
        <w:t>人</w:t>
      </w:r>
      <w:r>
        <w:rPr>
          <w:sz w:val="32"/>
        </w:rPr>
        <w:t>，其中</w:t>
      </w:r>
      <w:r>
        <w:rPr>
          <w:sz w:val="32"/>
        </w:rPr>
        <w:t>执业护士</w:t>
      </w:r>
      <w:r>
        <w:rPr>
          <w:sz w:val="32"/>
        </w:rPr>
        <w:t>、</w:t>
      </w:r>
      <w:r>
        <w:rPr>
          <w:sz w:val="32"/>
        </w:rPr>
        <w:t>康复治疗师</w:t>
      </w:r>
      <w:r>
        <w:rPr>
          <w:sz w:val="32"/>
        </w:rPr>
        <w:t>、</w:t>
      </w:r>
      <w:r>
        <w:rPr>
          <w:sz w:val="32"/>
        </w:rPr>
        <w:t>社会工作师</w:t>
      </w:r>
      <w:r>
        <w:rPr>
          <w:sz w:val="32"/>
        </w:rPr>
        <w:t>、</w:t>
      </w:r>
      <w:r>
        <w:rPr>
          <w:sz w:val="32"/>
        </w:rPr>
        <w:t>养老护理员</w:t>
      </w:r>
      <w:r>
        <w:rPr>
          <w:sz w:val="32"/>
        </w:rPr>
        <w:t>各不少于</w:t>
      </w:r>
      <w:r>
        <w:rPr>
          <w:sz w:val="32"/>
        </w:rPr>
        <w:t>1</w:t>
      </w:r>
      <w:r>
        <w:rPr>
          <w:sz w:val="32"/>
        </w:rPr>
        <w:t>人。按项目实际服务需要配备专职或兼职执业医师和其他工作人员。</w:t>
      </w:r>
    </w:p>
    <w:p>
      <w:pPr>
        <w:ind w:firstLine="640"/>
        <w:jc w:val="both"/>
      </w:pPr>
      <w:r>
        <w:rPr>
          <w:sz w:val="32"/>
        </w:rPr>
        <w:t>（</w:t>
      </w:r>
      <w:r>
        <w:rPr>
          <w:sz w:val="32"/>
        </w:rPr>
        <w:t>2</w:t>
      </w:r>
      <w:r>
        <w:rPr>
          <w:sz w:val="32"/>
        </w:rPr>
        <w:t>）为每个社区</w:t>
      </w:r>
      <w:r>
        <w:rPr>
          <w:sz w:val="32"/>
        </w:rPr>
        <w:t>（村）</w:t>
      </w:r>
      <w:r>
        <w:rPr>
          <w:sz w:val="32"/>
        </w:rPr>
        <w:t>颐康服务站配备不少于</w:t>
      </w:r>
      <w:r>
        <w:rPr>
          <w:sz w:val="32"/>
        </w:rPr>
        <w:t>1</w:t>
      </w:r>
      <w:r>
        <w:rPr>
          <w:sz w:val="32"/>
        </w:rPr>
        <w:t>名专（兼）职工作人员负责日常管理。</w:t>
      </w:r>
    </w:p>
    <w:p>
      <w:pPr>
        <w:ind w:firstLine="640"/>
        <w:jc w:val="both"/>
      </w:pPr>
      <w:r>
        <w:rPr>
          <w:sz w:val="32"/>
        </w:rPr>
        <w:t>（</w:t>
      </w:r>
      <w:r>
        <w:rPr>
          <w:sz w:val="32"/>
        </w:rPr>
        <w:t>3</w:t>
      </w:r>
      <w:r>
        <w:rPr>
          <w:sz w:val="32"/>
        </w:rPr>
        <w:t>）为镇级服务设施配备专职的项目负责人</w:t>
      </w:r>
      <w:r>
        <w:rPr>
          <w:sz w:val="32"/>
        </w:rPr>
        <w:t>；</w:t>
      </w:r>
      <w:r>
        <w:rPr>
          <w:sz w:val="32"/>
        </w:rPr>
        <w:t>项</w:t>
      </w:r>
      <w:r>
        <w:rPr>
          <w:sz w:val="32"/>
        </w:rPr>
        <w:t>目</w:t>
      </w:r>
      <w:r>
        <w:rPr>
          <w:sz w:val="32"/>
        </w:rPr>
        <w:t>负责人应具备大专以上学历并有</w:t>
      </w:r>
      <w:r>
        <w:rPr>
          <w:sz w:val="32"/>
        </w:rPr>
        <w:t>2</w:t>
      </w:r>
      <w:r>
        <w:rPr>
          <w:sz w:val="32"/>
        </w:rPr>
        <w:t>年以上养老行业工作经验，除本项目外不得同时兼任其他居家社区养老项目负责人。</w:t>
      </w:r>
    </w:p>
    <w:p>
      <w:pPr>
        <w:ind w:firstLine="643"/>
        <w:jc w:val="both"/>
      </w:pPr>
      <w:r>
        <w:rPr>
          <w:b/>
          <w:sz w:val="32"/>
        </w:rPr>
        <w:t>2.</w:t>
      </w:r>
      <w:r>
        <w:rPr>
          <w:b/>
          <w:sz w:val="32"/>
        </w:rPr>
        <w:t>人员资质</w:t>
      </w:r>
    </w:p>
    <w:p>
      <w:pPr>
        <w:ind w:firstLine="640"/>
        <w:jc w:val="both"/>
      </w:pPr>
      <w:r>
        <w:rPr>
          <w:sz w:val="32"/>
        </w:rPr>
        <w:t>（</w:t>
      </w:r>
      <w:r>
        <w:rPr>
          <w:sz w:val="32"/>
        </w:rPr>
        <w:t>1</w:t>
      </w:r>
      <w:r>
        <w:rPr>
          <w:sz w:val="32"/>
        </w:rPr>
        <w:t>）乙方应配备与服务和运营相适应且具备相应从业资格的养老护理员、医师、护士、康复治疗师、社工等人员。其中</w:t>
      </w:r>
      <w:r>
        <w:rPr>
          <w:sz w:val="32"/>
        </w:rPr>
        <w:t>：</w:t>
      </w:r>
    </w:p>
    <w:p>
      <w:pPr>
        <w:ind w:firstLine="640"/>
        <w:jc w:val="both"/>
      </w:pPr>
      <w:r>
        <w:rPr>
          <w:sz w:val="32"/>
        </w:rPr>
        <w:t>①</w:t>
      </w:r>
      <w:r>
        <w:rPr>
          <w:sz w:val="32"/>
        </w:rPr>
        <w:t>提供医养康养、康复护理类服务的，应配备执业医生、执业护士、康复治疗师等专业人员</w:t>
      </w:r>
      <w:r>
        <w:rPr>
          <w:sz w:val="32"/>
        </w:rPr>
        <w:t>；</w:t>
      </w:r>
    </w:p>
    <w:p>
      <w:pPr>
        <w:ind w:firstLine="640"/>
        <w:jc w:val="both"/>
      </w:pPr>
      <w:r>
        <w:rPr>
          <w:sz w:val="32"/>
        </w:rPr>
        <w:t>②</w:t>
      </w:r>
      <w:r>
        <w:rPr>
          <w:sz w:val="32"/>
        </w:rPr>
        <w:t>提供助餐配餐服务的，从事接触直接入口食品工作的食品生产经营人员</w:t>
      </w:r>
      <w:r>
        <w:rPr>
          <w:sz w:val="32"/>
        </w:rPr>
        <w:t>100%</w:t>
      </w:r>
      <w:r>
        <w:rPr>
          <w:sz w:val="32"/>
        </w:rPr>
        <w:t>持有有效健康证</w:t>
      </w:r>
      <w:r>
        <w:rPr>
          <w:sz w:val="32"/>
        </w:rPr>
        <w:t>；</w:t>
      </w:r>
    </w:p>
    <w:p>
      <w:pPr>
        <w:ind w:firstLine="640"/>
        <w:jc w:val="both"/>
      </w:pPr>
      <w:r>
        <w:rPr>
          <w:sz w:val="32"/>
        </w:rPr>
        <w:t>③</w:t>
      </w:r>
      <w:r>
        <w:rPr>
          <w:sz w:val="32"/>
        </w:rPr>
        <w:t>养老服务向导应经民政部门培训后上岗</w:t>
      </w:r>
      <w:r>
        <w:rPr>
          <w:sz w:val="32"/>
        </w:rPr>
        <w:t>；</w:t>
      </w:r>
    </w:p>
    <w:p>
      <w:pPr>
        <w:ind w:firstLine="640"/>
        <w:jc w:val="both"/>
      </w:pPr>
      <w:r>
        <w:rPr>
          <w:sz w:val="32"/>
        </w:rPr>
        <w:t>④</w:t>
      </w:r>
      <w:r>
        <w:rPr>
          <w:sz w:val="32"/>
        </w:rPr>
        <w:t>养老护理员持证率</w:t>
      </w:r>
      <w:r>
        <w:rPr>
          <w:sz w:val="32"/>
        </w:rPr>
        <w:t>100%</w:t>
      </w:r>
      <w:r>
        <w:rPr>
          <w:sz w:val="32"/>
        </w:rPr>
        <w:t>；</w:t>
      </w:r>
    </w:p>
    <w:p>
      <w:pPr>
        <w:ind w:firstLine="640"/>
        <w:jc w:val="both"/>
      </w:pPr>
      <w:r>
        <w:rPr>
          <w:sz w:val="32"/>
        </w:rPr>
        <w:t>⑤</w:t>
      </w:r>
      <w:r>
        <w:rPr>
          <w:sz w:val="32"/>
        </w:rPr>
        <w:t>由具有财会专业教育背景或持有财会职业资格证书的财务人员管理财务</w:t>
      </w:r>
      <w:r>
        <w:rPr>
          <w:sz w:val="32"/>
        </w:rPr>
        <w:t>。</w:t>
      </w:r>
    </w:p>
    <w:p>
      <w:pPr>
        <w:ind w:firstLine="640"/>
        <w:jc w:val="both"/>
      </w:pPr>
      <w:r>
        <w:rPr>
          <w:sz w:val="32"/>
        </w:rPr>
        <w:t>（</w:t>
      </w:r>
      <w:r>
        <w:rPr>
          <w:sz w:val="32"/>
        </w:rPr>
        <w:t>2</w:t>
      </w:r>
      <w:r>
        <w:rPr>
          <w:sz w:val="32"/>
        </w:rPr>
        <w:t>）所有工作人员上岗前需接受不少于</w:t>
      </w:r>
      <w:r>
        <w:rPr>
          <w:sz w:val="32"/>
        </w:rPr>
        <w:t>10</w:t>
      </w:r>
      <w:r>
        <w:rPr>
          <w:sz w:val="32"/>
        </w:rPr>
        <w:t>学时的岗前培训，每年在岗培训时间不少于</w:t>
      </w:r>
      <w:r>
        <w:rPr>
          <w:sz w:val="32"/>
        </w:rPr>
        <w:t>1</w:t>
      </w:r>
      <w:r>
        <w:rPr>
          <w:sz w:val="32"/>
        </w:rPr>
        <w:t>5</w:t>
      </w:r>
      <w:r>
        <w:rPr>
          <w:sz w:val="32"/>
        </w:rPr>
        <w:t>学时。</w:t>
      </w:r>
    </w:p>
    <w:p>
      <w:pPr>
        <w:ind w:firstLine="640"/>
        <w:jc w:val="both"/>
      </w:pPr>
      <w:r>
        <w:rPr>
          <w:sz w:val="32"/>
        </w:rPr>
        <w:t>（</w:t>
      </w:r>
      <w:r>
        <w:rPr>
          <w:sz w:val="32"/>
        </w:rPr>
        <w:t>3</w:t>
      </w:r>
      <w:r>
        <w:rPr>
          <w:sz w:val="32"/>
        </w:rPr>
        <w:t>）乙方人员应当严格遵守本机构规章制度以及相关法律法规、职业操守、职业道德等，尊重服务对象，运用专业知识和技巧开展服务。</w:t>
      </w:r>
    </w:p>
    <w:p>
      <w:pPr>
        <w:ind w:firstLine="643"/>
        <w:jc w:val="both"/>
      </w:pPr>
      <w:r>
        <w:rPr>
          <w:b/>
          <w:sz w:val="32"/>
        </w:rPr>
        <w:t>（六）运营管理。</w:t>
      </w:r>
    </w:p>
    <w:p>
      <w:pPr>
        <w:ind w:firstLine="640"/>
        <w:jc w:val="both"/>
      </w:pPr>
      <w:r>
        <w:rPr>
          <w:sz w:val="32"/>
        </w:rPr>
        <w:t>1</w:t>
      </w:r>
      <w:r>
        <w:rPr>
          <w:sz w:val="32"/>
        </w:rPr>
        <w:t>.</w:t>
      </w:r>
      <w:r>
        <w:rPr>
          <w:sz w:val="32"/>
        </w:rPr>
        <w:t>乙方开展全托服务的，应当按照规定进行养老机构备案，并按养老机构相关政策和规范开展服务</w:t>
      </w:r>
      <w:r>
        <w:rPr>
          <w:sz w:val="32"/>
        </w:rPr>
        <w:t>。</w:t>
      </w:r>
    </w:p>
    <w:p>
      <w:pPr>
        <w:ind w:firstLine="640"/>
        <w:jc w:val="both"/>
      </w:pPr>
      <w:r>
        <w:rPr>
          <w:sz w:val="32"/>
        </w:rPr>
        <w:t>2</w:t>
      </w:r>
      <w:r>
        <w:rPr>
          <w:sz w:val="32"/>
        </w:rPr>
        <w:t>.</w:t>
      </w:r>
      <w:r>
        <w:rPr>
          <w:sz w:val="32"/>
        </w:rPr>
        <w:t>乙方应当规范使用广州市养老服务专用标识，在提供的服务场地室外醒目位置悬挂由区民政部门编号管理的全市统一养老标</w:t>
      </w:r>
      <w:r>
        <w:rPr>
          <w:sz w:val="32"/>
        </w:rPr>
        <w:t>。</w:t>
      </w:r>
    </w:p>
    <w:p>
      <w:pPr>
        <w:ind w:firstLine="640"/>
        <w:jc w:val="both"/>
      </w:pPr>
      <w:r>
        <w:rPr>
          <w:sz w:val="32"/>
        </w:rPr>
        <w:t>3</w:t>
      </w:r>
      <w:r>
        <w:rPr>
          <w:sz w:val="32"/>
        </w:rPr>
        <w:t>.</w:t>
      </w:r>
      <w:r>
        <w:rPr>
          <w:sz w:val="32"/>
        </w:rPr>
        <w:t>乙方应建立并实施相应安全管理制度，包括消防安全、服务防护、食品安全、感染控制、信息安全等方面。</w:t>
      </w:r>
    </w:p>
    <w:p>
      <w:pPr>
        <w:ind w:firstLine="640"/>
        <w:jc w:val="both"/>
      </w:pPr>
      <w:r>
        <w:rPr>
          <w:sz w:val="32"/>
        </w:rPr>
        <w:t>4</w:t>
      </w:r>
      <w:r>
        <w:rPr>
          <w:sz w:val="32"/>
        </w:rPr>
        <w:t>.</w:t>
      </w:r>
      <w:r>
        <w:rPr>
          <w:sz w:val="32"/>
        </w:rPr>
        <w:t>乙方应按规范使用广州市为老服务综合平台开展服务，确保服务数据、服务机构、服务设施、工作人员等信息</w:t>
      </w:r>
      <w:r>
        <w:rPr>
          <w:sz w:val="32"/>
        </w:rPr>
        <w:t>100%</w:t>
      </w:r>
      <w:r>
        <w:rPr>
          <w:sz w:val="32"/>
        </w:rPr>
        <w:t>，录入系统，并对数据的真实性、完整性、准确性负责。</w:t>
      </w:r>
    </w:p>
    <w:p>
      <w:pPr>
        <w:ind w:firstLine="640"/>
        <w:jc w:val="both"/>
      </w:pPr>
      <w:r>
        <w:rPr>
          <w:sz w:val="32"/>
        </w:rPr>
        <w:t>5</w:t>
      </w:r>
      <w:r>
        <w:rPr>
          <w:sz w:val="32"/>
        </w:rPr>
        <w:t>.</w:t>
      </w:r>
      <w:r>
        <w:rPr>
          <w:sz w:val="32"/>
        </w:rPr>
        <w:t>乙方承办镇综合养老服务中心</w:t>
      </w:r>
      <w:r>
        <w:rPr>
          <w:sz w:val="32"/>
        </w:rPr>
        <w:t>和</w:t>
      </w:r>
      <w:r>
        <w:rPr>
          <w:sz w:val="32"/>
        </w:rPr>
        <w:t>颐康服务站开展服务，应与甲方协商定价，收费标准符合普惠性养老服务要求，其中全托服务月收费标准（不含特需照护）不得高于广州城市常住居民上年度月人均可支配收入的</w:t>
      </w:r>
      <w:r>
        <w:rPr>
          <w:sz w:val="32"/>
        </w:rPr>
        <w:t>1.5</w:t>
      </w:r>
      <w:r>
        <w:rPr>
          <w:sz w:val="32"/>
        </w:rPr>
        <w:t>倍或整体收费价格不超过同等市场化价格的</w:t>
      </w:r>
      <w:r>
        <w:rPr>
          <w:sz w:val="32"/>
        </w:rPr>
        <w:t>70%</w:t>
      </w:r>
      <w:r>
        <w:rPr>
          <w:sz w:val="32"/>
        </w:rPr>
        <w:t>。乙方调整收费标准的，应经甲方书面同意后方可按最新收费标准执行。服务收费标准应在服务设施醒目位置进行公示。</w:t>
      </w:r>
    </w:p>
    <w:p>
      <w:pPr>
        <w:ind w:firstLine="640"/>
        <w:jc w:val="both"/>
      </w:pPr>
      <w:r>
        <w:rPr>
          <w:sz w:val="32"/>
        </w:rPr>
        <w:t>三、项目费用及支付方式</w:t>
      </w:r>
    </w:p>
    <w:p>
      <w:pPr>
        <w:ind w:firstLine="640"/>
        <w:jc w:val="both"/>
      </w:pPr>
      <w:r>
        <w:rPr>
          <w:sz w:val="32"/>
        </w:rPr>
        <w:t>本项目经费</w:t>
      </w:r>
      <w:r>
        <w:rPr>
          <w:sz w:val="32"/>
        </w:rPr>
        <w:t>含</w:t>
      </w:r>
      <w:r>
        <w:rPr>
          <w:sz w:val="32"/>
        </w:rPr>
        <w:t>服务设施运营经费、资助对象资助经费、服务奖励经费</w:t>
      </w:r>
      <w:r>
        <w:rPr>
          <w:sz w:val="32"/>
        </w:rPr>
        <w:t>、</w:t>
      </w:r>
      <w:r>
        <w:rPr>
          <w:sz w:val="32"/>
        </w:rPr>
        <w:t>助餐配餐服务</w:t>
      </w:r>
      <w:r>
        <w:rPr>
          <w:sz w:val="32"/>
        </w:rPr>
        <w:t>补贴</w:t>
      </w:r>
      <w:r>
        <w:rPr>
          <w:sz w:val="32"/>
        </w:rPr>
        <w:t>及由项目开展而产生的其他费用，由甲方按照下列方式向乙方支付，具体如下</w:t>
      </w:r>
      <w:r>
        <w:rPr>
          <w:sz w:val="32"/>
        </w:rPr>
        <w:t>：</w:t>
      </w:r>
    </w:p>
    <w:p>
      <w:pPr>
        <w:ind w:firstLine="643"/>
        <w:jc w:val="both"/>
      </w:pPr>
      <w:r>
        <w:rPr>
          <w:b/>
          <w:sz w:val="32"/>
        </w:rPr>
        <w:t>（一）运营经费。</w:t>
      </w:r>
    </w:p>
    <w:p>
      <w:pPr>
        <w:ind w:firstLine="640"/>
        <w:jc w:val="both"/>
      </w:pPr>
      <w:r>
        <w:rPr>
          <w:sz w:val="32"/>
        </w:rPr>
        <w:t>本项目运营经费合计</w:t>
      </w:r>
      <w:r>
        <w:rPr>
          <w:sz w:val="32"/>
          <w:u w:val="single"/>
        </w:rPr>
        <w:t>306.25</w:t>
      </w:r>
      <w:r>
        <w:rPr>
          <w:sz w:val="32"/>
          <w:u w:val="single"/>
        </w:rPr>
        <w:t>万元（</w:t>
      </w:r>
      <w:r>
        <w:rPr>
          <w:sz w:val="32"/>
          <w:u w:val="single"/>
        </w:rPr>
        <w:t>2</w:t>
      </w:r>
      <w:r>
        <w:rPr>
          <w:sz w:val="32"/>
          <w:u w:val="single"/>
        </w:rPr>
        <w:t>年</w:t>
      </w:r>
      <w:r>
        <w:rPr>
          <w:sz w:val="32"/>
          <w:u w:val="single"/>
        </w:rPr>
        <w:t>11</w:t>
      </w:r>
      <w:r>
        <w:rPr>
          <w:sz w:val="32"/>
          <w:u w:val="single"/>
        </w:rPr>
        <w:t>个月</w:t>
      </w:r>
      <w:r>
        <w:rPr>
          <w:sz w:val="32"/>
          <w:u w:val="single"/>
        </w:rPr>
        <w:t>）</w:t>
      </w:r>
      <w:r>
        <w:rPr>
          <w:sz w:val="32"/>
        </w:rPr>
        <w:t>，</w:t>
      </w:r>
      <w:r>
        <w:rPr>
          <w:sz w:val="32"/>
        </w:rPr>
        <w:t>以上级财政实际拨付为准。本年度拨付</w:t>
      </w:r>
      <w:r>
        <w:rPr>
          <w:sz w:val="32"/>
          <w:u w:val="single"/>
        </w:rPr>
        <w:t>96.25</w:t>
      </w:r>
      <w:r>
        <w:rPr>
          <w:sz w:val="32"/>
          <w:u w:val="single"/>
        </w:rPr>
        <w:t>万元</w:t>
      </w:r>
      <w:r>
        <w:rPr>
          <w:sz w:val="32"/>
        </w:rPr>
        <w:t>，包</w:t>
      </w:r>
      <w:r>
        <w:rPr>
          <w:sz w:val="32"/>
        </w:rPr>
        <w:t>含</w:t>
      </w:r>
      <w:r>
        <w:rPr>
          <w:sz w:val="32"/>
        </w:rPr>
        <w:t>人员经费、服务支持经费、专业支持经费、办公经费、设备维护经费及由项目开展而产生的其他费用。</w:t>
      </w:r>
      <w:r>
        <w:rPr>
          <w:sz w:val="32"/>
        </w:rPr>
        <w:t>社区（</w:t>
      </w:r>
      <w:r>
        <w:rPr>
          <w:sz w:val="32"/>
        </w:rPr>
        <w:t>村</w:t>
      </w:r>
      <w:r>
        <w:rPr>
          <w:sz w:val="32"/>
        </w:rPr>
        <w:t>）</w:t>
      </w:r>
      <w:r>
        <w:rPr>
          <w:sz w:val="32"/>
        </w:rPr>
        <w:t>颐康服务站</w:t>
      </w:r>
      <w:r>
        <w:rPr>
          <w:sz w:val="32"/>
        </w:rPr>
        <w:t>运营时间不足的按比例支付运营经费；未参加民政部门评估或评估为不合格</w:t>
      </w:r>
      <w:r>
        <w:rPr>
          <w:sz w:val="32"/>
        </w:rPr>
        <w:t>的</w:t>
      </w:r>
      <w:r>
        <w:rPr>
          <w:sz w:val="32"/>
        </w:rPr>
        <w:t>，扣除该颐康服务站</w:t>
      </w:r>
      <w:r>
        <w:rPr>
          <w:sz w:val="32"/>
        </w:rPr>
        <w:t>运营经费</w:t>
      </w:r>
      <w:r>
        <w:rPr>
          <w:sz w:val="32"/>
        </w:rPr>
        <w:t>。</w:t>
      </w:r>
    </w:p>
    <w:p>
      <w:pPr>
        <w:ind w:firstLine="640"/>
        <w:jc w:val="both"/>
      </w:pPr>
      <w:r>
        <w:rPr>
          <w:sz w:val="32"/>
        </w:rPr>
        <w:t>（</w:t>
      </w:r>
      <w:r>
        <w:rPr>
          <w:sz w:val="32"/>
        </w:rPr>
        <w:t>1</w:t>
      </w:r>
      <w:r>
        <w:rPr>
          <w:sz w:val="32"/>
        </w:rPr>
        <w:t>）第一笔款项</w:t>
      </w:r>
      <w:r>
        <w:rPr>
          <w:sz w:val="32"/>
        </w:rPr>
        <w:t>：</w:t>
      </w:r>
      <w:r>
        <w:rPr>
          <w:sz w:val="32"/>
        </w:rPr>
        <w:t>协议生效后在乙方开具等额有效的税务发票给甲方的</w:t>
      </w:r>
      <w:r>
        <w:rPr>
          <w:sz w:val="32"/>
          <w:u w:val="single"/>
        </w:rPr>
        <w:t>10</w:t>
      </w:r>
      <w:r>
        <w:rPr>
          <w:sz w:val="32"/>
        </w:rPr>
        <w:t>个工作日内，甲方向乙方支付本年度</w:t>
      </w:r>
      <w:r>
        <w:rPr>
          <w:sz w:val="32"/>
          <w:u w:val="single"/>
        </w:rPr>
        <w:t>太和镇综合养老服务中心（颐康中心）设施运营经费</w:t>
      </w:r>
      <w:r>
        <w:rPr>
          <w:sz w:val="32"/>
        </w:rPr>
        <w:t>，即人民币（大写）</w:t>
      </w:r>
      <w:r>
        <w:rPr>
          <w:sz w:val="32"/>
          <w:u w:val="single"/>
        </w:rPr>
        <w:t>叁拾陆万陆仟陆佰陆拾柒</w:t>
      </w:r>
      <w:r>
        <w:rPr>
          <w:sz w:val="32"/>
          <w:u w:val="single"/>
        </w:rPr>
        <w:t>元（</w:t>
      </w:r>
      <w:r>
        <w:rPr>
          <w:sz w:val="32"/>
          <w:u w:val="single"/>
        </w:rPr>
        <w:t>¥</w:t>
      </w:r>
      <w:r>
        <w:rPr>
          <w:sz w:val="32"/>
          <w:u w:val="single"/>
        </w:rPr>
        <w:t>366,667</w:t>
      </w:r>
      <w:r>
        <w:rPr>
          <w:sz w:val="32"/>
          <w:u w:val="single"/>
        </w:rPr>
        <w:t>元）</w:t>
      </w:r>
      <w:r>
        <w:rPr>
          <w:sz w:val="32"/>
        </w:rPr>
        <w:t>；</w:t>
      </w:r>
    </w:p>
    <w:p>
      <w:pPr>
        <w:ind w:firstLine="640"/>
        <w:jc w:val="both"/>
      </w:pPr>
      <w:r>
        <w:rPr>
          <w:sz w:val="32"/>
        </w:rPr>
        <w:t>（</w:t>
      </w:r>
      <w:r>
        <w:rPr>
          <w:sz w:val="32"/>
        </w:rPr>
        <w:t>2</w:t>
      </w:r>
      <w:r>
        <w:rPr>
          <w:sz w:val="32"/>
        </w:rPr>
        <w:t>）第二笔款项</w:t>
      </w:r>
      <w:r>
        <w:rPr>
          <w:sz w:val="32"/>
        </w:rPr>
        <w:t>：本协议</w:t>
      </w:r>
      <w:r>
        <w:rPr>
          <w:sz w:val="32"/>
        </w:rPr>
        <w:t>期满后，甲方验收确认乙方完成本项目内容，在乙方开具等额有效的税务发票给甲方的</w:t>
      </w:r>
      <w:r>
        <w:rPr>
          <w:sz w:val="32"/>
          <w:u w:val="single"/>
        </w:rPr>
        <w:t>10</w:t>
      </w:r>
      <w:r>
        <w:rPr>
          <w:sz w:val="32"/>
        </w:rPr>
        <w:t>个工作日内，向乙方支付本年度</w:t>
      </w:r>
      <w:r>
        <w:rPr>
          <w:sz w:val="32"/>
          <w:u w:val="single"/>
        </w:rPr>
        <w:t>社区（村）颐康服务站设施运营经费</w:t>
      </w:r>
      <w:r>
        <w:rPr>
          <w:sz w:val="32"/>
        </w:rPr>
        <w:t>，即人民币（大写）</w:t>
      </w:r>
      <w:r>
        <w:rPr>
          <w:sz w:val="32"/>
          <w:u w:val="single"/>
        </w:rPr>
        <w:t>伍拾玖万伍仟捌佰叁拾叁</w:t>
      </w:r>
      <w:r>
        <w:rPr>
          <w:sz w:val="32"/>
          <w:u w:val="single"/>
        </w:rPr>
        <w:t>元（</w:t>
      </w:r>
      <w:r>
        <w:rPr>
          <w:sz w:val="32"/>
          <w:u w:val="single"/>
        </w:rPr>
        <w:t>¥</w:t>
      </w:r>
      <w:r>
        <w:rPr>
          <w:sz w:val="32"/>
          <w:u w:val="single"/>
        </w:rPr>
        <w:t>595,833</w:t>
      </w:r>
      <w:r>
        <w:rPr>
          <w:sz w:val="32"/>
          <w:u w:val="single"/>
        </w:rPr>
        <w:t>元）</w:t>
      </w:r>
      <w:r>
        <w:rPr>
          <w:sz w:val="32"/>
        </w:rPr>
        <w:t>。</w:t>
      </w:r>
    </w:p>
    <w:p>
      <w:pPr>
        <w:ind w:firstLine="643"/>
        <w:jc w:val="both"/>
      </w:pPr>
      <w:r>
        <w:rPr>
          <w:b/>
          <w:sz w:val="32"/>
        </w:rPr>
        <w:t>（二）政府购买服务资助。</w:t>
      </w:r>
      <w:r>
        <w:rPr>
          <w:sz w:val="32"/>
        </w:rPr>
        <w:t>乙方的服务对象属《广州市居家社区养老服务管理办法》规定的政府购买服务资助对象的，资助标准按规定执行。资助费用由甲方按照财务管理规定，以乙方与资助对象的服务协议、市为老服务平台服务记录为依据，每月支付给乙方。</w:t>
      </w:r>
    </w:p>
    <w:p>
      <w:pPr>
        <w:ind w:firstLine="643"/>
        <w:jc w:val="both"/>
      </w:pPr>
      <w:r>
        <w:rPr>
          <w:b/>
          <w:sz w:val="32"/>
        </w:rPr>
        <w:t>（三）服务奖励。</w:t>
      </w:r>
      <w:r>
        <w:rPr>
          <w:sz w:val="32"/>
        </w:rPr>
        <w:t>乙方运营</w:t>
      </w:r>
      <w:r>
        <w:rPr>
          <w:sz w:val="32"/>
          <w:u w:val="single"/>
        </w:rPr>
        <w:t>镇</w:t>
      </w:r>
      <w:r>
        <w:rPr>
          <w:sz w:val="32"/>
          <w:u w:val="single"/>
        </w:rPr>
        <w:t>级、社区</w:t>
      </w:r>
      <w:r>
        <w:rPr>
          <w:sz w:val="32"/>
          <w:u w:val="single"/>
        </w:rPr>
        <w:t>（村</w:t>
      </w:r>
      <w:r>
        <w:rPr>
          <w:sz w:val="32"/>
          <w:u w:val="single"/>
        </w:rPr>
        <w:t>）级</w:t>
      </w:r>
      <w:r>
        <w:rPr>
          <w:sz w:val="32"/>
        </w:rPr>
        <w:t>服务设施且经民政部门组织评估为合格及以上等级的，可以根据《广州市居家社区养老服务管理办法》规定享受相应等级的服务奖励，运营时间不足的按比例支付奖励资金。服务奖励由甲方按照《广州市居家社区养老服务管理办法》和财政相关规定拨付给乙方</w:t>
      </w:r>
      <w:r>
        <w:rPr>
          <w:sz w:val="32"/>
        </w:rPr>
        <w:t>。</w:t>
      </w:r>
    </w:p>
    <w:p>
      <w:pPr>
        <w:ind w:firstLine="643"/>
        <w:jc w:val="both"/>
      </w:pPr>
      <w:r>
        <w:rPr>
          <w:b/>
          <w:sz w:val="32"/>
        </w:rPr>
        <w:t>（四）助餐配餐服务补贴。</w:t>
      </w:r>
      <w:r>
        <w:rPr>
          <w:sz w:val="32"/>
        </w:rPr>
        <w:t>乙方提供助餐配餐服务的对象属于《广州市老年人助餐配餐服务管理办法》、《广州市残疾人联合会</w:t>
      </w:r>
      <w:r>
        <w:rPr>
          <w:sz w:val="32"/>
        </w:rPr>
        <w:t>广州市民政局</w:t>
      </w:r>
      <w:r>
        <w:rPr>
          <w:sz w:val="32"/>
        </w:rPr>
        <w:t>广州市财政局关于明确重度残疾人助餐配餐服务相关事项的通知》规定的政府资助对象的，享受相关财政补贴（包括就餐补贴、运营补贴、送餐补贴）。就餐补贴标准如下表。补贴费用</w:t>
      </w:r>
      <w:r>
        <w:rPr>
          <w:sz w:val="32"/>
        </w:rPr>
        <w:t>由甲方按照财务管理规定，以市为老服务平台服务记录为依据，每月支付给乙方。</w:t>
      </w:r>
    </w:p>
    <w:tbl>
      <w:tblPr>
        <w:tblW w:w="0" w:type="auto"/>
        <w:tblBorders>
          <w:top w:val="none" w:color="000000" w:sz="4"/>
          <w:left w:val="none" w:color="000000" w:sz="4"/>
          <w:bottom w:val="none" w:color="000000" w:sz="4"/>
          <w:right w:val="none" w:color="000000" w:sz="4"/>
          <w:insideH w:val="none"/>
          <w:insideV w:val="none"/>
        </w:tblBorders>
      </w:tblPr>
      <w:tblGrid>
        <w:gridCol w:w="4748"/>
        <w:gridCol w:w="1256"/>
        <w:gridCol w:w="1116"/>
        <w:gridCol w:w="1186"/>
      </w:tblGrid>
      <w:tr>
        <w:tc>
          <w:tcPr>
            <w:tcW w:type="dxa" w:w="4748"/>
            <w:tcBorders>
              <w:top w:val="single" w:color="000000" w:sz="4"/>
              <w:left w:val="single" w:color="000000" w:sz="4"/>
              <w:bottom w:val="single" w:color="000000" w:sz="4"/>
              <w:right w:val="single" w:color="000000" w:sz="4"/>
            </w:tcBorders>
            <w:vAlign w:val="top"/>
          </w:tcPr>
          <w:p>
            <w:pPr>
              <w:jc w:val="center"/>
            </w:pPr>
            <w:r>
              <w:rPr>
                <w:b/>
                <w:sz w:val="24"/>
              </w:rPr>
              <w:t>人员类型</w:t>
            </w:r>
          </w:p>
        </w:tc>
        <w:tc>
          <w:tcPr>
            <w:tcW w:type="dxa" w:w="1256"/>
            <w:tcBorders>
              <w:top w:val="single" w:color="000000" w:sz="4"/>
              <w:left w:val="none" w:color="000000" w:sz="4"/>
              <w:bottom w:val="single" w:color="000000" w:sz="4"/>
              <w:right w:val="single" w:color="000000" w:sz="4"/>
            </w:tcBorders>
            <w:vAlign w:val="top"/>
          </w:tcPr>
          <w:p>
            <w:pPr>
              <w:jc w:val="center"/>
            </w:pPr>
            <w:r>
              <w:rPr>
                <w:b/>
                <w:sz w:val="24"/>
              </w:rPr>
              <w:t>市补助</w:t>
            </w:r>
          </w:p>
          <w:p>
            <w:pPr>
              <w:jc w:val="center"/>
            </w:pPr>
            <w:r>
              <w:rPr>
                <w:b/>
                <w:sz w:val="24"/>
              </w:rPr>
              <w:t>（元</w:t>
            </w:r>
            <w:r>
              <w:rPr>
                <w:b/>
                <w:sz w:val="24"/>
              </w:rPr>
              <w:t>/餐）</w:t>
            </w:r>
          </w:p>
        </w:tc>
        <w:tc>
          <w:tcPr>
            <w:tcW w:type="dxa" w:w="1116"/>
            <w:tcBorders>
              <w:top w:val="single" w:color="000000" w:sz="4"/>
              <w:left w:val="none" w:color="000000" w:sz="4"/>
              <w:bottom w:val="single" w:color="000000" w:sz="4"/>
              <w:right w:val="single" w:color="000000" w:sz="4"/>
            </w:tcBorders>
            <w:vAlign w:val="top"/>
          </w:tcPr>
          <w:p>
            <w:pPr>
              <w:jc w:val="center"/>
            </w:pPr>
            <w:r>
              <w:rPr>
                <w:b/>
                <w:sz w:val="24"/>
              </w:rPr>
              <w:t>镇补助</w:t>
            </w:r>
          </w:p>
          <w:p>
            <w:pPr>
              <w:jc w:val="center"/>
            </w:pPr>
            <w:r>
              <w:rPr>
                <w:b/>
                <w:sz w:val="24"/>
              </w:rPr>
              <w:t>（元</w:t>
            </w:r>
            <w:r>
              <w:rPr>
                <w:b/>
                <w:sz w:val="24"/>
              </w:rPr>
              <w:t>/餐）</w:t>
            </w:r>
          </w:p>
        </w:tc>
        <w:tc>
          <w:tcPr>
            <w:tcW w:type="dxa" w:w="1186"/>
            <w:tcBorders>
              <w:top w:val="single" w:color="000000" w:sz="4"/>
              <w:left w:val="none" w:color="000000" w:sz="4"/>
              <w:bottom w:val="single" w:color="000000" w:sz="4"/>
              <w:right w:val="single" w:color="000000" w:sz="4"/>
            </w:tcBorders>
            <w:vAlign w:val="top"/>
          </w:tcPr>
          <w:p>
            <w:pPr>
              <w:jc w:val="center"/>
            </w:pPr>
            <w:r>
              <w:rPr>
                <w:b/>
                <w:sz w:val="24"/>
              </w:rPr>
              <w:t>自费</w:t>
            </w:r>
          </w:p>
          <w:p>
            <w:pPr>
              <w:jc w:val="center"/>
            </w:pPr>
            <w:r>
              <w:rPr>
                <w:b/>
                <w:sz w:val="24"/>
              </w:rPr>
              <w:t>（元</w:t>
            </w:r>
            <w:r>
              <w:rPr>
                <w:b/>
                <w:sz w:val="24"/>
              </w:rPr>
              <w:t>/餐）</w:t>
            </w:r>
          </w:p>
        </w:tc>
      </w:tr>
      <w:tr>
        <w:tc>
          <w:tcPr>
            <w:tcW w:type="dxa" w:w="4748"/>
            <w:tcBorders>
              <w:top w:val="none" w:color="000000" w:sz="4"/>
              <w:left w:val="single" w:color="000000" w:sz="4"/>
              <w:bottom w:val="single" w:color="000000" w:sz="4"/>
              <w:right w:val="single" w:color="000000" w:sz="4"/>
            </w:tcBorders>
            <w:vAlign w:val="top"/>
          </w:tcPr>
          <w:p>
            <w:pPr>
              <w:jc w:val="left"/>
            </w:pPr>
            <w:r>
              <w:rPr>
                <w:sz w:val="24"/>
              </w:rPr>
              <w:t>太和镇户籍并持有特困证、残疾证、低保证、优抚证的</w:t>
            </w:r>
            <w:r>
              <w:rPr>
                <w:sz w:val="24"/>
              </w:rPr>
              <w:t>60岁及以上长者，太和镇户籍18-59岁持重度残疾人证的人士</w:t>
            </w:r>
          </w:p>
        </w:tc>
        <w:tc>
          <w:tcPr>
            <w:tcW w:type="dxa" w:w="1256"/>
            <w:tcBorders>
              <w:top w:val="none" w:color="000000" w:sz="4"/>
              <w:left w:val="none" w:color="000000" w:sz="4"/>
              <w:bottom w:val="single" w:color="000000" w:sz="4"/>
              <w:right w:val="single" w:color="000000" w:sz="4"/>
            </w:tcBorders>
            <w:vAlign w:val="top"/>
          </w:tcPr>
          <w:p>
            <w:pPr>
              <w:jc w:val="center"/>
            </w:pPr>
            <w:r>
              <w:rPr>
                <w:sz w:val="24"/>
              </w:rPr>
              <w:t>3</w:t>
            </w:r>
          </w:p>
        </w:tc>
        <w:tc>
          <w:tcPr>
            <w:tcW w:type="dxa" w:w="1116"/>
            <w:tcBorders>
              <w:top w:val="none" w:color="000000" w:sz="4"/>
              <w:left w:val="none" w:color="000000" w:sz="4"/>
              <w:bottom w:val="single" w:color="000000" w:sz="4"/>
              <w:right w:val="single" w:color="000000" w:sz="4"/>
            </w:tcBorders>
            <w:vAlign w:val="top"/>
          </w:tcPr>
          <w:p>
            <w:pPr>
              <w:jc w:val="center"/>
            </w:pPr>
            <w:r>
              <w:rPr>
                <w:sz w:val="24"/>
              </w:rPr>
              <w:t>8</w:t>
            </w:r>
          </w:p>
        </w:tc>
        <w:tc>
          <w:tcPr>
            <w:tcW w:type="dxa" w:w="1186"/>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4748"/>
            <w:tcBorders>
              <w:top w:val="none" w:color="000000" w:sz="4"/>
              <w:left w:val="single" w:color="000000" w:sz="4"/>
              <w:bottom w:val="single" w:color="000000" w:sz="4"/>
              <w:right w:val="single" w:color="000000" w:sz="4"/>
            </w:tcBorders>
            <w:vAlign w:val="top"/>
          </w:tcPr>
          <w:p>
            <w:pPr>
              <w:jc w:val="left"/>
            </w:pPr>
            <w:r>
              <w:rPr>
                <w:sz w:val="24"/>
              </w:rPr>
              <w:t>太和镇户籍的</w:t>
            </w:r>
            <w:r>
              <w:rPr>
                <w:sz w:val="24"/>
              </w:rPr>
              <w:t>60岁及以上长者</w:t>
            </w:r>
          </w:p>
        </w:tc>
        <w:tc>
          <w:tcPr>
            <w:tcW w:type="dxa" w:w="1256"/>
            <w:tcBorders>
              <w:top w:val="none" w:color="000000" w:sz="4"/>
              <w:left w:val="none" w:color="000000" w:sz="4"/>
              <w:bottom w:val="single" w:color="000000" w:sz="4"/>
              <w:right w:val="single" w:color="000000" w:sz="4"/>
            </w:tcBorders>
            <w:vAlign w:val="top"/>
          </w:tcPr>
          <w:p>
            <w:pPr>
              <w:jc w:val="center"/>
            </w:pPr>
            <w:r>
              <w:rPr>
                <w:sz w:val="24"/>
              </w:rPr>
              <w:t>3</w:t>
            </w:r>
          </w:p>
        </w:tc>
        <w:tc>
          <w:tcPr>
            <w:tcW w:type="dxa" w:w="1116"/>
            <w:tcBorders>
              <w:top w:val="none" w:color="000000" w:sz="4"/>
              <w:left w:val="none" w:color="000000" w:sz="4"/>
              <w:bottom w:val="single" w:color="000000" w:sz="4"/>
              <w:right w:val="single" w:color="000000" w:sz="4"/>
            </w:tcBorders>
            <w:vAlign w:val="top"/>
          </w:tcPr>
          <w:p>
            <w:pPr>
              <w:jc w:val="center"/>
            </w:pPr>
            <w:r>
              <w:rPr>
                <w:sz w:val="24"/>
              </w:rPr>
              <w:t>5</w:t>
            </w:r>
          </w:p>
        </w:tc>
        <w:tc>
          <w:tcPr>
            <w:tcW w:type="dxa" w:w="1186"/>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4748"/>
            <w:tcBorders>
              <w:top w:val="none" w:color="000000" w:sz="4"/>
              <w:left w:val="single" w:color="000000" w:sz="4"/>
              <w:bottom w:val="single" w:color="000000" w:sz="4"/>
              <w:right w:val="single" w:color="000000" w:sz="4"/>
            </w:tcBorders>
            <w:vAlign w:val="top"/>
          </w:tcPr>
          <w:p>
            <w:pPr>
              <w:jc w:val="left"/>
            </w:pPr>
            <w:r>
              <w:rPr>
                <w:sz w:val="24"/>
              </w:rPr>
              <w:t>广州市户籍（非太和镇户籍）</w:t>
            </w:r>
            <w:r>
              <w:rPr>
                <w:sz w:val="24"/>
              </w:rPr>
              <w:t>60岁及以上长者，广州市户籍（非太和镇户籍）18-59岁持重度残疾人证的人士</w:t>
            </w:r>
          </w:p>
        </w:tc>
        <w:tc>
          <w:tcPr>
            <w:tcW w:type="dxa" w:w="1256"/>
            <w:tcBorders>
              <w:top w:val="none" w:color="000000" w:sz="4"/>
              <w:left w:val="none" w:color="000000" w:sz="4"/>
              <w:bottom w:val="single" w:color="000000" w:sz="4"/>
              <w:right w:val="single" w:color="000000" w:sz="4"/>
            </w:tcBorders>
            <w:vAlign w:val="top"/>
          </w:tcPr>
          <w:p>
            <w:pPr>
              <w:jc w:val="center"/>
            </w:pPr>
            <w:r>
              <w:rPr>
                <w:sz w:val="24"/>
              </w:rPr>
              <w:t>3</w:t>
            </w:r>
          </w:p>
        </w:tc>
        <w:tc>
          <w:tcPr>
            <w:tcW w:type="dxa" w:w="1116"/>
            <w:tcBorders>
              <w:top w:val="none" w:color="000000" w:sz="4"/>
              <w:left w:val="none" w:color="000000" w:sz="4"/>
              <w:bottom w:val="single" w:color="000000" w:sz="4"/>
              <w:right w:val="single" w:color="000000" w:sz="4"/>
            </w:tcBorders>
            <w:vAlign w:val="top"/>
          </w:tcPr>
          <w:p>
            <w:pPr>
              <w:jc w:val="center"/>
            </w:pPr>
            <w:r>
              <w:rPr>
                <w:sz w:val="24"/>
              </w:rPr>
              <w:t>0</w:t>
            </w:r>
          </w:p>
        </w:tc>
        <w:tc>
          <w:tcPr>
            <w:tcW w:type="dxa" w:w="1186"/>
            <w:tcBorders>
              <w:top w:val="none" w:color="000000" w:sz="4"/>
              <w:left w:val="none" w:color="000000" w:sz="4"/>
              <w:bottom w:val="single" w:color="000000" w:sz="4"/>
              <w:right w:val="single" w:color="000000" w:sz="4"/>
            </w:tcBorders>
            <w:vAlign w:val="top"/>
          </w:tcPr>
          <w:p>
            <w:pPr>
              <w:jc w:val="center"/>
            </w:pPr>
            <w:r>
              <w:rPr>
                <w:sz w:val="24"/>
              </w:rPr>
              <w:t>10</w:t>
            </w:r>
          </w:p>
        </w:tc>
      </w:tr>
      <w:tr>
        <w:tc>
          <w:tcPr>
            <w:tcW w:type="dxa" w:w="4748"/>
            <w:tcBorders>
              <w:top w:val="none" w:color="000000" w:sz="4"/>
              <w:left w:val="single" w:color="000000" w:sz="4"/>
              <w:bottom w:val="single" w:color="000000" w:sz="4"/>
              <w:right w:val="single" w:color="000000" w:sz="4"/>
            </w:tcBorders>
            <w:vAlign w:val="top"/>
          </w:tcPr>
          <w:p>
            <w:pPr>
              <w:jc w:val="left"/>
            </w:pPr>
            <w:r>
              <w:rPr>
                <w:sz w:val="24"/>
              </w:rPr>
              <w:t>非广州市户籍</w:t>
            </w:r>
            <w:r>
              <w:rPr>
                <w:sz w:val="24"/>
              </w:rPr>
              <w:t>60岁及以上长者</w:t>
            </w:r>
          </w:p>
        </w:tc>
        <w:tc>
          <w:tcPr>
            <w:tcW w:type="dxa" w:w="1256"/>
            <w:tcBorders>
              <w:top w:val="none" w:color="000000" w:sz="4"/>
              <w:left w:val="none" w:color="000000" w:sz="4"/>
              <w:bottom w:val="single" w:color="000000" w:sz="4"/>
              <w:right w:val="single" w:color="000000" w:sz="4"/>
            </w:tcBorders>
            <w:vAlign w:val="top"/>
          </w:tcPr>
          <w:p>
            <w:pPr>
              <w:jc w:val="center"/>
            </w:pPr>
            <w:r>
              <w:rPr>
                <w:sz w:val="24"/>
              </w:rPr>
              <w:t>0</w:t>
            </w:r>
          </w:p>
        </w:tc>
        <w:tc>
          <w:tcPr>
            <w:tcW w:type="dxa" w:w="1116"/>
            <w:tcBorders>
              <w:top w:val="none" w:color="000000" w:sz="4"/>
              <w:left w:val="none" w:color="000000" w:sz="4"/>
              <w:bottom w:val="single" w:color="000000" w:sz="4"/>
              <w:right w:val="single" w:color="000000" w:sz="4"/>
            </w:tcBorders>
            <w:vAlign w:val="top"/>
          </w:tcPr>
          <w:p>
            <w:pPr>
              <w:jc w:val="center"/>
            </w:pPr>
            <w:r>
              <w:rPr>
                <w:sz w:val="24"/>
              </w:rPr>
              <w:t>0</w:t>
            </w:r>
          </w:p>
        </w:tc>
        <w:tc>
          <w:tcPr>
            <w:tcW w:type="dxa" w:w="1186"/>
            <w:tcBorders>
              <w:top w:val="none" w:color="000000" w:sz="4"/>
              <w:left w:val="none" w:color="000000" w:sz="4"/>
              <w:bottom w:val="single" w:color="000000" w:sz="4"/>
              <w:right w:val="single" w:color="000000" w:sz="4"/>
            </w:tcBorders>
            <w:vAlign w:val="top"/>
          </w:tcPr>
          <w:p>
            <w:pPr>
              <w:jc w:val="center"/>
            </w:pPr>
            <w:r>
              <w:rPr>
                <w:sz w:val="24"/>
              </w:rPr>
              <w:t>13</w:t>
            </w:r>
          </w:p>
        </w:tc>
      </w:tr>
    </w:tbl>
    <w:p>
      <w:pPr>
        <w:ind w:firstLine="643"/>
        <w:jc w:val="both"/>
      </w:pPr>
      <w:r>
        <w:rPr>
          <w:b/>
          <w:sz w:val="32"/>
        </w:rPr>
        <w:t>（五）乙方指定账户为：</w:t>
      </w:r>
    </w:p>
    <w:p>
      <w:pPr>
        <w:ind w:firstLine="640"/>
        <w:jc w:val="both"/>
      </w:pPr>
      <w:r>
        <w:rPr>
          <w:sz w:val="32"/>
        </w:rPr>
        <w:t>账户名称</w:t>
      </w:r>
      <w:r>
        <w:rPr>
          <w:sz w:val="32"/>
        </w:rPr>
        <w:t>：</w:t>
      </w:r>
      <w:r>
        <w:rPr>
          <w:sz w:val="32"/>
        </w:rPr>
        <w:t>________________________________</w:t>
      </w:r>
    </w:p>
    <w:p>
      <w:pPr>
        <w:ind w:firstLine="640"/>
        <w:jc w:val="both"/>
      </w:pPr>
      <w:r>
        <w:rPr>
          <w:sz w:val="32"/>
        </w:rPr>
        <w:t>银行账号</w:t>
      </w:r>
      <w:r>
        <w:rPr>
          <w:sz w:val="32"/>
        </w:rPr>
        <w:t>：</w:t>
      </w:r>
      <w:r>
        <w:rPr>
          <w:sz w:val="32"/>
        </w:rPr>
        <w:t>________________________________</w:t>
      </w:r>
    </w:p>
    <w:p>
      <w:pPr>
        <w:ind w:firstLine="640"/>
        <w:jc w:val="both"/>
      </w:pPr>
      <w:r>
        <w:rPr>
          <w:sz w:val="32"/>
        </w:rPr>
        <w:t>开户银行</w:t>
      </w:r>
      <w:r>
        <w:rPr>
          <w:sz w:val="32"/>
        </w:rPr>
        <w:t>：</w:t>
      </w:r>
      <w:r>
        <w:rPr>
          <w:sz w:val="32"/>
        </w:rPr>
        <w:t>________________________________</w:t>
      </w:r>
    </w:p>
    <w:p>
      <w:pPr>
        <w:ind w:firstLine="640"/>
        <w:jc w:val="both"/>
      </w:pPr>
      <w:r>
        <w:rPr>
          <w:sz w:val="32"/>
        </w:rPr>
        <w:t>乙方账户发生变更的，应当向甲方出具书面说明。</w:t>
      </w:r>
    </w:p>
    <w:p>
      <w:pPr>
        <w:ind w:firstLine="640"/>
        <w:jc w:val="both"/>
      </w:pPr>
      <w:r>
        <w:rPr>
          <w:sz w:val="32"/>
        </w:rPr>
        <w:t>因甲方使用的是财政资金，甲方在前款规定的付款时间为向政府财政支付部门提出办理财政支付申请手续的时间</w:t>
      </w:r>
      <w:r>
        <w:rPr>
          <w:sz w:val="32"/>
        </w:rPr>
        <w:t>（</w:t>
      </w:r>
      <w:r>
        <w:rPr>
          <w:sz w:val="32"/>
        </w:rPr>
        <w:t>不含政府财政支付部门审核的时间</w:t>
      </w:r>
      <w:r>
        <w:rPr>
          <w:sz w:val="32"/>
        </w:rPr>
        <w:t>）</w:t>
      </w:r>
      <w:r>
        <w:rPr>
          <w:sz w:val="32"/>
        </w:rPr>
        <w:t>，</w:t>
      </w:r>
      <w:r>
        <w:rPr>
          <w:sz w:val="32"/>
        </w:rPr>
        <w:t>待完成财政支付审批手续后，甲方在</w:t>
      </w:r>
      <w:r>
        <w:rPr>
          <w:sz w:val="32"/>
        </w:rPr>
        <w:t>10</w:t>
      </w:r>
      <w:r>
        <w:rPr>
          <w:sz w:val="32"/>
        </w:rPr>
        <w:t>个工作日内向乙方付款</w:t>
      </w:r>
      <w:r>
        <w:rPr>
          <w:sz w:val="32"/>
        </w:rPr>
        <w:t>。</w:t>
      </w:r>
    </w:p>
    <w:p>
      <w:pPr>
        <w:ind w:firstLine="640"/>
        <w:jc w:val="both"/>
      </w:pPr>
      <w:r>
        <w:rPr>
          <w:sz w:val="32"/>
        </w:rPr>
        <w:t>四、甲方权利和义务</w:t>
      </w:r>
    </w:p>
    <w:p>
      <w:pPr>
        <w:ind w:firstLine="640"/>
        <w:jc w:val="both"/>
      </w:pPr>
      <w:r>
        <w:rPr>
          <w:sz w:val="32"/>
        </w:rPr>
        <w:t>（一）甲方有权自行组织或委托第三方专业机构对乙方建设的社区养老服务设施进行验收、检查，对项目运营情况进行监督管理，并提出建议意见。</w:t>
      </w:r>
    </w:p>
    <w:p>
      <w:pPr>
        <w:ind w:firstLine="640"/>
        <w:jc w:val="both"/>
      </w:pPr>
      <w:r>
        <w:rPr>
          <w:sz w:val="32"/>
        </w:rPr>
        <w:t>（二）甲方有权根据政策调整或上级规定，要求乙方完善服务形式及服务内容、提升服务质量。</w:t>
      </w:r>
    </w:p>
    <w:p>
      <w:pPr>
        <w:ind w:firstLine="640"/>
        <w:jc w:val="both"/>
      </w:pPr>
      <w:r>
        <w:rPr>
          <w:sz w:val="32"/>
        </w:rPr>
        <w:t>（三）甲方有权要求乙方提供与该项目相关的资料。</w:t>
      </w:r>
    </w:p>
    <w:p>
      <w:pPr>
        <w:ind w:firstLine="640"/>
        <w:jc w:val="both"/>
      </w:pPr>
      <w:r>
        <w:rPr>
          <w:sz w:val="32"/>
        </w:rPr>
        <w:t>（四）甲方对乙方不履行协议、不正确履行协议、不完全履行协议等行为，有权要求乙方立即更正，采取补救措施。</w:t>
      </w:r>
    </w:p>
    <w:p>
      <w:pPr>
        <w:ind w:firstLine="640"/>
        <w:jc w:val="both"/>
      </w:pPr>
      <w:r>
        <w:rPr>
          <w:sz w:val="32"/>
        </w:rPr>
        <w:t>（五）甲方应当按协议约定及时向乙方支付协议款项。</w:t>
      </w:r>
    </w:p>
    <w:p>
      <w:pPr>
        <w:ind w:firstLine="640"/>
        <w:jc w:val="both"/>
      </w:pPr>
      <w:r>
        <w:rPr>
          <w:sz w:val="32"/>
        </w:rPr>
        <w:t>（六）甲方应当按照规定协助乙方申请相应的政府补贴、补助、奖励、税费减免、价格优惠、小微企业财税优惠或者其他资金支持、优惠等</w:t>
      </w:r>
      <w:r>
        <w:rPr>
          <w:sz w:val="32"/>
        </w:rPr>
        <w:t>。</w:t>
      </w:r>
    </w:p>
    <w:p>
      <w:pPr>
        <w:ind w:firstLine="640"/>
        <w:jc w:val="both"/>
      </w:pPr>
      <w:r>
        <w:rPr>
          <w:sz w:val="32"/>
        </w:rPr>
        <w:t>（七）乙方符合相关政策规定的，甲方应当协助乙方申请办理养老机构备案、长护险定点机构、医保定点机构等资质，协助乙方办理场地设施规划管理审批、消防审验、建筑安全等相关手续。</w:t>
      </w:r>
    </w:p>
    <w:p>
      <w:pPr>
        <w:ind w:firstLine="640"/>
        <w:jc w:val="both"/>
      </w:pPr>
      <w:r>
        <w:rPr>
          <w:sz w:val="32"/>
        </w:rPr>
        <w:t>（八）甲方应当为乙方承办项目提供必要协助</w:t>
      </w:r>
      <w:r>
        <w:rPr>
          <w:sz w:val="32"/>
        </w:rPr>
        <w:t>：</w:t>
      </w:r>
      <w:r>
        <w:rPr>
          <w:sz w:val="32"/>
        </w:rPr>
        <w:t>1.</w:t>
      </w:r>
      <w:r>
        <w:rPr>
          <w:sz w:val="32"/>
        </w:rPr>
        <w:t>及时传达最新政策要求，对乙方进行业务指导和技术支持</w:t>
      </w:r>
      <w:r>
        <w:rPr>
          <w:sz w:val="32"/>
        </w:rPr>
        <w:t>；</w:t>
      </w:r>
      <w:r>
        <w:rPr>
          <w:sz w:val="32"/>
        </w:rPr>
        <w:t>2.</w:t>
      </w:r>
      <w:r>
        <w:rPr>
          <w:sz w:val="32"/>
        </w:rPr>
        <w:t>提供本项目开展所需资料</w:t>
      </w:r>
      <w:r>
        <w:rPr>
          <w:sz w:val="32"/>
        </w:rPr>
        <w:t>；</w:t>
      </w:r>
      <w:r>
        <w:rPr>
          <w:sz w:val="32"/>
        </w:rPr>
        <w:t>3.</w:t>
      </w:r>
      <w:r>
        <w:rPr>
          <w:sz w:val="32"/>
        </w:rPr>
        <w:t>提供乙方工作人员出入开展工作有关场所的便利</w:t>
      </w:r>
      <w:r>
        <w:rPr>
          <w:sz w:val="32"/>
        </w:rPr>
        <w:t>；</w:t>
      </w:r>
      <w:r>
        <w:rPr>
          <w:sz w:val="32"/>
        </w:rPr>
        <w:t>4.</w:t>
      </w:r>
      <w:r>
        <w:rPr>
          <w:sz w:val="32"/>
        </w:rPr>
        <w:t>统筹协调乙方与相关社区养老服务设施运营项目承接方共同联合开展服务或者做好服务衔接、资源整合等工作</w:t>
      </w:r>
      <w:r>
        <w:rPr>
          <w:sz w:val="32"/>
        </w:rPr>
        <w:t>；</w:t>
      </w:r>
      <w:r>
        <w:rPr>
          <w:sz w:val="32"/>
        </w:rPr>
        <w:t>5.</w:t>
      </w:r>
      <w:r>
        <w:rPr>
          <w:sz w:val="32"/>
        </w:rPr>
        <w:t>指导、协调社区（村）配合乙方开展社区宣传与服务工作</w:t>
      </w:r>
      <w:r>
        <w:rPr>
          <w:sz w:val="32"/>
        </w:rPr>
        <w:t>；</w:t>
      </w:r>
      <w:r>
        <w:rPr>
          <w:sz w:val="32"/>
        </w:rPr>
        <w:t>6.</w:t>
      </w:r>
      <w:r>
        <w:rPr>
          <w:sz w:val="32"/>
        </w:rPr>
        <w:t>协调评估组织实施单位及时开展项目评估，按要求配合完成评估工作。</w:t>
      </w:r>
    </w:p>
    <w:p>
      <w:pPr>
        <w:ind w:firstLine="640"/>
        <w:jc w:val="both"/>
      </w:pPr>
      <w:r>
        <w:rPr>
          <w:sz w:val="32"/>
        </w:rPr>
        <w:t>（九）因政策调整或其他客观原因需要提前终止项目的，甲方应当提前</w:t>
      </w:r>
      <w:r>
        <w:rPr>
          <w:sz w:val="32"/>
        </w:rPr>
        <w:t>1</w:t>
      </w:r>
      <w:r>
        <w:rPr>
          <w:sz w:val="32"/>
        </w:rPr>
        <w:t>个月书面通知乙方</w:t>
      </w:r>
      <w:r>
        <w:rPr>
          <w:sz w:val="32"/>
        </w:rPr>
        <w:t>；</w:t>
      </w:r>
      <w:r>
        <w:rPr>
          <w:sz w:val="32"/>
        </w:rPr>
        <w:t>情况紧急需要提前终止项目的，甲方应及时通知乙方，并给予乙方适当的处理时间。</w:t>
      </w:r>
    </w:p>
    <w:p>
      <w:pPr>
        <w:ind w:firstLine="640"/>
        <w:jc w:val="both"/>
      </w:pPr>
      <w:r>
        <w:rPr>
          <w:sz w:val="32"/>
        </w:rPr>
        <w:t>五、乙方权利和义务</w:t>
      </w:r>
    </w:p>
    <w:p>
      <w:pPr>
        <w:ind w:firstLine="640"/>
        <w:jc w:val="both"/>
      </w:pPr>
      <w:r>
        <w:rPr>
          <w:sz w:val="32"/>
        </w:rPr>
        <w:t>（一）协议期间乙方有权获得甲方必要的工作支持。</w:t>
      </w:r>
    </w:p>
    <w:p>
      <w:pPr>
        <w:ind w:firstLine="640"/>
        <w:jc w:val="both"/>
      </w:pPr>
      <w:r>
        <w:rPr>
          <w:sz w:val="32"/>
        </w:rPr>
        <w:t>（二）协议期间乙方有权以运营的社区养老服务设施相应名义进行服务宣传及开展服务</w:t>
      </w:r>
      <w:r>
        <w:rPr>
          <w:sz w:val="32"/>
        </w:rPr>
        <w:t>。</w:t>
      </w:r>
    </w:p>
    <w:p>
      <w:pPr>
        <w:ind w:firstLine="640"/>
        <w:jc w:val="both"/>
      </w:pPr>
      <w:r>
        <w:rPr>
          <w:sz w:val="32"/>
        </w:rPr>
        <w:t>（三）乙方有权依法享受因承办本项目按规定可以获得的政府补贴、补助、奖励以及其他资金支持、优惠等</w:t>
      </w:r>
      <w:r>
        <w:rPr>
          <w:sz w:val="32"/>
        </w:rPr>
        <w:t>；</w:t>
      </w:r>
      <w:r>
        <w:rPr>
          <w:sz w:val="32"/>
        </w:rPr>
        <w:t>有权按照规定享受养老机构、居家养老服务机构、小微企业税费减免、价格优惠等财税优惠</w:t>
      </w:r>
      <w:r>
        <w:rPr>
          <w:sz w:val="32"/>
        </w:rPr>
        <w:t>。</w:t>
      </w:r>
    </w:p>
    <w:p>
      <w:pPr>
        <w:ind w:firstLine="640"/>
        <w:jc w:val="both"/>
      </w:pPr>
      <w:r>
        <w:rPr>
          <w:sz w:val="32"/>
        </w:rPr>
        <w:t>（四）乙方在服务对象申请服务过程中或为服务对象服务过程中如发现以下情况之一的，可以终止服务协议或提供转介服务</w:t>
      </w:r>
      <w:r>
        <w:rPr>
          <w:sz w:val="32"/>
        </w:rPr>
        <w:t>：</w:t>
      </w:r>
    </w:p>
    <w:p>
      <w:pPr>
        <w:ind w:firstLine="640"/>
        <w:jc w:val="both"/>
      </w:pPr>
      <w:r>
        <w:rPr>
          <w:sz w:val="32"/>
        </w:rPr>
        <w:t>1.</w:t>
      </w:r>
      <w:r>
        <w:rPr>
          <w:sz w:val="32"/>
        </w:rPr>
        <w:t>服务对象患有须隔离治疗的传染性疾病或者患有精神疾病等其他不适宜接受服务的</w:t>
      </w:r>
      <w:r>
        <w:rPr>
          <w:sz w:val="32"/>
        </w:rPr>
        <w:t>；</w:t>
      </w:r>
    </w:p>
    <w:p>
      <w:pPr>
        <w:ind w:firstLine="640"/>
        <w:jc w:val="both"/>
      </w:pPr>
      <w:r>
        <w:rPr>
          <w:sz w:val="32"/>
        </w:rPr>
        <w:t>2.</w:t>
      </w:r>
      <w:r>
        <w:rPr>
          <w:sz w:val="32"/>
        </w:rPr>
        <w:t>服务对象违反服务约定且拒不改正的</w:t>
      </w:r>
      <w:r>
        <w:rPr>
          <w:sz w:val="32"/>
        </w:rPr>
        <w:t>；</w:t>
      </w:r>
    </w:p>
    <w:p>
      <w:pPr>
        <w:ind w:firstLine="640"/>
        <w:jc w:val="both"/>
      </w:pPr>
      <w:r>
        <w:rPr>
          <w:sz w:val="32"/>
        </w:rPr>
        <w:t>3.</w:t>
      </w:r>
      <w:r>
        <w:rPr>
          <w:sz w:val="32"/>
        </w:rPr>
        <w:t>服务对象自愿放弃服务的</w:t>
      </w:r>
      <w:r>
        <w:rPr>
          <w:sz w:val="32"/>
        </w:rPr>
        <w:t>。</w:t>
      </w:r>
    </w:p>
    <w:p>
      <w:pPr>
        <w:ind w:firstLine="640"/>
        <w:jc w:val="both"/>
      </w:pPr>
      <w:r>
        <w:rPr>
          <w:sz w:val="32"/>
        </w:rPr>
        <w:t>（五）乙方应当根据社区养老服务设施建设相关规定按时完成建设，并应当通过区民政局组织的验收</w:t>
      </w:r>
      <w:r>
        <w:rPr>
          <w:sz w:val="32"/>
        </w:rPr>
        <w:t>。乙方如需要对服务设施进行改造，改造方案需报甲方审核同意后方可实施。</w:t>
      </w:r>
    </w:p>
    <w:p>
      <w:pPr>
        <w:ind w:firstLine="640"/>
        <w:jc w:val="both"/>
      </w:pPr>
      <w:r>
        <w:rPr>
          <w:sz w:val="32"/>
        </w:rPr>
        <w:t>（六）乙方应当严格按照《中华人民共和国老年人权益保障法》《广东省养老服务条例》《广东省老年人权益保障条例》《广州市养老服务条例》《广州市居家社区养老服务管理办法》等各级养老服务、医疗卫生、食品安全等领域法律法规及政策文件，以及相关标准开展服务。如有最新政策要求的应及时调整。</w:t>
      </w:r>
    </w:p>
    <w:p>
      <w:pPr>
        <w:ind w:firstLine="640"/>
        <w:jc w:val="both"/>
      </w:pPr>
      <w:r>
        <w:rPr>
          <w:sz w:val="32"/>
        </w:rPr>
        <w:t>（七）乙方须建立健全项目和资金管理办法，建立专款专用制度，单独使用和核算项目经费，制定项目预算表并报送甲方审核，接受财政、审计、民政等有关部门的监督管理</w:t>
      </w:r>
      <w:r>
        <w:rPr>
          <w:sz w:val="32"/>
        </w:rPr>
        <w:t>。</w:t>
      </w:r>
    </w:p>
    <w:p>
      <w:pPr>
        <w:ind w:firstLine="640"/>
        <w:jc w:val="both"/>
      </w:pPr>
      <w:r>
        <w:rPr>
          <w:sz w:val="32"/>
        </w:rPr>
        <w:t>（八）未经甲方书面同意，乙方不得停止或者暂停本项目，不得出现减少服务内容、变更服务场地、缩减服务场地面积或者将场地用于其他用途等行为</w:t>
      </w:r>
      <w:r>
        <w:rPr>
          <w:sz w:val="32"/>
        </w:rPr>
        <w:t>。</w:t>
      </w:r>
    </w:p>
    <w:p>
      <w:pPr>
        <w:ind w:firstLine="640"/>
        <w:jc w:val="both"/>
      </w:pPr>
      <w:r>
        <w:rPr>
          <w:sz w:val="32"/>
        </w:rPr>
        <w:t>（九）乙方在履行协议过程中，原则上不得将服务项目委托给第三方，若因专业性较强的资质原因需委托第三方开展服务的，需经过甲方书面审核同意后签署服务委托协议，乙方对第三方开展的服务负责。</w:t>
      </w:r>
    </w:p>
    <w:p>
      <w:pPr>
        <w:ind w:firstLine="640"/>
        <w:jc w:val="both"/>
      </w:pPr>
      <w:r>
        <w:rPr>
          <w:sz w:val="32"/>
        </w:rPr>
        <w:t>（十）乙方无正当理由不得拒绝老年人入住服务设施或拒绝为老年人提供服务。</w:t>
      </w:r>
    </w:p>
    <w:p>
      <w:pPr>
        <w:ind w:firstLine="640"/>
        <w:jc w:val="both"/>
      </w:pPr>
      <w:r>
        <w:rPr>
          <w:sz w:val="32"/>
        </w:rPr>
        <w:t>（十一）乙方应当按照规定制订项目运营服务计划书并提交甲方审核。</w:t>
      </w:r>
    </w:p>
    <w:p>
      <w:pPr>
        <w:ind w:firstLine="640"/>
        <w:jc w:val="both"/>
      </w:pPr>
      <w:r>
        <w:rPr>
          <w:sz w:val="32"/>
        </w:rPr>
        <w:t>（十二）乙方应定期向甲方反馈服务开展情况，配合甲方及其他政府部门的监督与检查。应当按规定定期接受民政部门组织的服务评估</w:t>
      </w:r>
      <w:r>
        <w:rPr>
          <w:sz w:val="32"/>
        </w:rPr>
        <w:t>。</w:t>
      </w:r>
    </w:p>
    <w:p>
      <w:pPr>
        <w:ind w:firstLine="640"/>
        <w:jc w:val="both"/>
      </w:pPr>
      <w:r>
        <w:rPr>
          <w:sz w:val="32"/>
        </w:rPr>
        <w:t>（十三）乙方应当按照三防、消防、安全生产、疫情防控等有关要求，做好人员、场地、设施设备等的防控及安全管理，建立服务凤险应对预案和应急处置机制，落实安全管理主体责任，确保项目实施过程安全有序。</w:t>
      </w:r>
    </w:p>
    <w:p>
      <w:pPr>
        <w:ind w:firstLine="640"/>
        <w:jc w:val="both"/>
      </w:pPr>
      <w:r>
        <w:rPr>
          <w:sz w:val="32"/>
        </w:rPr>
        <w:t>（十四）乙方应严格按照有关法律法规规定，负责其工作人员的工资、社保等薪酬待遇保障以及有关意外安全责任，包括人员上下班途中和工作中的安全问题，甲方无须承担任何责任。如乙方员工被甲方安排参加防疫、救灾等有关应急工作，甲方应当为其提供相应的安全保障措施。</w:t>
      </w:r>
    </w:p>
    <w:p>
      <w:pPr>
        <w:ind w:firstLine="640"/>
        <w:jc w:val="both"/>
      </w:pPr>
      <w:r>
        <w:rPr>
          <w:sz w:val="32"/>
        </w:rPr>
        <w:t>（十五</w:t>
      </w:r>
      <w:r>
        <w:rPr>
          <w:sz w:val="32"/>
        </w:rPr>
        <w:t>）</w:t>
      </w:r>
      <w:r>
        <w:rPr>
          <w:sz w:val="32"/>
        </w:rPr>
        <w:t>乙方须提供安全设施给予工作人员以保障其工作安全，并须加强对员工的监管，若乙方员工有任何不当行为，引致甲方或其他第三方的任何物质或名誉损失，乙方应及时采取适当措施消除不良影响并赔偿由此造成的损失。</w:t>
      </w:r>
    </w:p>
    <w:p>
      <w:pPr>
        <w:ind w:firstLine="640"/>
        <w:jc w:val="both"/>
      </w:pPr>
      <w:r>
        <w:rPr>
          <w:sz w:val="32"/>
        </w:rPr>
        <w:t>（十六）乙方开展项目过程中</w:t>
      </w:r>
      <w:r>
        <w:rPr>
          <w:sz w:val="32"/>
        </w:rPr>
        <w:t>，</w:t>
      </w:r>
      <w:r>
        <w:rPr>
          <w:sz w:val="32"/>
        </w:rPr>
        <w:t>颐康中心、颐康服务站不得出现</w:t>
      </w:r>
      <w:r>
        <w:rPr>
          <w:sz w:val="32"/>
        </w:rPr>
        <w:t>以下</w:t>
      </w:r>
      <w:r>
        <w:rPr>
          <w:sz w:val="32"/>
        </w:rPr>
        <w:t>情形</w:t>
      </w:r>
      <w:r>
        <w:rPr>
          <w:sz w:val="32"/>
        </w:rPr>
        <w:t>（以下简称</w:t>
      </w:r>
      <w:r>
        <w:rPr>
          <w:sz w:val="32"/>
        </w:rPr>
        <w:t>“颐康中心、颐康服务站负面清单禁止性事项”）：</w:t>
      </w:r>
    </w:p>
    <w:p>
      <w:pPr>
        <w:ind w:firstLine="640"/>
        <w:jc w:val="both"/>
      </w:pPr>
      <w:r>
        <w:rPr>
          <w:sz w:val="32"/>
        </w:rPr>
        <w:t>1.</w:t>
      </w:r>
      <w:r>
        <w:rPr>
          <w:sz w:val="32"/>
        </w:rPr>
        <w:t>发生殴打、辱骂老年人等欺老、骗老、虐老行为。</w:t>
      </w:r>
    </w:p>
    <w:p>
      <w:pPr>
        <w:ind w:firstLine="640"/>
        <w:jc w:val="both"/>
      </w:pPr>
      <w:r>
        <w:rPr>
          <w:sz w:val="32"/>
        </w:rPr>
        <w:t>2.</w:t>
      </w:r>
      <w:r>
        <w:rPr>
          <w:sz w:val="32"/>
        </w:rPr>
        <w:t>偷盗、骗取、强行索要或者故意损毁老年人的财物。</w:t>
      </w:r>
    </w:p>
    <w:p>
      <w:pPr>
        <w:ind w:firstLine="640"/>
        <w:jc w:val="both"/>
      </w:pPr>
      <w:r>
        <w:rPr>
          <w:sz w:val="32"/>
        </w:rPr>
        <w:t>3.</w:t>
      </w:r>
      <w:r>
        <w:rPr>
          <w:sz w:val="32"/>
        </w:rPr>
        <w:t>私自散布、泄露老年人隐私信息以及其他违背公序良俗、违背孝老敬老的行为。</w:t>
      </w:r>
    </w:p>
    <w:p>
      <w:pPr>
        <w:ind w:firstLine="640"/>
        <w:jc w:val="both"/>
      </w:pPr>
      <w:r>
        <w:rPr>
          <w:sz w:val="32"/>
        </w:rPr>
        <w:t>4.</w:t>
      </w:r>
      <w:r>
        <w:rPr>
          <w:sz w:val="32"/>
        </w:rPr>
        <w:t>以隐瞒真相、欺骗或者其他构成违法犯罪的销售方法，诱导老年人购买养老公寓、预售卡、优惠卡、理财产品、保健品等养老服务产品。</w:t>
      </w:r>
    </w:p>
    <w:p>
      <w:pPr>
        <w:ind w:firstLine="640"/>
        <w:jc w:val="both"/>
      </w:pPr>
      <w:r>
        <w:rPr>
          <w:sz w:val="32"/>
        </w:rPr>
        <w:t>5.</w:t>
      </w:r>
      <w:r>
        <w:rPr>
          <w:sz w:val="32"/>
        </w:rPr>
        <w:t>开展赌博、封建迷信、色情等违法违规活动。</w:t>
      </w:r>
    </w:p>
    <w:p>
      <w:pPr>
        <w:ind w:firstLine="640"/>
        <w:jc w:val="both"/>
      </w:pPr>
      <w:r>
        <w:rPr>
          <w:sz w:val="32"/>
        </w:rPr>
        <w:t>6.</w:t>
      </w:r>
      <w:r>
        <w:rPr>
          <w:sz w:val="32"/>
        </w:rPr>
        <w:t>无资质开展须经许可提供的服务项目。</w:t>
      </w:r>
    </w:p>
    <w:p>
      <w:pPr>
        <w:ind w:firstLine="640"/>
        <w:jc w:val="both"/>
      </w:pPr>
      <w:r>
        <w:rPr>
          <w:sz w:val="32"/>
        </w:rPr>
        <w:t>7.</w:t>
      </w:r>
      <w:r>
        <w:rPr>
          <w:sz w:val="32"/>
        </w:rPr>
        <w:t>违规倒卖、出租、出售、转让颐康中心和颐康服务站的运营权。</w:t>
      </w:r>
    </w:p>
    <w:p>
      <w:pPr>
        <w:ind w:firstLine="640"/>
        <w:jc w:val="both"/>
      </w:pPr>
      <w:r>
        <w:rPr>
          <w:sz w:val="32"/>
        </w:rPr>
        <w:t>8.</w:t>
      </w:r>
      <w:r>
        <w:rPr>
          <w:sz w:val="32"/>
        </w:rPr>
        <w:t>擅自改变养老服务用房用途。</w:t>
      </w:r>
    </w:p>
    <w:p>
      <w:pPr>
        <w:ind w:firstLine="640"/>
        <w:jc w:val="both"/>
      </w:pPr>
      <w:r>
        <w:rPr>
          <w:sz w:val="32"/>
        </w:rPr>
        <w:t>9.</w:t>
      </w:r>
      <w:r>
        <w:rPr>
          <w:sz w:val="32"/>
        </w:rPr>
        <w:t>提供虚假材料骗取政府补贴、补助奖励。</w:t>
      </w:r>
    </w:p>
    <w:p>
      <w:pPr>
        <w:ind w:firstLine="640"/>
        <w:jc w:val="both"/>
      </w:pPr>
      <w:r>
        <w:rPr>
          <w:sz w:val="32"/>
        </w:rPr>
        <w:t>10.</w:t>
      </w:r>
      <w:r>
        <w:rPr>
          <w:sz w:val="32"/>
        </w:rPr>
        <w:t>开展与养老服务宗旨无关的行为。</w:t>
      </w:r>
    </w:p>
    <w:p>
      <w:pPr>
        <w:ind w:firstLine="640"/>
        <w:jc w:val="both"/>
      </w:pPr>
      <w:r>
        <w:rPr>
          <w:sz w:val="32"/>
        </w:rPr>
        <w:t>六、保密条款</w:t>
      </w:r>
    </w:p>
    <w:p>
      <w:pPr>
        <w:ind w:firstLine="640"/>
        <w:jc w:val="both"/>
      </w:pPr>
      <w:r>
        <w:rPr>
          <w:sz w:val="32"/>
        </w:rPr>
        <w:t>（一）甲方向乙方提供的、与本项目相关的以及乙方履行协议过程中获得的甲方及评估对象等的信息、资料，乙方均负有保密义务，仅限于乙方为本项目开展使用，未经甲方许可不得用于其他领域或向任何第三方泄漏，不得用于本协议之外的目的。</w:t>
      </w:r>
    </w:p>
    <w:p>
      <w:pPr>
        <w:ind w:firstLine="640"/>
        <w:jc w:val="both"/>
      </w:pPr>
      <w:r>
        <w:rPr>
          <w:sz w:val="32"/>
        </w:rPr>
        <w:t>（二）对于上述保密信息，仅可由乙方为执行本协议需要提供给特定的工作人员，并且仅在为执行本协议所需的范围内提供</w:t>
      </w:r>
      <w:r>
        <w:rPr>
          <w:sz w:val="32"/>
        </w:rPr>
        <w:t>；</w:t>
      </w:r>
      <w:r>
        <w:rPr>
          <w:sz w:val="32"/>
        </w:rPr>
        <w:t>同时，乙方在向工作人员提供保密信息前，应采取一切合理的预防措施，包括但不限于告知该工作人员将要提供的信息的保密性质，由该工作人员做出至少与本协议保密义务一样严格的保密承诺等</w:t>
      </w:r>
      <w:r>
        <w:rPr>
          <w:sz w:val="32"/>
        </w:rPr>
        <w:t>；</w:t>
      </w:r>
      <w:r>
        <w:rPr>
          <w:sz w:val="32"/>
        </w:rPr>
        <w:t>乙方应对该工作人员使用保密信息的行为承担连带责任</w:t>
      </w:r>
      <w:r>
        <w:rPr>
          <w:sz w:val="32"/>
        </w:rPr>
        <w:t>。</w:t>
      </w:r>
    </w:p>
    <w:p>
      <w:pPr>
        <w:ind w:firstLine="640"/>
        <w:jc w:val="both"/>
      </w:pPr>
      <w:r>
        <w:rPr>
          <w:sz w:val="32"/>
        </w:rPr>
        <w:t>（三）本协议项目下全部成果的所有权归甲方所有，未经甲方书面同意，乙方不得擅自使用或许可他人使用，亦不得向第三方披露</w:t>
      </w:r>
      <w:r>
        <w:rPr>
          <w:sz w:val="32"/>
        </w:rPr>
        <w:t>。</w:t>
      </w:r>
    </w:p>
    <w:p>
      <w:pPr>
        <w:ind w:firstLine="640"/>
        <w:jc w:val="both"/>
      </w:pPr>
      <w:r>
        <w:rPr>
          <w:sz w:val="32"/>
        </w:rPr>
        <w:t>（四）在任何情形下，本条所规定的保密义务应永久持续有效，该保密义务不因本协议的变更、中止、解除、终止而受影响</w:t>
      </w:r>
      <w:r>
        <w:rPr>
          <w:sz w:val="32"/>
        </w:rPr>
        <w:t>。</w:t>
      </w:r>
    </w:p>
    <w:p>
      <w:pPr>
        <w:ind w:firstLine="640"/>
        <w:jc w:val="both"/>
      </w:pPr>
      <w:r>
        <w:rPr>
          <w:sz w:val="32"/>
        </w:rPr>
        <w:t>（五）协议期满或本协议期内项目提前终止时，乙方应立即停止使用且不得许可第三方使用上述保密信息，并将保密信息整理归档并移交甲方或按照甲方要求予以删除、销毁。</w:t>
      </w:r>
    </w:p>
    <w:p>
      <w:pPr>
        <w:ind w:firstLine="640"/>
        <w:jc w:val="both"/>
      </w:pPr>
      <w:r>
        <w:rPr>
          <w:sz w:val="32"/>
        </w:rPr>
        <w:t>七、协议变更和解除</w:t>
      </w:r>
    </w:p>
    <w:p>
      <w:pPr>
        <w:ind w:firstLine="640"/>
        <w:jc w:val="both"/>
      </w:pPr>
      <w:r>
        <w:rPr>
          <w:sz w:val="32"/>
        </w:rPr>
        <w:t>（一）因本协议相关政策发生变化的，甲方可以提出协议的变更，并以书面形式通知乙方，经甲、乙双方协商一致，签署补充协议。</w:t>
      </w:r>
    </w:p>
    <w:p>
      <w:pPr>
        <w:ind w:firstLine="640"/>
        <w:jc w:val="both"/>
      </w:pPr>
      <w:r>
        <w:rPr>
          <w:sz w:val="32"/>
        </w:rPr>
        <w:t>（二）本协议到期后，甲方需乙方持续服务至完成新一轮招投标的，应向乙方支付超出本协议约定内容部分的费用，经甲、乙双方协商一致，签署补充协议。</w:t>
      </w:r>
    </w:p>
    <w:p>
      <w:pPr>
        <w:ind w:firstLine="640"/>
        <w:jc w:val="both"/>
      </w:pPr>
      <w:r>
        <w:rPr>
          <w:sz w:val="32"/>
        </w:rPr>
        <w:t>（三）在协议履行过程中，如乙方具有以下任一情形的，甲方有权单方面解除协议，并无需承担违约责任</w:t>
      </w:r>
      <w:r>
        <w:rPr>
          <w:sz w:val="32"/>
        </w:rPr>
        <w:t>：</w:t>
      </w:r>
    </w:p>
    <w:p>
      <w:pPr>
        <w:ind w:firstLine="640"/>
        <w:jc w:val="both"/>
      </w:pPr>
      <w:r>
        <w:rPr>
          <w:sz w:val="32"/>
        </w:rPr>
        <w:t>1.</w:t>
      </w:r>
      <w:r>
        <w:rPr>
          <w:sz w:val="32"/>
        </w:rPr>
        <w:t>乙方未通过建设验收，经甲方要求整改两次以上仍然不到位或者拒绝整改的</w:t>
      </w:r>
      <w:r>
        <w:rPr>
          <w:sz w:val="32"/>
        </w:rPr>
        <w:t>；</w:t>
      </w:r>
    </w:p>
    <w:p>
      <w:pPr>
        <w:ind w:firstLine="640"/>
        <w:jc w:val="both"/>
      </w:pPr>
      <w:r>
        <w:rPr>
          <w:sz w:val="32"/>
        </w:rPr>
        <w:t>2.</w:t>
      </w:r>
      <w:r>
        <w:rPr>
          <w:sz w:val="32"/>
        </w:rPr>
        <w:t>乙方未能按照本协议约定承办项目、提供服务，经甲方要求整改两次以上仍然不到位或者拒绝整改的</w:t>
      </w:r>
      <w:r>
        <w:rPr>
          <w:sz w:val="32"/>
        </w:rPr>
        <w:t>；</w:t>
      </w:r>
    </w:p>
    <w:p>
      <w:pPr>
        <w:ind w:firstLine="640"/>
        <w:jc w:val="both"/>
      </w:pPr>
      <w:r>
        <w:rPr>
          <w:sz w:val="32"/>
        </w:rPr>
        <w:t>3.</w:t>
      </w:r>
      <w:r>
        <w:rPr>
          <w:sz w:val="32"/>
        </w:rPr>
        <w:t>乙方服务评估不合格，经督促整改后仍不合格的</w:t>
      </w:r>
      <w:r>
        <w:rPr>
          <w:sz w:val="32"/>
        </w:rPr>
        <w:t>；</w:t>
      </w:r>
    </w:p>
    <w:p>
      <w:pPr>
        <w:ind w:firstLine="640"/>
        <w:jc w:val="both"/>
      </w:pPr>
      <w:r>
        <w:rPr>
          <w:sz w:val="32"/>
        </w:rPr>
        <w:t>4</w:t>
      </w:r>
      <w:r>
        <w:rPr>
          <w:sz w:val="32"/>
        </w:rPr>
        <w:t>.</w:t>
      </w:r>
      <w:r>
        <w:rPr>
          <w:sz w:val="32"/>
        </w:rPr>
        <w:t>乙方项目承办过程中，因违法违规操作等原因造成甲方损失的</w:t>
      </w:r>
      <w:r>
        <w:rPr>
          <w:sz w:val="32"/>
        </w:rPr>
        <w:t>；</w:t>
      </w:r>
    </w:p>
    <w:p>
      <w:pPr>
        <w:ind w:firstLine="640"/>
        <w:jc w:val="both"/>
      </w:pPr>
      <w:r>
        <w:rPr>
          <w:sz w:val="32"/>
        </w:rPr>
        <w:t>5.</w:t>
      </w:r>
      <w:r>
        <w:rPr>
          <w:sz w:val="32"/>
        </w:rPr>
        <w:t>乙方运营本协议约定的社区养老服务设施，任一设施</w:t>
      </w:r>
      <w:r>
        <w:rPr>
          <w:sz w:val="32"/>
        </w:rPr>
        <w:t>无特殊原因</w:t>
      </w:r>
      <w:r>
        <w:rPr>
          <w:sz w:val="32"/>
        </w:rPr>
        <w:t>连续三个月以上无服务记录的</w:t>
      </w:r>
      <w:r>
        <w:rPr>
          <w:sz w:val="32"/>
        </w:rPr>
        <w:t>；</w:t>
      </w:r>
    </w:p>
    <w:p>
      <w:pPr>
        <w:ind w:firstLine="640"/>
        <w:jc w:val="both"/>
      </w:pPr>
      <w:r>
        <w:rPr>
          <w:sz w:val="32"/>
        </w:rPr>
        <w:t>6.</w:t>
      </w:r>
      <w:r>
        <w:rPr>
          <w:sz w:val="32"/>
        </w:rPr>
        <w:t>乙方开展项目过程中违反广州市地方标准《综合养老服务中心基本规范》或《广东省养老服务条例》《广州市养老服务条例》禁止性规定，且经甲方要求整改两次以上仍然不到位或拒不整改的</w:t>
      </w:r>
      <w:r>
        <w:rPr>
          <w:sz w:val="32"/>
        </w:rPr>
        <w:t>；</w:t>
      </w:r>
    </w:p>
    <w:p>
      <w:pPr>
        <w:ind w:firstLine="640"/>
        <w:jc w:val="both"/>
      </w:pPr>
      <w:r>
        <w:rPr>
          <w:sz w:val="32"/>
        </w:rPr>
        <w:t>7.</w:t>
      </w:r>
      <w:r>
        <w:rPr>
          <w:sz w:val="32"/>
        </w:rPr>
        <w:t>未经甲方书面同意将服务项目交由其他服务供应机构实际承担的转包行为</w:t>
      </w:r>
      <w:r>
        <w:rPr>
          <w:sz w:val="32"/>
        </w:rPr>
        <w:t>；</w:t>
      </w:r>
    </w:p>
    <w:p>
      <w:pPr>
        <w:ind w:firstLine="640"/>
        <w:jc w:val="both"/>
      </w:pPr>
      <w:r>
        <w:rPr>
          <w:sz w:val="32"/>
        </w:rPr>
        <w:t>8.</w:t>
      </w:r>
      <w:r>
        <w:rPr>
          <w:sz w:val="32"/>
        </w:rPr>
        <w:t>经查证，乙方有伪造服务记录或挤占、挪用、滥用该协议款项行为的</w:t>
      </w:r>
      <w:r>
        <w:rPr>
          <w:sz w:val="32"/>
        </w:rPr>
        <w:t>；</w:t>
      </w:r>
    </w:p>
    <w:p>
      <w:pPr>
        <w:ind w:firstLine="640"/>
        <w:jc w:val="both"/>
      </w:pPr>
      <w:r>
        <w:rPr>
          <w:sz w:val="32"/>
        </w:rPr>
        <w:t>9.</w:t>
      </w:r>
      <w:r>
        <w:rPr>
          <w:sz w:val="32"/>
        </w:rPr>
        <w:t>在服务协议期限内同时承接同一区行政区域内居家社区养老服务评估项目、老年人照护需求等级评估项目、社区养老服务设施巡查督导项目的</w:t>
      </w:r>
      <w:r>
        <w:rPr>
          <w:sz w:val="32"/>
        </w:rPr>
        <w:t>；</w:t>
      </w:r>
    </w:p>
    <w:p>
      <w:pPr>
        <w:ind w:firstLine="640"/>
        <w:jc w:val="both"/>
      </w:pPr>
      <w:r>
        <w:rPr>
          <w:sz w:val="32"/>
        </w:rPr>
        <w:t>10.</w:t>
      </w:r>
      <w:r>
        <w:rPr>
          <w:sz w:val="32"/>
        </w:rPr>
        <w:t>不具备继续履约能力的</w:t>
      </w:r>
      <w:r>
        <w:rPr>
          <w:sz w:val="32"/>
        </w:rPr>
        <w:t>；</w:t>
      </w:r>
    </w:p>
    <w:p>
      <w:pPr>
        <w:ind w:firstLine="640"/>
        <w:jc w:val="both"/>
      </w:pPr>
      <w:r>
        <w:rPr>
          <w:sz w:val="32"/>
        </w:rPr>
        <w:t>11.</w:t>
      </w:r>
      <w:r>
        <w:rPr>
          <w:sz w:val="32"/>
        </w:rPr>
        <w:t>存在违反相关法律法规及本协议规定的其他情形的。</w:t>
      </w:r>
    </w:p>
    <w:p>
      <w:pPr>
        <w:ind w:firstLine="640"/>
        <w:jc w:val="both"/>
      </w:pPr>
      <w:r>
        <w:rPr>
          <w:sz w:val="32"/>
        </w:rPr>
        <w:t>（四）在协议履行过程中，具有以下情形的，乙方有权单方面解除协议，并无需承担违约责任</w:t>
      </w:r>
      <w:r>
        <w:rPr>
          <w:sz w:val="32"/>
        </w:rPr>
        <w:t>：</w:t>
      </w:r>
    </w:p>
    <w:p>
      <w:pPr>
        <w:ind w:firstLine="640"/>
        <w:jc w:val="both"/>
      </w:pPr>
      <w:r>
        <w:rPr>
          <w:sz w:val="32"/>
        </w:rPr>
        <w:t>1.</w:t>
      </w:r>
      <w:r>
        <w:rPr>
          <w:sz w:val="32"/>
        </w:rPr>
        <w:t>因甲方自身原因造成项目工作无法开展的</w:t>
      </w:r>
      <w:r>
        <w:rPr>
          <w:sz w:val="32"/>
        </w:rPr>
        <w:t>；</w:t>
      </w:r>
    </w:p>
    <w:p>
      <w:pPr>
        <w:ind w:firstLine="640"/>
        <w:jc w:val="both"/>
      </w:pPr>
      <w:r>
        <w:rPr>
          <w:sz w:val="32"/>
        </w:rPr>
        <w:t>2.</w:t>
      </w:r>
      <w:r>
        <w:rPr>
          <w:sz w:val="32"/>
        </w:rPr>
        <w:t>甲方无故克扣、拖欠该协议款项达</w:t>
      </w:r>
      <w:r>
        <w:rPr>
          <w:sz w:val="32"/>
          <w:u w:val="single"/>
        </w:rPr>
        <w:t>60</w:t>
      </w:r>
      <w:r>
        <w:rPr>
          <w:sz w:val="32"/>
        </w:rPr>
        <w:t>日的。</w:t>
      </w:r>
    </w:p>
    <w:p>
      <w:pPr>
        <w:ind w:firstLine="640"/>
        <w:jc w:val="both"/>
      </w:pPr>
      <w:r>
        <w:rPr>
          <w:sz w:val="32"/>
        </w:rPr>
        <w:t>（五）满足以下条件，双方可协商解除协议</w:t>
      </w:r>
      <w:r>
        <w:rPr>
          <w:sz w:val="32"/>
        </w:rPr>
        <w:t>：</w:t>
      </w:r>
    </w:p>
    <w:p>
      <w:pPr>
        <w:ind w:firstLine="640"/>
        <w:jc w:val="both"/>
      </w:pPr>
      <w:r>
        <w:rPr>
          <w:sz w:val="32"/>
        </w:rPr>
        <w:t>1</w:t>
      </w:r>
      <w:r>
        <w:rPr>
          <w:sz w:val="32"/>
        </w:rPr>
        <w:t>.</w:t>
      </w:r>
      <w:r>
        <w:rPr>
          <w:sz w:val="32"/>
        </w:rPr>
        <w:t>因国家、省、市等政策调整或上级主管部门行政决定或命令等因素导致无法继续履约的，双方可协商解除该协议</w:t>
      </w:r>
      <w:r>
        <w:rPr>
          <w:sz w:val="32"/>
        </w:rPr>
        <w:t>；</w:t>
      </w:r>
    </w:p>
    <w:p>
      <w:pPr>
        <w:ind w:firstLine="640"/>
        <w:jc w:val="both"/>
      </w:pPr>
      <w:r>
        <w:rPr>
          <w:sz w:val="32"/>
        </w:rPr>
        <w:t>2.</w:t>
      </w:r>
      <w:r>
        <w:rPr>
          <w:sz w:val="32"/>
        </w:rPr>
        <w:t>在协议履行过程中，非因违约行为，双方经过友好协商解除该协议的</w:t>
      </w:r>
      <w:r>
        <w:rPr>
          <w:sz w:val="32"/>
        </w:rPr>
        <w:t>。</w:t>
      </w:r>
    </w:p>
    <w:p>
      <w:pPr>
        <w:ind w:firstLine="640"/>
        <w:jc w:val="both"/>
      </w:pPr>
      <w:r>
        <w:rPr>
          <w:sz w:val="32"/>
        </w:rPr>
        <w:t>（六）自本协议解除之日起，甲方不再向乙方支付未完成工作部分的项目费用</w:t>
      </w:r>
      <w:r>
        <w:rPr>
          <w:sz w:val="32"/>
        </w:rPr>
        <w:t>；</w:t>
      </w:r>
      <w:r>
        <w:rPr>
          <w:sz w:val="32"/>
        </w:rPr>
        <w:t>对于乙方实际完成的工作，由双方共同确认工作成果并进行费用核算，并由甲方向乙方足额支付应付未付部分的项目费用</w:t>
      </w:r>
      <w:r>
        <w:rPr>
          <w:sz w:val="32"/>
        </w:rPr>
        <w:t>；</w:t>
      </w:r>
      <w:r>
        <w:rPr>
          <w:sz w:val="32"/>
        </w:rPr>
        <w:t>如甲方已付的项目费用超过乙方已完成工作的服务费用时，乙方应在收到甲方通知后</w:t>
      </w:r>
      <w:r>
        <w:rPr>
          <w:sz w:val="32"/>
        </w:rPr>
        <w:t>5</w:t>
      </w:r>
      <w:r>
        <w:rPr>
          <w:sz w:val="32"/>
        </w:rPr>
        <w:t>日内退还多收取的服务费用。</w:t>
      </w:r>
    </w:p>
    <w:p>
      <w:pPr>
        <w:ind w:firstLine="640"/>
        <w:jc w:val="both"/>
      </w:pPr>
      <w:r>
        <w:rPr>
          <w:sz w:val="32"/>
        </w:rPr>
        <w:t xml:space="preserve"> </w:t>
      </w:r>
      <w:r>
        <w:rPr>
          <w:sz w:val="32"/>
        </w:rPr>
        <w:t>八、违约责任</w:t>
      </w:r>
    </w:p>
    <w:p>
      <w:pPr>
        <w:ind w:firstLine="640"/>
        <w:jc w:val="both"/>
      </w:pPr>
      <w:r>
        <w:rPr>
          <w:sz w:val="32"/>
        </w:rPr>
        <w:t>（一）乙方未按本协议约定完成工作安排的，甲方有权向乙方追讨本协议总金额</w:t>
      </w:r>
      <w:r>
        <w:rPr>
          <w:sz w:val="32"/>
          <w:u w:val="single"/>
        </w:rPr>
        <w:t>3</w:t>
      </w:r>
      <w:r>
        <w:rPr>
          <w:sz w:val="32"/>
        </w:rPr>
        <w:t>%</w:t>
      </w:r>
      <w:r>
        <w:rPr>
          <w:sz w:val="32"/>
        </w:rPr>
        <w:t>的违约金。</w:t>
      </w:r>
    </w:p>
    <w:p>
      <w:pPr>
        <w:ind w:firstLine="640"/>
        <w:jc w:val="both"/>
      </w:pPr>
      <w:r>
        <w:rPr>
          <w:sz w:val="32"/>
        </w:rPr>
        <w:t>（二）乙方出现</w:t>
      </w:r>
      <w:r>
        <w:rPr>
          <w:sz w:val="32"/>
        </w:rPr>
        <w:t>颐康中心、颐康服务站负面清单禁止性事项并造成甲方的经济损失，乙方应给予赔偿，赔偿应当包括甲方为此支出的律师费、保全费、保全担保费等所有损失</w:t>
      </w:r>
      <w:r>
        <w:rPr>
          <w:sz w:val="32"/>
        </w:rPr>
        <w:t>。</w:t>
      </w:r>
    </w:p>
    <w:p>
      <w:pPr>
        <w:ind w:firstLine="640"/>
        <w:jc w:val="both"/>
      </w:pPr>
      <w:r>
        <w:rPr>
          <w:sz w:val="32"/>
        </w:rPr>
        <w:t>（三）如乙方违反本协议约定的，除按相应条款承担违约责任外，甲方有权扣除相应项目经费，包括</w:t>
      </w:r>
      <w:r>
        <w:rPr>
          <w:sz w:val="32"/>
        </w:rPr>
        <w:t>：</w:t>
      </w:r>
    </w:p>
    <w:p>
      <w:pPr>
        <w:ind w:firstLine="640"/>
        <w:jc w:val="both"/>
      </w:pPr>
      <w:r>
        <w:rPr>
          <w:sz w:val="32"/>
        </w:rPr>
        <w:t>1.</w:t>
      </w:r>
      <w:r>
        <w:rPr>
          <w:sz w:val="32"/>
        </w:rPr>
        <w:t>乙方拒不配合有关政府部门或第三方机构的抽查、评估、考核、检查的，或伪造服务记录的，甲方有权要求乙方限期整改，如乙方未按要求整改或整改后仍不符合要求的，每发生一次，甲方有权扣除本项目总费用的</w:t>
      </w:r>
      <w:r>
        <w:rPr>
          <w:sz w:val="32"/>
          <w:u w:val="single"/>
        </w:rPr>
        <w:t>1</w:t>
      </w:r>
      <w:r>
        <w:rPr>
          <w:sz w:val="32"/>
        </w:rPr>
        <w:t>%</w:t>
      </w:r>
      <w:r>
        <w:rPr>
          <w:sz w:val="32"/>
        </w:rPr>
        <w:t>，如该扣除部分不足以弥，补甲方或相关主管部门损失的，甲方有权继续索赔</w:t>
      </w:r>
      <w:r>
        <w:rPr>
          <w:sz w:val="32"/>
        </w:rPr>
        <w:t>；</w:t>
      </w:r>
    </w:p>
    <w:p>
      <w:pPr>
        <w:ind w:firstLine="640"/>
        <w:jc w:val="both"/>
      </w:pPr>
      <w:r>
        <w:rPr>
          <w:sz w:val="32"/>
        </w:rPr>
        <w:t>2.</w:t>
      </w:r>
      <w:r>
        <w:rPr>
          <w:sz w:val="32"/>
        </w:rPr>
        <w:t>如乙方违反保密约定导致甲方、服务对象遭受任何经济损失或名誉损失的，乙方应采取有效措施进行补救，同时甲方有权扣除本项目总费用的</w:t>
      </w:r>
      <w:r>
        <w:rPr>
          <w:sz w:val="32"/>
          <w:u w:val="single"/>
        </w:rPr>
        <w:t>1</w:t>
      </w:r>
      <w:r>
        <w:rPr>
          <w:sz w:val="32"/>
        </w:rPr>
        <w:t>%</w:t>
      </w:r>
      <w:r>
        <w:rPr>
          <w:sz w:val="32"/>
        </w:rPr>
        <w:t>，</w:t>
      </w:r>
      <w:r>
        <w:rPr>
          <w:sz w:val="32"/>
        </w:rPr>
        <w:t>如该扣除部分不足以弥补甲方或相关主管部门损失的，甲方有权继续索赔。</w:t>
      </w:r>
    </w:p>
    <w:p>
      <w:pPr>
        <w:ind w:firstLine="640"/>
        <w:jc w:val="both"/>
      </w:pPr>
      <w:r>
        <w:rPr>
          <w:sz w:val="32"/>
        </w:rPr>
        <w:t>（四）乙方未按照协议履行义务，造成重大影响或重大损失的，应追究乙方违约责任，并追回财政资金。如有违纪违法行为，按有关规定予以处理</w:t>
      </w:r>
      <w:r>
        <w:rPr>
          <w:sz w:val="32"/>
        </w:rPr>
        <w:t>；</w:t>
      </w:r>
      <w:r>
        <w:rPr>
          <w:sz w:val="32"/>
        </w:rPr>
        <w:t>构成犯罪的，移交司法机关依法追究刑事责任。</w:t>
      </w:r>
    </w:p>
    <w:p>
      <w:pPr>
        <w:ind w:firstLine="640"/>
        <w:jc w:val="both"/>
      </w:pPr>
      <w:r>
        <w:rPr>
          <w:sz w:val="32"/>
        </w:rPr>
        <w:t>九、争议解决</w:t>
      </w:r>
    </w:p>
    <w:p>
      <w:pPr>
        <w:ind w:firstLine="640"/>
        <w:jc w:val="both"/>
      </w:pPr>
      <w:r>
        <w:rPr>
          <w:sz w:val="32"/>
        </w:rPr>
        <w:t>（一）本协议未尽事项或协议执行过程中有争议的，由甲乙双方本着诚实信用的基本原则协商解决，或通过签订补充协议方式约定解</w:t>
      </w:r>
      <w:r>
        <w:rPr>
          <w:sz w:val="32"/>
        </w:rPr>
        <w:t>决。</w:t>
      </w:r>
    </w:p>
    <w:p>
      <w:pPr>
        <w:ind w:firstLine="640"/>
        <w:jc w:val="both"/>
      </w:pPr>
      <w:r>
        <w:rPr>
          <w:sz w:val="32"/>
        </w:rPr>
        <w:t>（二）双方签订的补充协议作为本协议的附件，与本协议具有同等法律效</w:t>
      </w:r>
      <w:r>
        <w:rPr>
          <w:sz w:val="32"/>
        </w:rPr>
        <w:t>力。</w:t>
      </w:r>
    </w:p>
    <w:p>
      <w:pPr>
        <w:ind w:firstLine="640"/>
        <w:jc w:val="both"/>
      </w:pPr>
      <w:r>
        <w:rPr>
          <w:sz w:val="32"/>
        </w:rPr>
        <w:t>（三）双方就争议事项协商不成的，可向协议甲方签章地</w:t>
      </w:r>
      <w:r>
        <w:rPr>
          <w:sz w:val="32"/>
        </w:rPr>
        <w:t>广州市白云区</w:t>
      </w:r>
      <w:r>
        <w:rPr>
          <w:sz w:val="32"/>
        </w:rPr>
        <w:t>人民法院提请诉讼。</w:t>
      </w:r>
    </w:p>
    <w:p>
      <w:pPr>
        <w:ind w:firstLine="640"/>
        <w:jc w:val="both"/>
      </w:pPr>
      <w:r>
        <w:rPr>
          <w:sz w:val="32"/>
        </w:rPr>
        <w:t>十、协议文本</w:t>
      </w:r>
    </w:p>
    <w:p>
      <w:pPr>
        <w:ind w:firstLine="640"/>
        <w:jc w:val="both"/>
      </w:pPr>
      <w:r>
        <w:rPr>
          <w:sz w:val="32"/>
        </w:rPr>
        <w:t>（一）本协议一式</w:t>
      </w:r>
      <w:r>
        <w:rPr>
          <w:sz w:val="32"/>
          <w:u w:val="single"/>
        </w:rPr>
        <w:t>肆</w:t>
      </w:r>
      <w:r>
        <w:rPr>
          <w:sz w:val="32"/>
        </w:rPr>
        <w:t>份，甲方执</w:t>
      </w:r>
      <w:r>
        <w:rPr>
          <w:sz w:val="32"/>
          <w:u w:val="single"/>
        </w:rPr>
        <w:t>贰</w:t>
      </w:r>
      <w:r>
        <w:rPr>
          <w:sz w:val="32"/>
        </w:rPr>
        <w:t>份，乙方执</w:t>
      </w:r>
      <w:r>
        <w:rPr>
          <w:sz w:val="32"/>
          <w:u w:val="single"/>
        </w:rPr>
        <w:t>贰</w:t>
      </w:r>
      <w:r>
        <w:rPr>
          <w:sz w:val="32"/>
        </w:rPr>
        <w:t>份，自双方法定代表人（或授权代表）签字并加盖公章（或协议专用章）之日起生效。</w:t>
      </w:r>
    </w:p>
    <w:p>
      <w:pPr>
        <w:ind w:firstLine="640"/>
        <w:jc w:val="both"/>
      </w:pPr>
      <w:r>
        <w:rPr>
          <w:sz w:val="32"/>
        </w:rPr>
        <w:t>（二）下列文件为本协议附件，与协议正文同具法律效力</w:t>
      </w:r>
      <w:r>
        <w:rPr>
          <w:sz w:val="32"/>
        </w:rPr>
        <w:t>：</w:t>
      </w:r>
    </w:p>
    <w:p>
      <w:pPr>
        <w:ind w:firstLine="640"/>
        <w:jc w:val="both"/>
      </w:pPr>
      <w:r>
        <w:rPr>
          <w:sz w:val="32"/>
        </w:rPr>
        <w:t>1.</w:t>
      </w:r>
      <w:r>
        <w:rPr>
          <w:sz w:val="32"/>
        </w:rPr>
        <w:t>设施设备移交清单</w:t>
      </w:r>
      <w:r>
        <w:rPr>
          <w:sz w:val="32"/>
        </w:rPr>
        <w:t>；</w:t>
      </w:r>
    </w:p>
    <w:p>
      <w:pPr>
        <w:ind w:firstLine="640"/>
        <w:jc w:val="both"/>
      </w:pPr>
      <w:r>
        <w:rPr>
          <w:sz w:val="32"/>
        </w:rPr>
        <w:t>2.</w:t>
      </w:r>
      <w:r>
        <w:rPr>
          <w:sz w:val="32"/>
        </w:rPr>
        <w:t>服务项目价格表</w:t>
      </w:r>
      <w:r>
        <w:rPr>
          <w:sz w:val="32"/>
        </w:rPr>
        <w:t>；</w:t>
      </w:r>
    </w:p>
    <w:p>
      <w:pPr>
        <w:ind w:firstLine="640"/>
        <w:jc w:val="both"/>
      </w:pPr>
      <w:r>
        <w:rPr>
          <w:sz w:val="32"/>
        </w:rPr>
        <w:t>3.…</w:t>
      </w:r>
      <w:r>
        <w:rPr>
          <w:sz w:val="32"/>
        </w:rPr>
        <w:t>。</w:t>
      </w:r>
    </w:p>
    <w:p>
      <w:pPr>
        <w:ind w:firstLine="640"/>
        <w:jc w:val="both"/>
      </w:pPr>
    </w:p>
    <w:p>
      <w:pPr>
        <w:jc w:val="both"/>
      </w:pPr>
      <w:r>
        <w:rPr>
          <w:sz w:val="32"/>
        </w:rPr>
        <w:t>甲方（盖章</w:t>
      </w:r>
      <w:r>
        <w:rPr>
          <w:sz w:val="32"/>
        </w:rPr>
        <w:t>）</w:t>
      </w:r>
      <w:r>
        <w:rPr>
          <w:sz w:val="32"/>
        </w:rPr>
        <w:t xml:space="preserve">                 </w:t>
      </w:r>
      <w:r>
        <w:rPr>
          <w:sz w:val="32"/>
        </w:rPr>
        <w:t>乙方（盖章</w:t>
      </w:r>
      <w:r>
        <w:rPr>
          <w:sz w:val="32"/>
        </w:rPr>
        <w:t>）</w:t>
      </w:r>
    </w:p>
    <w:p>
      <w:pPr>
        <w:jc w:val="both"/>
      </w:pPr>
    </w:p>
    <w:p>
      <w:pPr>
        <w:jc w:val="both"/>
      </w:pPr>
      <w:r>
        <w:rPr>
          <w:sz w:val="32"/>
        </w:rPr>
        <w:t>法定代表人或授权代表签字</w:t>
      </w:r>
      <w:r>
        <w:rPr>
          <w:sz w:val="32"/>
        </w:rPr>
        <w:t>：</w:t>
      </w:r>
      <w:r>
        <w:rPr>
          <w:sz w:val="32"/>
        </w:rPr>
        <w:t xml:space="preserve">         </w:t>
      </w:r>
      <w:r>
        <w:rPr>
          <w:sz w:val="32"/>
        </w:rPr>
        <w:t>法定代表人或授权代表签字</w:t>
      </w:r>
      <w:r>
        <w:rPr>
          <w:sz w:val="32"/>
        </w:rPr>
        <w:t>：</w:t>
      </w:r>
    </w:p>
    <w:p>
      <w:pPr>
        <w:jc w:val="both"/>
      </w:pPr>
    </w:p>
    <w:p>
      <w:pPr>
        <w:ind w:firstLine="640"/>
        <w:jc w:val="both"/>
      </w:pPr>
      <w:r>
        <w:rPr>
          <w:sz w:val="21"/>
        </w:rPr>
        <w:t xml:space="preserve">    </w:t>
      </w:r>
      <w:r>
        <w:rPr>
          <w:sz w:val="32"/>
        </w:rPr>
        <w:t>年</w:t>
      </w:r>
      <w:r>
        <w:rPr>
          <w:sz w:val="21"/>
        </w:rPr>
        <w:t xml:space="preserve">   </w:t>
      </w:r>
      <w:r>
        <w:rPr>
          <w:sz w:val="32"/>
        </w:rPr>
        <w:t>月</w:t>
      </w:r>
      <w:r>
        <w:rPr>
          <w:sz w:val="21"/>
        </w:rPr>
        <w:t xml:space="preserve">   </w:t>
      </w:r>
      <w:r>
        <w:rPr>
          <w:sz w:val="32"/>
        </w:rPr>
        <w:t>日</w:t>
      </w:r>
      <w:r>
        <w:rPr>
          <w:sz w:val="21"/>
        </w:rPr>
        <w:t xml:space="preserve">             </w:t>
      </w:r>
      <w:r>
        <w:rPr>
          <w:sz w:val="32"/>
        </w:rPr>
        <w:t>年</w:t>
      </w:r>
      <w:r>
        <w:rPr>
          <w:sz w:val="21"/>
        </w:rPr>
        <w:t xml:space="preserve">   </w:t>
      </w:r>
      <w:r>
        <w:rPr>
          <w:sz w:val="32"/>
        </w:rPr>
        <w:t>月</w:t>
      </w:r>
      <w:r>
        <w:rPr>
          <w:sz w:val="21"/>
        </w:rPr>
        <w:t xml:space="preserve">   </w:t>
      </w:r>
      <w:r>
        <w:rPr>
          <w:sz w:val="32"/>
        </w:rPr>
        <w:t>日</w:t>
      </w:r>
    </w:p>
    <w:p>
      <w:pPr>
        <w:jc w:val="both"/>
      </w:pPr>
    </w:p>
    <w:p>
      <w:pPr>
        <w:jc w:val="left"/>
      </w:pPr>
    </w:p>
    <w:p/>
    <w:p/>
    <w:p>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440111-2024-00293</w:t>
      </w:r>
    </w:p>
    <w:p>
      <w:pPr>
        <w:jc w:val="center"/>
      </w:pPr>
      <w:r>
        <w:rPr>
          <w:b/>
          <w:sz w:val="24"/>
        </w:rPr>
        <w:t>采购项目编号：</w:t>
      </w:r>
      <w:r>
        <w:rPr>
          <w:b/>
          <w:sz w:val="24"/>
        </w:rPr>
        <w:t>GZGK23D310C0969C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广州市白云区太和镇综合养老服务中心（颐康中心）项目</w:t>
      </w:r>
      <w:r>
        <w:rPr>
          <w:u w:val="single"/>
        </w:rPr>
        <w:t>”</w:t>
      </w:r>
      <w:r>
        <w:rPr/>
        <w:t>项目的竞争性磋商[采购项目编号为：</w:t>
      </w:r>
      <w:r>
        <w:rPr>
          <w:u w:val="single"/>
        </w:rPr>
        <w:t>GZGK23D310C0969C</w:t>
      </w:r>
      <w:r>
        <w:rPr/>
        <w:t>]，我方愿参与响应。</w:t>
      </w:r>
    </w:p>
    <w:p>
      <w:pPr>
        <w:ind w:firstLine="480"/>
      </w:pPr>
      <w:r>
        <w:rPr/>
        <w:t>我方确认收到贵方提供的</w:t>
      </w:r>
      <w:r>
        <w:rPr>
          <w:u w:val="single"/>
        </w:rPr>
        <w:t>“</w:t>
      </w:r>
      <w:r>
        <w:rPr>
          <w:u w:val="single"/>
        </w:rPr>
        <w:t>广州市白云区太和镇综合养老服务中心（颐康中心）项目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广州市白云区太和镇综合养老服务中心（颐康中心）项目</w:t>
      </w:r>
      <w:r>
        <w:rPr/>
        <w:t>”项目采购[采购项目编号为</w:t>
      </w:r>
      <w:r>
        <w:rPr/>
        <w:t>GZGK23D310C0969C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广州市白云区太和镇人民政府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广州市白云区太和镇综合养老服务中心（颐康中心）项目</w:t>
      </w:r>
      <w:r>
        <w:rPr/>
        <w:t>（采购项目编号：</w:t>
      </w:r>
      <w:r>
        <w:rPr/>
        <w:t>GZGK23D310C0969C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