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440101-2023-13628</w:t>
      </w:r>
    </w:p>
    <w:p>
      <w:pPr>
        <w:jc w:val="center"/>
      </w:pPr>
      <w:r>
        <w:rPr>
          <w:b/>
          <w:sz w:val="24"/>
        </w:rPr>
        <w:t>采购项目编号：</w:t>
      </w:r>
      <w:r>
        <w:rPr>
          <w:b/>
          <w:sz w:val="24"/>
        </w:rPr>
        <w:t>GZGK23D133B0381C</w:t>
      </w:r>
    </w:p>
    <w:p>
      <w:pPr>
        <w:jc w:val="center"/>
      </w:pPr>
      <w:r>
        <w:rPr>
          <w:b/>
          <w:sz w:val="24"/>
        </w:rPr>
        <w:t>项目名称：</w:t>
      </w:r>
      <w:r>
        <w:rPr>
          <w:b/>
          <w:sz w:val="24"/>
        </w:rPr>
        <w:t>广州市机电技师学院校园维护维修项目(二次)</w:t>
      </w:r>
    </w:p>
    <w:p>
      <w:pPr>
        <w:jc w:val="center"/>
      </w:pPr>
      <w:r>
        <w:rPr>
          <w:b/>
          <w:sz w:val="24"/>
        </w:rPr>
        <w:t>采购人：</w:t>
      </w:r>
      <w:r>
        <w:rPr>
          <w:b/>
          <w:sz w:val="24"/>
        </w:rPr>
        <w:t>广州市机电技师学院</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 磋商邀请</w:t>
      </w:r>
    </w:p>
    <w:p>
      <w:pPr>
        <w:ind w:firstLine="480"/>
      </w:pPr>
      <w:r>
        <w:rPr/>
        <w:t>广州市国科招标代理有限公司</w:t>
      </w:r>
      <w:r>
        <w:rPr/>
        <w:t>受</w:t>
      </w:r>
      <w:r>
        <w:rPr/>
        <w:t>广州市机电技师学院</w:t>
      </w:r>
      <w:r>
        <w:rPr/>
        <w:t>的委托，采用</w:t>
      </w:r>
      <w:r>
        <w:rPr/>
        <w:t>竞争性磋商</w:t>
      </w:r>
      <w:r>
        <w:rPr/>
        <w:t>方式组织采购</w:t>
      </w:r>
      <w:r>
        <w:rPr/>
        <w:t>广州市机电技师学院校园维护维修项目(二次)</w:t>
      </w:r>
      <w:r>
        <w:rPr/>
        <w:t>。欢迎符合资格条件的供应商参加。</w:t>
      </w:r>
    </w:p>
    <w:p>
      <w:r>
        <w:rPr>
          <w:b/>
          <w:sz w:val="28"/>
        </w:rPr>
        <w:t>一.项目概述</w:t>
      </w:r>
    </w:p>
    <w:p>
      <w:r>
        <w:rPr>
          <w:b/>
          <w:sz w:val="24"/>
        </w:rPr>
        <w:t>1.名称与编号</w:t>
      </w:r>
    </w:p>
    <w:p>
      <w:pPr>
        <w:ind w:firstLine="480"/>
      </w:pPr>
      <w:r>
        <w:rPr/>
        <w:t>采购项目名称：</w:t>
      </w:r>
      <w:r>
        <w:rPr/>
        <w:t>广州市机电技师学院校园维护维修项目(二次)</w:t>
      </w:r>
    </w:p>
    <w:p>
      <w:pPr>
        <w:ind w:firstLine="480"/>
      </w:pPr>
      <w:r>
        <w:rPr/>
        <w:t>采购计划编号：</w:t>
      </w:r>
      <w:r>
        <w:rPr/>
        <w:t>440101-2023-13628</w:t>
      </w:r>
    </w:p>
    <w:p>
      <w:pPr>
        <w:ind w:firstLine="480"/>
      </w:pPr>
      <w:r>
        <w:rPr/>
        <w:t>采购项目编号：</w:t>
      </w:r>
      <w:r>
        <w:rPr/>
        <w:t>GZGK23D133B0381C</w:t>
      </w:r>
    </w:p>
    <w:p>
      <w:pPr>
        <w:ind w:firstLine="480"/>
      </w:pPr>
      <w:r>
        <w:rPr/>
        <w:t>采购方式：</w:t>
      </w:r>
      <w:r>
        <w:rPr/>
        <w:t>竞争性磋商</w:t>
      </w:r>
    </w:p>
    <w:p>
      <w:pPr>
        <w:ind w:firstLine="480"/>
      </w:pPr>
      <w:r>
        <w:rPr/>
        <w:t>预算金额：</w:t>
      </w:r>
      <w:r>
        <w:rPr/>
        <w:t>2,657,945.11</w:t>
      </w:r>
      <w:r>
        <w:rPr/>
        <w:t>元</w:t>
      </w:r>
    </w:p>
    <w:p>
      <w:r>
        <w:rPr>
          <w:b/>
          <w:sz w:val="24"/>
        </w:rPr>
        <w:t>2.项目内容及需求情况（采购项目技术规格、参数及要求）</w:t>
      </w:r>
    </w:p>
    <w:p>
      <w:pPr>
        <w:ind w:firstLine="480"/>
      </w:pPr>
    </w:p>
    <w:p/>
    <w:p>
      <w:r>
        <w:rPr/>
        <w:t>采购包1(广州市机电技师学院校园维护维修项目):</w:t>
      </w:r>
    </w:p>
    <w:p>
      <w:r>
        <w:rPr/>
        <w:t>采购包预算金额：2,657,945.11元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室外体育和娱乐设施工程施工</w:t>
            </w:r>
          </w:p>
        </w:tc>
        <w:tc>
          <w:tcPr>
            <w:tcW w:type="dxa" w:w="2136"/>
          </w:tcPr>
          <w:p>
            <w:r>
              <w:rPr/>
              <w:t>广州市机电技师学院校园维护维修项目</w:t>
            </w:r>
          </w:p>
        </w:tc>
        <w:tc>
          <w:tcPr>
            <w:tcW w:type="dxa" w:w="1187"/>
          </w:tcPr>
          <w:p>
            <w:r>
              <w:rPr/>
              <w:t>1(项)</w:t>
            </w:r>
          </w:p>
        </w:tc>
        <w:tc>
          <w:tcPr>
            <w:tcW w:type="dxa" w:w="1187"/>
          </w:tcPr>
          <w:p>
            <w:r>
              <w:rPr/>
              <w:t>详见第二章</w:t>
            </w:r>
          </w:p>
        </w:tc>
        <w:tc>
          <w:tcPr>
            <w:tcW w:type="dxa" w:w="1187"/>
          </w:tcPr>
          <w:p>
            <w:r>
              <w:rPr/>
              <w:t>否</w:t>
            </w:r>
          </w:p>
        </w:tc>
      </w:tr>
    </w:tbl>
    <w:p/>
    <w:p>
      <w:r>
        <w:rPr/>
        <w:t>本采购包不接受联合体响应</w:t>
      </w:r>
    </w:p>
    <w:p/>
    <w:p>
      <w:r>
        <w:rPr/>
        <w:t>合同履行期限：见“标的提供时间”要求。</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响应时提交有效的营业执照（或事业法人登记证等相关证明）副本复印件。分支机构响应的，须提供总公司和分公司营业执照副本复印件，总公司出具给分支机构的授权书。</w:t>
      </w:r>
    </w:p>
    <w:p/>
    <w:p>
      <w:r>
        <w:rPr/>
        <w:t>2）有依法缴纳税收和社会保障资金的良好记录：供书面承诺声明函（格式自拟）。</w:t>
      </w:r>
    </w:p>
    <w:p/>
    <w:p>
      <w:r>
        <w:rPr/>
        <w:t>3）具有良好的商业信誉和健全的财务会计制度：提供书面承诺声明函（格式自拟）。</w:t>
      </w:r>
    </w:p>
    <w:p/>
    <w:p>
      <w:r>
        <w:rPr/>
        <w:t>4）履行合同所必需的设备和专业技术能力：提供书面承诺声明函（格式自拟）或具有履行合同所必须的设备和专业技术能力的其他证明材料。</w:t>
      </w:r>
    </w:p>
    <w:p/>
    <w:p>
      <w:r>
        <w:rPr/>
        <w:t>5）参加采购活动前3年内，在经营活动中没有重大违法记录：参照响应承诺函相关承诺格式内容。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采购包1（广州市机电技师学院校园维护维修项目）：</w:t>
      </w:r>
      <w:r>
        <w:rPr/>
        <w:t>采购包整体专门面向中小企业，工程的承建商须为中小微企业或监狱企业或残疾人福利性单位。</w:t>
      </w:r>
    </w:p>
    <w:p/>
    <w:p>
      <w:r>
        <w:rPr>
          <w:b/>
          <w:sz w:val="24"/>
        </w:rPr>
        <w:t>3.本项目特定的资格要求：</w:t>
      </w:r>
    </w:p>
    <w:p>
      <w:pPr>
        <w:ind w:firstLine="480"/>
      </w:pPr>
    </w:p>
    <w:p/>
    <w:p>
      <w:r>
        <w:rPr/>
        <w:t>采购包1（广州市机电技师学院校园维护维修项目）：</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2)单位负责人为同一人或者存在直接控股、管理关系的不同供应商，不得同时参加本采购项目（采购包）响应。 为本项目提供整体设计、规范编制或者项目管理、监理、检测等服务的供应商，不得再参与本项目响应。响应承诺函相关承诺要求内容。</w:t>
      </w:r>
    </w:p>
    <w:p/>
    <w:p>
      <w:r>
        <w:rPr/>
        <w:t>3)（1）响应供应商应具备有建设行政主管部门颁发的企业资质证书及安全生产许可证，并具备以下资质： 具有承接本工程所需的市政公用工程专业三级或以上级别施工总承包资质；拟担任本工程项目负责人的人员为：市政公用工程专业二级或以上级别的注册建造师； 注：①资质内容按照建市[2014]159号文颁布的新版《建筑业企业资质标准》中对应的资质类别及等级的承包工程范围和《住房城乡建设部关于建筑业企业资质管理有关问题的通知》（建市[2015]154号）、《住房城乡建设部关于简化建筑业企业资质标准部分指标的通知》(建市[2016]226号)、《住房和城乡建设部办公厅关于做好建筑业“证照分离”改革衔接有关工作的通知》（建办市〔2021〕30号）、《住房和城乡建设部办公厅关于建设工程企业资质有关事宜的通知》（建办市函〔2022〕361号）、《广东省住房和城乡建设厅关于建设工程企业资质有关事宜的通知》（粤建许函〔2022〕846号）的要求设置。 ②根据广东省建设厅《关于明确省外二级建造师入粤注册和执业有关问题的通知》（粤建市函〔2011〕218号），二级建造师执业资格证书、注册证书仅限所在行政区域内有效，不得跨省执业。响应供应商应提供有效的二级建造师执业资格证书，实行电子注册证书的，打印建造师电子证书后，项目负责人应在个人签名处手写本人签名，提交的证书未手写签名或与签名图像笔迹不一致的，该电子证书无效。项目负责人在任职期间不得担任专职安全员，项目专职安全员在任职期间也不得担任项目负责人，项目负责人和安全员不为同一人。 （2）项目负责人持有安全生产考核合格证（B类）或建筑施工企业项目负责人安全生产考核合格证书； （3）拟投入的专职安全员须具有安全生产考核合格证（C类）或建筑施工企业专职安全生产管理人员安全生产考核合格证书（C3）。</w:t>
      </w:r>
    </w:p>
    <w:p/>
    <w:p>
      <w:r>
        <w:rPr/>
        <w:t>4)已获取本项目采购文件。</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广州市国科招标代理有限公司（www.gzgkbidding.com）</w:t>
      </w:r>
      <w:r>
        <w:rPr/>
        <w:t>。</w:t>
      </w:r>
    </w:p>
    <w:p>
      <w:r>
        <w:rPr>
          <w:b/>
          <w:sz w:val="28"/>
        </w:rPr>
        <w:t>六.本项目联系方式：</w:t>
      </w:r>
    </w:p>
    <w:p>
      <w:r>
        <w:rPr>
          <w:b/>
          <w:sz w:val="24"/>
        </w:rPr>
        <w:t>1.采购人信息</w:t>
      </w:r>
    </w:p>
    <w:p>
      <w:pPr>
        <w:ind w:firstLine="480"/>
      </w:pPr>
      <w:r>
        <w:rPr/>
        <w:t>名称：</w:t>
      </w:r>
      <w:r>
        <w:rPr/>
        <w:t>广州市机电技师学院</w:t>
      </w:r>
    </w:p>
    <w:p>
      <w:pPr>
        <w:ind w:firstLine="480"/>
      </w:pPr>
      <w:r>
        <w:rPr/>
        <w:t>地址：</w:t>
      </w:r>
      <w:r>
        <w:rPr/>
        <w:t>广东省广州市白云区西洲北路148号</w:t>
      </w:r>
    </w:p>
    <w:p>
      <w:pPr>
        <w:ind w:firstLine="480"/>
      </w:pPr>
      <w:r>
        <w:rPr/>
        <w:t>联系方式：</w:t>
      </w:r>
      <w:r>
        <w:rPr/>
        <w:t>020-81972092</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020-87687872、020-37635007</w:t>
      </w:r>
    </w:p>
    <w:p>
      <w:r>
        <w:rPr>
          <w:b/>
          <w:sz w:val="24"/>
        </w:rPr>
        <w:t>3.项目联系方式</w:t>
      </w:r>
    </w:p>
    <w:p>
      <w:pPr>
        <w:ind w:firstLine="480"/>
      </w:pPr>
      <w:r>
        <w:rPr/>
        <w:t>项目联系人：</w:t>
      </w:r>
      <w:r>
        <w:rPr/>
        <w:t>陈瑶、张锡宇</w:t>
      </w:r>
    </w:p>
    <w:p>
      <w:pPr>
        <w:ind w:firstLine="480"/>
      </w:pPr>
      <w:r>
        <w:rPr/>
        <w:t>电话：</w:t>
      </w:r>
      <w:r>
        <w:rPr/>
        <w:t>020-87687872、020-37635007</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（一）项目编号：GZGK23D133B0381C</w:t>
      </w:r>
      <w:r>
        <w:br/>
      </w:r>
      <w:r>
        <w:rPr/>
        <w:t>（二）项目名称：广州市机电技师学院校园维护维修项目（二次）</w:t>
      </w:r>
      <w:r>
        <w:br/>
      </w:r>
      <w:r>
        <w:rPr/>
        <w:t>（三）总体要求说明：</w:t>
      </w:r>
      <w:r>
        <w:br/>
      </w:r>
      <w:r>
        <w:rPr/>
        <w:t>1、标有“★”的条款为必须完全满足的实质性要求，响应供应商如有一项带“★”的条款未响应或负偏离，将按无效响应处理。</w:t>
      </w:r>
      <w:r>
        <w:br/>
      </w:r>
      <w:r>
        <w:rPr/>
        <w:t>2、标有“▲”的条款为重要性要求，响应供应商如有“▲”的条款未响应或负偏离的将被严重扣分。</w:t>
      </w:r>
      <w:r>
        <w:br/>
      </w:r>
      <w:r>
        <w:rPr/>
        <w:t>3、响应供应商应在响应详细内容中列出具体响应内容。如果响应供应商只注明“正偏离”或“无偏离”，将可能被视为“负偏离”，从而可能导致严重影响评审结果。</w:t>
      </w:r>
      <w:r>
        <w:br/>
      </w:r>
      <w:r>
        <w:rPr/>
        <w:t>4、响应供应商没有在响应文件中注明偏离（文字说明或在响应表注明）的条款视为被响应供应商完全接受。</w:t>
      </w:r>
      <w:r>
        <w:br/>
      </w:r>
      <w:r>
        <w:rPr/>
        <w:t>5、不允许成交供应商转包、分包项目内容。</w:t>
      </w:r>
      <w:r>
        <w:br/>
      </w:r>
      <w:r>
        <w:rPr/>
        <w:t>6、中、小型和微型企业、监狱企业和残疾人福利性单位必须按照响应须知的内容提供相应的资料。</w:t>
      </w:r>
      <w:r>
        <w:br/>
      </w:r>
      <w:r>
        <w:rPr/>
        <w:t>7、需落实政府采购政策为：促进中小企业发展政策、支持监狱企业发展政策、支持残疾人福利性单位发展政策、优先采购节能产品、环境标志产品相关政策等。</w:t>
      </w:r>
      <w:r>
        <w:br/>
      </w:r>
      <w:r>
        <w:rPr/>
        <w:t>★8、 响应供应商人除填报总报价外，需同时提供分项报价表，即按采购人提供的工程量清单格式填写的《已标价的工程量清单》。</w:t>
      </w:r>
      <w:r>
        <w:br/>
      </w:r>
      <w:r>
        <w:rPr/>
        <w:t>9、质保及售后服务要求：①本项目主要材料最低需质保1年。质保期自竣工验收合格之日起计算。在质保期内因施工和材料、设备而造成的返修和维修的，所有费用由成交供应商负责。②在质保期内服务：质保期内成交供应商接到采购人产品出现问题的通知后，24小时内作出响应，48小时内到现场解决出现的质量或者技术问题；采购人如遇重大活动，其活动前后成交供应商应帮助采购人对设施进行维修维护，除不可抗力和使用方责任外，费用全部由成交供应商承担。质保期内产品质量经权威机构鉴定不符合质量要求的，按合同约定承担违约责任。</w:t>
      </w:r>
      <w:r>
        <w:br/>
      </w:r>
      <w:r>
        <w:rPr/>
        <w:t>10、其他相关要求：</w:t>
      </w:r>
      <w:r>
        <w:br/>
      </w:r>
      <w:r>
        <w:rPr/>
        <w:t>（1）凡标明有地下管线的地方，应挖探坑查明管线的具体位置并作为保护措施后方可施工。如因施工损坏，由成交供应商负责赔偿。</w:t>
      </w:r>
      <w:r>
        <w:br/>
      </w:r>
      <w:r>
        <w:rPr/>
        <w:t>（2）成交供应商应按时参加采购人召开的施工调度会议，严格执行会议纪要的决定，服从调度，服从协调。</w:t>
      </w:r>
      <w:r>
        <w:br/>
      </w:r>
      <w:r>
        <w:rPr/>
        <w:t>（3）成交供应商要充分理解磋商文件并进行施工现场勘察，若存在矛盾问题应在进行施工前和图纸会审时提出，否则采购人有权要求成交供应商自行负责。</w:t>
      </w:r>
      <w:r>
        <w:br/>
      </w:r>
      <w:r>
        <w:rPr/>
        <w:t>（4）实施有关要求：①成交供应商应按投标文件中施工组织设计严格执行；②成交供应商应遵守现场的一切规章制度，文明施工；③成交供应商负责保管、看护进场的施工机组设备、施工用具及施工材料；验收合格前的成品保护由成交供应商负责；④成交供应商工人、施工机械或在运输装卸途中对其他项目及邻近设备、管线等造成损坏，应由成交供应商负责修复原状及承担一切费用；⑤无论项目实施期间或保修过程中，成交供应商负责及时清理垃圾（垃圾清理费及特管费，包含在报价中）；⑥成交供应商承担施工期间设备和施工人员的安全责任。</w:t>
      </w:r>
      <w:r>
        <w:br/>
      </w:r>
      <w:r>
        <w:rPr/>
        <w:t>（5）采购人配合工作：负责及时提供施工所需的电源、通道、场地；负责提供成交供应商所需的相关资料。</w:t>
      </w:r>
      <w:r>
        <w:br/>
      </w:r>
      <w:r>
        <w:rPr/>
        <w:t>（四）其他说明：</w:t>
      </w:r>
      <w:r>
        <w:br/>
      </w:r>
      <w:r>
        <w:rPr/>
        <w:t>1、本项目开标方式为远程开标。参与全流程云平台采购项目的供应商登录云平台通过“新供应商开标大厅”进行签到及响应文件的解密，签到需在开标时间前30分钟内完成，不需要委派代表前往开标现场。但为了保证开标程序顺利、高效地完成，响应供应商亦可委派代表携带CA-key、存储有非加密响应文件的U盘及纸质响应文件前往开标现场进行签到、解密。</w:t>
      </w:r>
      <w:r>
        <w:br/>
      </w:r>
      <w:r>
        <w:rPr/>
        <w:t>2、纸质响应文件邮寄地址（邮寄地址：广州市先烈中路100号科学院大院9号楼东座2楼（中国广州分析测试中心对面），收件人及电话：详见项目公告的项目联系人）。响应供应商如选择邮寄响应文件，请提前安排时间邮寄，务必保证响应文件于提交响应文件截止时间前到达上述地址（以签收时间为准），并及时将快递单号发送至招标代理机构邮箱：gzgk@gzgkbidding.com。</w:t>
      </w:r>
      <w:r>
        <w:br/>
      </w:r>
      <w:r>
        <w:rPr/>
        <w:t>3、采用竞争性谈判、竞争性磋商或单一来源采购方式的项目，进入评审阶段时，如需进行谈判或磋商的，供应商登录云平台通过“等候大厅”对专家发起的谈判或磋商进行响应。</w:t>
      </w:r>
      <w:r>
        <w:br/>
      </w:r>
      <w:r>
        <w:rPr/>
        <w:t>4、上述流程中供应商电脑需提前安装CA签章客户端，并运行CA证书。</w:t>
      </w:r>
      <w:r>
        <w:br/>
      </w:r>
      <w:r>
        <w:rPr/>
        <w:t>5、请各响应供应商在编制响应文件时注意，涉及到签字或签章的地方，请按要求签字或签章后再上传系统。响应文件加密前请注意所有需要签字、签章、盖章的地方是否齐全无缺漏。请保管好CA证书的密码，如遗忘，请及时重置，以免影响响应文件的解密。</w:t>
      </w:r>
      <w:r>
        <w:br/>
      </w:r>
      <w:r>
        <w:rPr/>
        <w:t>（五）响应报价说明：</w:t>
      </w:r>
      <w:r>
        <w:br/>
      </w:r>
      <w:r>
        <w:rPr/>
        <w:t>1、报价方式为工程量清单计价，在合同实施时，采购人将不予支付成交供应商没有列入的项目费用，并认为此项目的费用已包括在总报价中。</w:t>
      </w:r>
      <w:r>
        <w:br/>
      </w:r>
      <w:r>
        <w:rPr/>
        <w:t>2、工程量清单报价时应响应下列要求：</w:t>
      </w:r>
      <w:r>
        <w:br/>
      </w:r>
      <w:r>
        <w:rPr/>
        <w:t>（1）响应报价（含单价及总价）精确到“分”。响应总报价包括产品运输、安装施工、验收、质保期服务、各项税费及合同实施过程中不可预见费用等。响应供应商按照采购人提供的招标工程量清单中列出的工程项目和工程量填报单价和合价，每一项目只允许有一个报价，任何有选择的报价将不予接受。响应供应商未填报单价或合价的工程项目，视为此项费用已包含在已标价工程量清单中其他项目的单价和合价之中，在实施后，此项目不得重新组价予以调整，采购人将不予支付。</w:t>
      </w:r>
      <w:r>
        <w:br/>
      </w:r>
      <w:r>
        <w:rPr/>
        <w:t>（2）采购人提供的工程量清单或磋商文件其他部分中有关规费、暂列金额、暂估价、绿色施工安全防护措施费等非竞争性项目明列了单价或合价的金额的，响应供应商应按照明列的单价或合价的金额报价，未按照规定金额报价的，由磋商小组按照磋商文件规定的金额进行修正。</w:t>
      </w:r>
      <w:r>
        <w:br/>
      </w:r>
      <w:r>
        <w:rPr/>
        <w:t>（3）响应供应商一旦成交，响应供应商对采购人提供的招标工程量清单中列出的工程项目所报出的综合单价，在工程结算时将不得变更，采购人应在合同中明确在人工、材料、设备或机械台班市场价格发生异常变动情况时合同价款的调整办法。因应计算的实际工程量与招标工程量清单出现偏差或因工程变更等原因导致的工程量偏差，引起相关措施项目相应发生变化时，按系数或单一总价方式计价的措施项目费，工程量增加的措施项目费调增，工程量减少的措施项目费调减。</w:t>
      </w:r>
      <w:r>
        <w:br/>
      </w:r>
      <w:r>
        <w:rPr/>
        <w:t>（4）工程项目实施期间和结算时，磋商文件工程量清单中漏列而由监理单位和采购人现场签证确认的工程项目、原设计没有而由采购人批准设计变更产生的工程项目，视为新增项目，按以下顺序确定价格：</w:t>
      </w:r>
      <w:r>
        <w:br/>
      </w:r>
      <w:r>
        <w:rPr/>
        <w:t>①成交的响应文件工程量清单中已有相同项目的适用综合单价，则沿用；</w:t>
      </w:r>
      <w:r>
        <w:br/>
      </w:r>
      <w:r>
        <w:rPr/>
        <w:t>②成交的响应文件工程量清单中已有类似项目的综合单价，则按类似项目的综合单价对相应子目、消耗量、单价等进行调整换算，原管理费、利润水平不变。如成交的磋商文件工程量清单中类似项目的综合单价有两个以上，则由采购人按消耗量最少、管理费和利润取费最低的优先顺序选择类似项目综合单价进行换算。如换算时出现类似项目中没有的材料单价，由采购人依法确定计价方式。</w:t>
      </w:r>
      <w:r>
        <w:br/>
      </w:r>
      <w:r>
        <w:rPr/>
        <w:t>③成交的响应文件工程量清单中没有相同项目或类似项目的，如可套取相关定额，则以相关定额为基数下浮计算单价,下浮率为成交价相对于最高限价的下浮率（下浮率=(最高限价-成交价)/ 最高限价）。</w:t>
      </w:r>
      <w:r>
        <w:br/>
      </w:r>
      <w:r>
        <w:rPr/>
        <w:t>④如相关定额没有相应子目的，其计价方式由成交后双方协商约定。</w:t>
      </w:r>
      <w:r>
        <w:br/>
      </w:r>
      <w:r>
        <w:rPr/>
        <w:t>（5）暂列金额、暂估价</w:t>
      </w:r>
      <w:r>
        <w:br/>
      </w:r>
      <w:r>
        <w:rPr/>
        <w:t>①暂列金额指采购人在工程量清单中暂时确定并包括在合同价款中的一笔款项。用于施工合同签订时尚未确定或者不可预见的所需材料、设备、服务的采购，施工中可能发生的工程量变更、合同约定调整因素出现时的工程价款调整以及发生的索赔、现场签证等费用。</w:t>
      </w:r>
      <w:r>
        <w:br/>
      </w:r>
      <w:r>
        <w:rPr/>
        <w:t>暂估价是指采购人在工程量清单中提供的用于支付必然发生但暂时不能确定价格的材料的单价以及专业工程的金额。</w:t>
      </w:r>
      <w:r>
        <w:br/>
      </w:r>
      <w:r>
        <w:rPr/>
        <w:t>②在工程实施中，暂列金额、暂估价所包含的工作范围和图纸、标准深化固定后，按照工程专业、设备、材料类别等分类汇总的金额，达到法定招标范围标准的，应由采购人同成交供应商联合招标，确定承包人和承包价格。</w:t>
      </w:r>
      <w:r>
        <w:br/>
      </w:r>
      <w:r>
        <w:rPr/>
        <w:t>③在工程实施中，暂列金额、暂估价所包含的工作范围和图纸、标准深化固定后，按照工程专业、设备、材料类别等分类汇总的金额，未达到法定招标范围标准的，由承包人承包，承包人无法定的承包资格但有法定的分包权的，由承包人分包，采购人同承包人结算的价格按本款第（4）项规定确定。</w:t>
      </w:r>
      <w:r>
        <w:br/>
      </w:r>
      <w:r>
        <w:rPr/>
        <w:t>④在工程实施中，暂列金额、暂估价所包含的工作范围和图纸、标准深化固定后，按照工程专业、设备、材料类别等分类汇总的金额，未达到法定招标范围标准，承包人既无法定的承包资格又无法定的分包权的，由采购人另行发包。</w:t>
      </w:r>
      <w:r>
        <w:br/>
      </w:r>
      <w:r>
        <w:rPr/>
        <w:t>⑤在工程实施中，暂列金额、暂估价所包含的工作范围由其他承包人承包的，纳入本项目承包人的管理和协调范围，由其他承包人向本项目承包人承担质量、安全、文明施工、工期责任，本项目承包人向采购人承担责任。响应供应商应当充分考虑此项管理和协调所发生的费用，并将其纳入采购人提供的工程量清单中的适当项目报价中。采购人将视为此项管理和协调所发生的费用已包含在其它有价款的竞争性报价内，在实施后，采购人将不予支付。</w:t>
      </w:r>
      <w:r>
        <w:br/>
      </w:r>
      <w:r>
        <w:rPr/>
        <w:t>（6）响应供应商可先到工地踏勘以充分了解工地位置、情况、道路、储存空间、装卸限制及任何其他足以影响承包价的情况，任何因忽视或误解工地情况而导致的索赔或工期延长申请将不被批准。</w:t>
      </w:r>
      <w:r>
        <w:br/>
      </w:r>
      <w:r>
        <w:rPr/>
        <w:t>（7）采购人与成交供应商应本着实事求是、风险共担的原则，充分考虑施工合同履行期间人工、建筑材料、机械设备价格因素的影响。对于各类钢筋、混凝土等主要材料以及人工、机械设备等，应结合合同工期、各价格因素对工程总造价的影响等，合理约定调价机制。调价机制应由采购人在合同中明确。</w:t>
      </w:r>
      <w:r>
        <w:br/>
      </w:r>
      <w:r>
        <w:rPr/>
        <w:t>（8）本工程承包方式为固定总价承包。磋商文件提供的工程量清单中的工程量为参考工程量，响应供应商须以招标图纸、技术条款及原始施工现场的情况进行核实。报价时以工程量清单中所列项目及工程量为计算依据，响应供应商经复核认为有出入，通过磋商报价的单价体现。工程量清单中的每一子目须填入单价或价格，且只允许有一个报价。</w:t>
      </w:r>
      <w:r>
        <w:br/>
      </w:r>
      <w:r>
        <w:rPr/>
        <w:t>（9）除合同另有规定外，《已标价的工程量清单》中的单价和合价包括完成该项目所需要的一切工作内容而发生的所有直接费、间接费、其它费用、税金等全部费用和要求获得的利润以及应由承包人承担的义务、责任和风险所发生的一切费用。</w:t>
      </w:r>
      <w:r>
        <w:br/>
      </w:r>
      <w:r>
        <w:rPr/>
        <w:t>（10）符合合同规定的全部费用和利润都应包括在工程量清单所列的各项目中，如响应供应商认为合同规定应由其承担而在工程量清单中未详细列出的项目，其费用和利润应包括在其它有关项目的单价和合价中。</w:t>
      </w:r>
      <w:r>
        <w:br/>
      </w:r>
      <w:r>
        <w:rPr/>
        <w:t>（11）《已标价的工程量清单》中的“单价”和“合价”栏均由响应供应商填报。响应供应商还应填报初次报价一览表，填写响应总报价。报价货币为人民币。对工程量清单表中发包人未列出工程量的项目，亦应填报单价和合价。若响应供应商对某些项目未填报单价和合价，则认为已包括在其它项目的单价和合价以及响应总报价内。</w:t>
      </w:r>
      <w:r>
        <w:br/>
      </w:r>
      <w:r>
        <w:rPr/>
        <w:t xml:space="preserve">（12）工程量清单中各项目的工作内容和要求及其计量和支付的规定详见《采购需求》、设计图纸及合同条款等有关部分。响应供应商可据此复核工程量清单中的工程量，但成交后《采购需求》、设计图纸及合同条款等中有关计量和支付的规定不能改变《已标价的工程量清单》中的工程量，只能作为计算工程进度款的方法。 </w:t>
      </w:r>
      <w:r>
        <w:br/>
      </w:r>
      <w:r>
        <w:rPr/>
        <w:t>（六）实现的目标</w:t>
      </w:r>
      <w:r>
        <w:br/>
      </w:r>
      <w:r>
        <w:rPr/>
        <w:t>★施工总工期：60日历天</w:t>
      </w:r>
      <w:r>
        <w:br/>
      </w:r>
      <w:r>
        <w:rPr/>
        <w:t>质量标准：合格</w:t>
      </w:r>
      <w:r>
        <w:br/>
      </w:r>
      <w:r>
        <w:rPr/>
        <w:t>保修期：按照《建设工程质量管理条例》规定，在正常使用条件下，建设工程的最低保修期限为：</w:t>
      </w:r>
      <w:r>
        <w:br/>
      </w:r>
      <w:r>
        <w:rPr/>
        <w:t>（1）基础设施工程、房屋建筑的地基基础工程和主体结构工程，为设计文件规定的该工程的合理使用年限；</w:t>
      </w:r>
      <w:r>
        <w:br/>
      </w:r>
      <w:r>
        <w:rPr/>
        <w:t>（2）屋面防水工程、有防水要求的卫生间、房间和外墙面的防渗漏，为５年；</w:t>
      </w:r>
      <w:r>
        <w:br/>
      </w:r>
      <w:r>
        <w:rPr/>
        <w:t>（3）供热与供冷系统，为２个采暖期、供冷期；</w:t>
      </w:r>
      <w:r>
        <w:br/>
      </w:r>
      <w:r>
        <w:rPr/>
        <w:t>（4）电气管线、给排水管道、设备安装和装修工程，为２年。</w:t>
      </w:r>
      <w:r>
        <w:br/>
      </w:r>
      <w:r>
        <w:rPr/>
        <w:t>其他项目的保修期限由发包方与承包方约定。</w:t>
      </w:r>
      <w:r>
        <w:br/>
      </w:r>
      <w:r>
        <w:rPr/>
        <w:t>建设工程质量检测管理办法：根据《建设工程质量检测管理办法》（建设部令第141号）第十二条规定，建设工程质量、安全检测业务应由建设单位依法委托。建设单位和成交供应商均不得委托近二年（从磋商公告发布年度起逆推2年的1月1日起至响应截止时间止）因伪造检测数据、出具虚假检测报告被各级建设行政主管部门或市场监督管理部门行政处罚或通报的检测单位负责本项目的检测工作。</w:t>
      </w:r>
      <w:r>
        <w:br/>
      </w:r>
      <w:r>
        <w:rPr/>
        <w:t>（七）需执行国家相关标准、行业标准、地方标准或者其他标准、规范</w:t>
      </w:r>
      <w:r>
        <w:br/>
      </w:r>
      <w:r>
        <w:rPr/>
        <w:t>1. 本项目施工具体按施工图纸、中华人民共和国现行技术和验收规范、图纸中规定的其它技术和验收标准、遵照采购人相关规定要求为准。</w:t>
      </w:r>
      <w:r>
        <w:br/>
      </w:r>
      <w:r>
        <w:rPr/>
        <w:t>2. 本项目的材料、设备、施工须达到中华人民共和国以及省、市或行业的工程建设标准、规范的要求。</w:t>
      </w:r>
      <w:r>
        <w:br/>
      </w:r>
      <w:r>
        <w:rPr/>
        <w:t>（八）施工人员管理要求</w:t>
      </w:r>
      <w:r>
        <w:br/>
      </w:r>
      <w:r>
        <w:rPr/>
        <w:t>1.施工期间人员进出校园须遵守学校相关安全管理规定。</w:t>
      </w:r>
      <w:r>
        <w:br/>
      </w:r>
      <w:r>
        <w:rPr/>
        <w:t>★2.项目投入的项目负责人在项目实施期间须每星期组织1次项目相关方共同参与的工作例会，现场管理人员在项目实施期间须每日亲临现场开展施工管理工作，现场安全责任人员在项目实施期间须每日亲临现场监管施工安全。如有人员更换，须向采购人申请并经得书面同意后方可实施。如发生缺勤情况，按每1（人次）/天，扣减项目总额0.05%的费用。（须提供加盖供应商公章的承诺函对以上内容进行承诺。）</w:t>
      </w:r>
    </w:p>
    <w:p/>
    <w:p>
      <w:pPr>
        <w:ind w:firstLine="480"/>
      </w:pPr>
    </w:p>
    <w:p/>
    <w:p>
      <w:r>
        <w:rPr/>
        <w:t>采购包1（广州市机电技师学院校园维护维修项目）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施工工期：60 日历天。</w:t>
            </w:r>
          </w:p>
        </w:tc>
      </w:tr>
      <w:tr>
        <w:tc>
          <w:tcPr>
            <w:tcW w:type="dxa" w:w="4153"/>
          </w:tcPr>
          <w:p>
            <w:r>
              <w:rPr/>
              <w:t>标的提供的地点</w:t>
            </w:r>
          </w:p>
        </w:tc>
        <w:tc>
          <w:tcPr>
            <w:tcW w:type="dxa" w:w="4153"/>
          </w:tcPr>
          <w:p/>
          <w:p>
            <w:r>
              <w:rPr/>
              <w:t>建设地点：采购人指定地点。</w:t>
            </w:r>
          </w:p>
        </w:tc>
      </w:tr>
      <w:tr>
        <w:tc>
          <w:tcPr>
            <w:tcW w:type="dxa" w:w="4153"/>
          </w:tcPr>
          <w:p>
            <w:r>
              <w:rPr/>
              <w:t>付款方式</w:t>
            </w:r>
          </w:p>
        </w:tc>
        <w:tc>
          <w:tcPr>
            <w:tcW w:type="dxa" w:w="4153"/>
          </w:tcPr>
          <w:p/>
          <w:p/>
          <w:p>
            <w:r>
              <w:rPr/>
              <w:t>1期：支付比例30%,合同签订后，甲方收到乙方提供的等额发票凭证资料后5个工作日内办理合同总价30%的支付手续。</w:t>
            </w:r>
          </w:p>
          <w:p/>
          <w:p>
            <w:r>
              <w:rPr/>
              <w:t>2期：支付比例30%,当工程形象进度达到80%时，经监理确认，甲方在收到发票凭证资料后15日内办理合同总价30%的支付手续。</w:t>
            </w:r>
          </w:p>
          <w:p/>
          <w:p>
            <w:r>
              <w:rPr/>
              <w:t>3期：支付比例15%,当工程进度达到100%时，项目通过验收后，甲方在收到发票凭证资料后15日内办理合同总价15%的支付手续。</w:t>
            </w:r>
          </w:p>
          <w:p/>
          <w:p>
            <w:r>
              <w:rPr/>
              <w:t>4期：支付比例10%,项目通过竣工验收，2024年第一季度乙方按合同总价的10%金额开具发票凭证，甲方在收到发票凭证资料后15日内办理相关的支付手续。</w:t>
            </w:r>
          </w:p>
          <w:p/>
          <w:p>
            <w:r>
              <w:rPr/>
              <w:t>5期：支付比例15%,项目报财政部门进行结算审核，审核完成后，甲方在收到发票凭证资料后15日内按结算审核结果办理剩余结算款的支付手续，累计支付至结算价的97%。甲方扣留结算价的3%作为质量保证金，待满2年缺陷责任期后再办理相关的支付手续。</w:t>
            </w:r>
          </w:p>
        </w:tc>
      </w:tr>
      <w:tr>
        <w:tc>
          <w:tcPr>
            <w:tcW w:type="dxa" w:w="4153"/>
          </w:tcPr>
          <w:p>
            <w:r>
              <w:rPr/>
              <w:t>验收要求</w:t>
            </w:r>
          </w:p>
        </w:tc>
        <w:tc>
          <w:tcPr>
            <w:tcW w:type="dxa" w:w="4153"/>
          </w:tcPr>
          <w:p/>
          <w:p/>
          <w:p/>
          <w:p>
            <w:r>
              <w:rPr/>
              <w:t>1期：按中华人民共和国现行技术和验收规范、施工图纸、图纸中规定的其它技术和验收标准以及采购人相关规定要求为准。 具体质量及验收要求如下： ①项目实施依据磋商文件和技术文件的要求，符合BGB36246-2018《中小学合成材料面层运动场地 》标准执行，其它参照相关国家规范实施，本项目的材料、设施、必须达到现行规范及标准规定的要求，并送件相关部门检测合格，检测报告存档。项目成品抽样检测，出具第三方合格报告。 ②投标人所提供的材料、设备，须注明品牌、产地、品名、规格、性能参数、技术指标，进口产品或设备需提供相应的报关单，手续、证件要齐全。 ③采购人组织验收小组按磋商文件对采购需求中内容标准要求规定及国家有关规定、规范进行验收，必要时邀请相关的专业人员或机构参与验收。若不合格的，成交供应商须承担验收费用或由此造成采购人单位的一切经济损失并对项目进行返工，直至合格。 ④施工完成后，成交供应商需提供竣工验收报告、竣工图、相关检测报告、隐蔽资料记录等书面资料。</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供应商响应设置，是否允许供应商分项报价进行细化： 是</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室外体育和娱乐设施工程施工</w:t>
            </w:r>
          </w:p>
        </w:tc>
        <w:tc>
          <w:tcPr>
            <w:tcW w:type="dxa" w:w="933"/>
          </w:tcPr>
          <w:p>
            <w:pPr>
              <w:jc w:val="left"/>
            </w:pPr>
            <w:r>
              <w:rPr/>
              <w:t>广州市机电技师学院校园维护维修项目</w:t>
            </w:r>
          </w:p>
        </w:tc>
        <w:tc>
          <w:tcPr>
            <w:tcW w:type="dxa" w:w="933"/>
          </w:tcPr>
          <w:p>
            <w:pPr>
              <w:jc w:val="left"/>
            </w:pPr>
            <w:r>
              <w:rPr/>
              <w:t>项</w:t>
            </w:r>
          </w:p>
        </w:tc>
        <w:tc>
          <w:tcPr>
            <w:tcW w:type="dxa" w:w="933"/>
          </w:tcPr>
          <w:p>
            <w:pPr>
              <w:jc w:val="right"/>
            </w:pPr>
            <w:r>
              <w:rPr/>
              <w:t>1.00</w:t>
            </w:r>
          </w:p>
        </w:tc>
        <w:tc>
          <w:tcPr>
            <w:tcW w:type="dxa" w:w="933"/>
          </w:tcPr>
          <w:p>
            <w:pPr>
              <w:jc w:val="right"/>
            </w:pPr>
            <w:r>
              <w:rPr/>
              <w:t>2,657,945.11</w:t>
            </w:r>
          </w:p>
        </w:tc>
        <w:tc>
          <w:tcPr>
            <w:tcW w:type="dxa" w:w="933"/>
          </w:tcPr>
          <w:p>
            <w:pPr>
              <w:jc w:val="right"/>
            </w:pPr>
            <w:r>
              <w:rPr/>
              <w:t>2,657,945.11</w:t>
            </w:r>
          </w:p>
        </w:tc>
        <w:tc>
          <w:tcPr>
            <w:tcW w:type="dxa" w:w="840"/>
          </w:tcPr>
          <w:p>
            <w:r>
              <w:rPr/>
              <w:t>建筑业</w:t>
            </w:r>
          </w:p>
        </w:tc>
        <w:tc>
          <w:tcPr>
            <w:tcW w:type="dxa" w:w="933"/>
          </w:tcPr>
          <w:p>
            <w:r>
              <w:rPr/>
              <w:t>详见附表一</w:t>
            </w:r>
          </w:p>
        </w:tc>
      </w:tr>
    </w:tbl>
    <w:p/>
    <w:p>
      <w:r>
        <w:rPr>
          <w:b/>
        </w:rPr>
        <w:t>附表</w:t>
      </w:r>
      <w:r>
        <w:rPr>
          <w:b/>
        </w:rPr>
        <w:t>一</w:t>
      </w:r>
      <w:r>
        <w:rPr>
          <w:b/>
        </w:rPr>
        <w:t>：</w:t>
      </w:r>
      <w:r>
        <w:rPr>
          <w:b/>
        </w:rPr>
        <w:t>广州市机电技师学院校园维护维修项目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本项目包括但不限于以下内容：</w:t>
            </w:r>
          </w:p>
          <w:p>
            <w:pPr>
              <w:jc w:val="both"/>
            </w:pPr>
            <w:r>
              <w:rPr>
                <w:sz w:val="21"/>
              </w:rPr>
              <w:t>1、铲除原有跑道面层，局部优化排水坡，铺塑胶跑道；</w:t>
            </w:r>
          </w:p>
          <w:p>
            <w:pPr>
              <w:jc w:val="both"/>
            </w:pPr>
            <w:r>
              <w:rPr>
                <w:sz w:val="21"/>
              </w:rPr>
              <w:t>2、铲除人造草坪，局部找坡，铺底背胶水层+人造草坪；</w:t>
            </w:r>
          </w:p>
          <w:p>
            <w:pPr>
              <w:jc w:val="both"/>
            </w:pPr>
            <w:r>
              <w:rPr>
                <w:sz w:val="21"/>
              </w:rPr>
              <w:t>3、调整围网范围，拆除围网，新增立柱及横梁，金属漆翻新；</w:t>
            </w:r>
          </w:p>
          <w:p>
            <w:pPr>
              <w:jc w:val="both"/>
            </w:pPr>
            <w:r>
              <w:rPr>
                <w:sz w:val="21"/>
              </w:rPr>
              <w:t>4、运动场地射灯设置，电气系统重新布置；</w:t>
            </w:r>
          </w:p>
          <w:p>
            <w:pPr>
              <w:jc w:val="both"/>
            </w:pPr>
            <w:r>
              <w:rPr>
                <w:sz w:val="21"/>
              </w:rPr>
              <w:t>5、拓宽原有排水沟，设置隐藏式排水沟(更换塑胶地面面层排水孔加密盖板)；</w:t>
            </w:r>
          </w:p>
          <w:p>
            <w:pPr>
              <w:jc w:val="both"/>
            </w:pPr>
            <w:r>
              <w:rPr>
                <w:sz w:val="21"/>
              </w:rPr>
              <w:t>6、绿植保护，乔木增加基坑树根保护,树下座椅保护区域拓宽；</w:t>
            </w:r>
          </w:p>
          <w:p>
            <w:pPr>
              <w:jc w:val="both"/>
            </w:pPr>
            <w:r>
              <w:rPr>
                <w:sz w:val="21"/>
              </w:rPr>
              <w:t>7、原有单双杠健身区设施金属漆翻新处理及地面统一更换处理；</w:t>
            </w:r>
          </w:p>
          <w:p>
            <w:pPr>
              <w:jc w:val="both"/>
            </w:pPr>
            <w:r>
              <w:rPr>
                <w:sz w:val="21"/>
              </w:rPr>
              <w:t>8、升旗台更换地面砖，升旗台重新移位建设。</w:t>
            </w:r>
          </w:p>
          <w:p>
            <w:pPr>
              <w:jc w:val="both"/>
            </w:pPr>
            <w:r>
              <w:rPr>
                <w:sz w:val="21"/>
              </w:rPr>
              <w:t>9</w:t>
            </w:r>
            <w:r>
              <w:rPr>
                <w:sz w:val="21"/>
              </w:rPr>
              <w:t>、具体详见工程量清单和图纸。</w:t>
            </w:r>
          </w:p>
          <w:p>
            <w:pPr>
              <w:jc w:val="both"/>
            </w:pPr>
            <w:r>
              <w:rPr>
                <w:sz w:val="21"/>
              </w:rPr>
              <w:t>10、广州市机电技师学院校园维护维修项目</w:t>
            </w:r>
            <w:r>
              <w:rPr>
                <w:b/>
                <w:sz w:val="21"/>
              </w:rPr>
              <w:t>技术参数和性能指标，如下表所示。</w:t>
            </w:r>
          </w:p>
          <w:tbl>
            <w:tblPr>
              <w:tblBorders>
                <w:top w:val="none" w:color="000000" w:sz="4"/>
                <w:left w:val="none" w:color="000000" w:sz="4"/>
                <w:bottom w:val="none" w:color="000000" w:sz="4"/>
                <w:right w:val="none" w:color="000000" w:sz="4"/>
                <w:insideH w:val="none"/>
                <w:insideV w:val="none"/>
              </w:tblBorders>
            </w:tblPr>
            <w:tblGrid>
              <w:gridCol w:w="634"/>
              <w:gridCol w:w="4963"/>
            </w:tblGrid>
            <w:tr>
              <w:tc>
                <w:tcPr>
                  <w:tcW w:type="dxa" w:w="634"/>
                  <w:tcBorders>
                    <w:top w:val="single" w:color="000000" w:sz="4"/>
                    <w:left w:val="single" w:color="000000" w:sz="4"/>
                    <w:bottom w:val="single" w:color="000000" w:sz="4"/>
                    <w:right w:val="single" w:color="000000" w:sz="4"/>
                  </w:tcBorders>
                  <w:vAlign w:val="top"/>
                </w:tcPr>
                <w:p>
                  <w:pPr>
                    <w:jc w:val="center"/>
                  </w:pPr>
                  <w:r>
                    <w:rPr>
                      <w:b/>
                      <w:sz w:val="21"/>
                    </w:rPr>
                    <w:t>编号</w:t>
                  </w:r>
                </w:p>
              </w:tc>
              <w:tc>
                <w:tcPr>
                  <w:tcW w:type="dxa" w:w="4963"/>
                  <w:tcBorders>
                    <w:top w:val="single" w:color="000000" w:sz="4"/>
                    <w:left w:val="single" w:color="000000" w:sz="4"/>
                    <w:bottom w:val="single" w:color="000000" w:sz="4"/>
                    <w:right w:val="single" w:color="000000" w:sz="4"/>
                  </w:tcBorders>
                  <w:vAlign w:val="top"/>
                </w:tcPr>
                <w:p>
                  <w:pPr>
                    <w:jc w:val="center"/>
                  </w:pPr>
                  <w:r>
                    <w:rPr>
                      <w:b/>
                      <w:sz w:val="21"/>
                    </w:rPr>
                    <w:t>技术参数和性能指标</w:t>
                  </w:r>
                </w:p>
              </w:tc>
            </w:tr>
            <w:tr>
              <w:tc>
                <w:tcPr>
                  <w:tcW w:type="dxa" w:w="634"/>
                  <w:tcBorders>
                    <w:top w:val="none" w:color="000000" w:sz="4"/>
                    <w:left w:val="single" w:color="000000" w:sz="4"/>
                    <w:bottom w:val="single" w:color="000000" w:sz="4"/>
                    <w:right w:val="single" w:color="000000" w:sz="4"/>
                  </w:tcBorders>
                  <w:vAlign w:val="top"/>
                </w:tcPr>
                <w:p>
                  <w:pPr>
                    <w:jc w:val="center"/>
                  </w:pPr>
                  <w:r>
                    <w:rPr>
                      <w:sz w:val="19"/>
                    </w:rPr>
                    <w:t>1</w:t>
                  </w:r>
                </w:p>
              </w:tc>
              <w:tc>
                <w:tcPr>
                  <w:tcW w:type="dxa" w:w="4963"/>
                  <w:tcBorders>
                    <w:top w:val="none" w:color="000000" w:sz="4"/>
                    <w:left w:val="single" w:color="000000" w:sz="4"/>
                    <w:bottom w:val="single" w:color="000000" w:sz="4"/>
                    <w:right w:val="single" w:color="000000" w:sz="4"/>
                  </w:tcBorders>
                  <w:vAlign w:val="top"/>
                </w:tcPr>
                <w:p>
                  <w:pPr>
                    <w:jc w:val="left"/>
                  </w:pPr>
                  <w:r>
                    <w:rPr>
                      <w:sz w:val="21"/>
                    </w:rPr>
                    <w:t>塑胶跑道（人造草面层）质量要求：按采购人相关要求进行施工，达到或超过国家规范和相关质量要求。</w:t>
                  </w:r>
                </w:p>
              </w:tc>
            </w:tr>
            <w:tr>
              <w:tc>
                <w:tcPr>
                  <w:tcW w:type="dxa" w:w="634"/>
                  <w:tcBorders>
                    <w:top w:val="none" w:color="000000" w:sz="4"/>
                    <w:left w:val="single" w:color="000000" w:sz="4"/>
                    <w:bottom w:val="single" w:color="000000" w:sz="4"/>
                    <w:right w:val="single" w:color="000000" w:sz="4"/>
                  </w:tcBorders>
                  <w:vAlign w:val="top"/>
                </w:tcPr>
                <w:p>
                  <w:pPr>
                    <w:jc w:val="center"/>
                  </w:pPr>
                  <w:r>
                    <w:rPr>
                      <w:sz w:val="19"/>
                    </w:rPr>
                    <w:t>2</w:t>
                  </w:r>
                </w:p>
              </w:tc>
              <w:tc>
                <w:tcPr>
                  <w:tcW w:type="dxa" w:w="4963"/>
                  <w:tcBorders>
                    <w:top w:val="none" w:color="000000" w:sz="4"/>
                    <w:left w:val="single" w:color="000000" w:sz="4"/>
                    <w:bottom w:val="single" w:color="000000" w:sz="4"/>
                    <w:right w:val="single" w:color="000000" w:sz="4"/>
                  </w:tcBorders>
                  <w:vAlign w:val="top"/>
                </w:tcPr>
                <w:p>
                  <w:pPr>
                    <w:jc w:val="left"/>
                  </w:pPr>
                  <w:r>
                    <w:rPr>
                      <w:sz w:val="21"/>
                    </w:rPr>
                    <w:t>塑胶跑道（人造草面层）材料要求：</w:t>
                  </w:r>
                </w:p>
                <w:p>
                  <w:pPr>
                    <w:jc w:val="left"/>
                  </w:pPr>
                  <w:r>
                    <w:rPr>
                      <w:sz w:val="21"/>
                    </w:rPr>
                    <w:t>①塑胶跑道（人造草面层）非固体原料符合</w:t>
                  </w:r>
                  <w:r>
                    <w:rPr>
                      <w:sz w:val="21"/>
                    </w:rPr>
                    <w:t>GB 36246-2018</w:t>
                  </w:r>
                  <w:r>
                    <w:rPr>
                      <w:sz w:val="21"/>
                    </w:rPr>
                    <w:t>《中小学合成材料面层运动场地》标准非固体原料中有害物质限量要求的合格检测报告（详见表1）；</w:t>
                  </w:r>
                </w:p>
                <w:p>
                  <w:pPr>
                    <w:jc w:val="left"/>
                  </w:pPr>
                  <w:r>
                    <w:rPr>
                      <w:sz w:val="21"/>
                    </w:rPr>
                    <w:t>②塑胶跑道（人造草）面层成品符合</w:t>
                  </w:r>
                  <w:r>
                    <w:rPr>
                      <w:sz w:val="21"/>
                    </w:rPr>
                    <w:t>GB36246-2018</w:t>
                  </w:r>
                  <w:r>
                    <w:rPr>
                      <w:sz w:val="21"/>
                    </w:rPr>
                    <w:t>《中小学合成材料面层运动场地》标准面层成品中有害物质限量及气味要求的合格检测报告（详见表2）；</w:t>
                  </w:r>
                </w:p>
                <w:p>
                  <w:pPr>
                    <w:jc w:val="left"/>
                  </w:pPr>
                  <w:r>
                    <w:rPr>
                      <w:sz w:val="21"/>
                    </w:rPr>
                    <w:t>③塑胶跑道成品符合</w:t>
                  </w:r>
                  <w:r>
                    <w:rPr>
                      <w:sz w:val="21"/>
                    </w:rPr>
                    <w:t>GB36246-2018</w:t>
                  </w:r>
                  <w:r>
                    <w:rPr>
                      <w:sz w:val="21"/>
                    </w:rPr>
                    <w:t>《中小学合成材料面层运动场地》标准田径场地、渗水型物理性能要求的合格检测报告（详见表3）。</w:t>
                  </w:r>
                </w:p>
              </w:tc>
            </w:tr>
            <w:tr>
              <w:tc>
                <w:tcPr>
                  <w:tcW w:type="dxa" w:w="634"/>
                  <w:tcBorders>
                    <w:top w:val="none" w:color="000000" w:sz="4"/>
                    <w:left w:val="single" w:color="000000" w:sz="4"/>
                    <w:bottom w:val="single" w:color="000000" w:sz="4"/>
                    <w:right w:val="single" w:color="000000" w:sz="4"/>
                  </w:tcBorders>
                  <w:vAlign w:val="top"/>
                </w:tcPr>
                <w:p>
                  <w:pPr>
                    <w:jc w:val="center"/>
                  </w:pPr>
                  <w:r>
                    <w:rPr>
                      <w:sz w:val="19"/>
                    </w:rPr>
                    <w:t>3</w:t>
                  </w:r>
                </w:p>
              </w:tc>
              <w:tc>
                <w:tcPr>
                  <w:tcW w:type="dxa" w:w="4963"/>
                  <w:tcBorders>
                    <w:top w:val="none" w:color="000000" w:sz="4"/>
                    <w:left w:val="single" w:color="000000" w:sz="4"/>
                    <w:bottom w:val="single" w:color="000000" w:sz="4"/>
                    <w:right w:val="single" w:color="000000" w:sz="4"/>
                  </w:tcBorders>
                  <w:vAlign w:val="top"/>
                </w:tcPr>
                <w:p>
                  <w:pPr>
                    <w:jc w:val="left"/>
                  </w:pPr>
                  <w:r>
                    <w:rPr>
                      <w:sz w:val="21"/>
                    </w:rPr>
                    <w:t>项目安全措施要求：</w:t>
                  </w:r>
                </w:p>
                <w:p>
                  <w:pPr>
                    <w:jc w:val="left"/>
                  </w:pPr>
                  <w:r>
                    <w:rPr>
                      <w:sz w:val="21"/>
                    </w:rPr>
                    <w:t>1.</w:t>
                  </w:r>
                  <w:r>
                    <w:rPr>
                      <w:sz w:val="21"/>
                    </w:rPr>
                    <w:t>施工区域要用警示带进行围护，保证施工期间不受外界的干扰。若投标人在施工作业前或作业阶段，有任何违反上述规定的，采购人有权勒令停工并要求限时整改，否则采购人有权追究投标人因此带来的法律责任和经济损失。</w:t>
                  </w:r>
                </w:p>
                <w:p>
                  <w:pPr>
                    <w:jc w:val="left"/>
                  </w:pPr>
                  <w:r>
                    <w:rPr>
                      <w:sz w:val="21"/>
                    </w:rPr>
                    <w:t>2.</w:t>
                  </w:r>
                  <w:r>
                    <w:rPr>
                      <w:sz w:val="21"/>
                    </w:rPr>
                    <w:t>悬挂警示牌，严格设置有关安全施工防护防范设施，若出现因违反相关规定而导致的一切法律责任和经济损失，均由投标人自行承担。</w:t>
                  </w:r>
                </w:p>
              </w:tc>
            </w:tr>
            <w:tr>
              <w:tc>
                <w:tcPr>
                  <w:tcW w:type="dxa" w:w="634"/>
                  <w:tcBorders>
                    <w:top w:val="none" w:color="000000" w:sz="4"/>
                    <w:left w:val="single" w:color="000000" w:sz="4"/>
                    <w:bottom w:val="single" w:color="000000" w:sz="4"/>
                    <w:right w:val="single" w:color="000000" w:sz="4"/>
                  </w:tcBorders>
                  <w:vAlign w:val="top"/>
                </w:tcPr>
                <w:p>
                  <w:pPr>
                    <w:jc w:val="center"/>
                  </w:pPr>
                  <w:r>
                    <w:rPr>
                      <w:sz w:val="19"/>
                    </w:rPr>
                    <w:t>4</w:t>
                  </w:r>
                </w:p>
              </w:tc>
              <w:tc>
                <w:tcPr>
                  <w:tcW w:type="dxa" w:w="4963"/>
                  <w:tcBorders>
                    <w:top w:val="none" w:color="000000" w:sz="4"/>
                    <w:left w:val="single" w:color="000000" w:sz="4"/>
                    <w:bottom w:val="single" w:color="000000" w:sz="4"/>
                    <w:right w:val="single" w:color="000000" w:sz="4"/>
                  </w:tcBorders>
                  <w:vAlign w:val="top"/>
                </w:tcPr>
                <w:p>
                  <w:pPr>
                    <w:jc w:val="left"/>
                  </w:pPr>
                  <w:r>
                    <w:rPr>
                      <w:sz w:val="21"/>
                    </w:rPr>
                    <w:t>项目环保措施要求</w:t>
                  </w:r>
                </w:p>
                <w:p>
                  <w:pPr>
                    <w:jc w:val="left"/>
                  </w:pPr>
                  <w:r>
                    <w:rPr>
                      <w:sz w:val="21"/>
                    </w:rPr>
                    <w:t>1.</w:t>
                  </w:r>
                  <w:r>
                    <w:rPr>
                      <w:sz w:val="21"/>
                    </w:rPr>
                    <w:t>严控夜间施工作业，合理安排作业时间，尽量减少混合料搅拌机械及施工车辆的使用，减少噪声环境的污染；</w:t>
                  </w:r>
                </w:p>
                <w:p>
                  <w:pPr>
                    <w:jc w:val="left"/>
                  </w:pPr>
                  <w:r>
                    <w:rPr>
                      <w:sz w:val="21"/>
                    </w:rPr>
                    <w:t>2.</w:t>
                  </w:r>
                  <w:r>
                    <w:rPr>
                      <w:sz w:val="21"/>
                    </w:rPr>
                    <w:t>精确计算施工中需要的各种原材料的用量，对能使用的零碎材料尽理利用，减少施工中垃圾的产生，节约原材料，保护环境卫生；</w:t>
                  </w:r>
                </w:p>
                <w:p>
                  <w:pPr>
                    <w:jc w:val="left"/>
                  </w:pPr>
                  <w:r>
                    <w:rPr>
                      <w:sz w:val="21"/>
                    </w:rPr>
                    <w:t>3.</w:t>
                  </w:r>
                  <w:r>
                    <w:rPr>
                      <w:sz w:val="21"/>
                    </w:rPr>
                    <w:t>施工过程中及时清理施工和周围区域的尘土、污水等，建筑垃圾及时清运，防止产生扬尘，污染空气和影响交通。</w:t>
                  </w:r>
                </w:p>
                <w:p>
                  <w:pPr>
                    <w:jc w:val="left"/>
                  </w:pPr>
                  <w:r>
                    <w:rPr>
                      <w:sz w:val="21"/>
                    </w:rPr>
                    <w:t>4.</w:t>
                  </w:r>
                  <w:r>
                    <w:rPr>
                      <w:sz w:val="21"/>
                    </w:rPr>
                    <w:t>严禁施工材料乱堆乱放，保证施工场地的整洁。</w:t>
                  </w:r>
                </w:p>
              </w:tc>
            </w:tr>
            <w:tr>
              <w:tc>
                <w:tcPr>
                  <w:tcW w:type="dxa" w:w="634"/>
                  <w:tcBorders>
                    <w:top w:val="none" w:color="000000" w:sz="4"/>
                    <w:left w:val="single" w:color="000000" w:sz="4"/>
                    <w:bottom w:val="single" w:color="000000" w:sz="4"/>
                    <w:right w:val="single" w:color="000000" w:sz="4"/>
                  </w:tcBorders>
                  <w:vAlign w:val="top"/>
                </w:tcPr>
                <w:p>
                  <w:pPr>
                    <w:jc w:val="center"/>
                  </w:pPr>
                  <w:r>
                    <w:rPr>
                      <w:sz w:val="19"/>
                    </w:rPr>
                    <w:t>5</w:t>
                  </w:r>
                </w:p>
              </w:tc>
              <w:tc>
                <w:tcPr>
                  <w:tcW w:type="dxa" w:w="4963"/>
                  <w:tcBorders>
                    <w:top w:val="none" w:color="000000" w:sz="4"/>
                    <w:left w:val="single" w:color="000000" w:sz="4"/>
                    <w:bottom w:val="single" w:color="000000" w:sz="4"/>
                    <w:right w:val="single" w:color="000000" w:sz="4"/>
                  </w:tcBorders>
                  <w:vAlign w:val="top"/>
                </w:tcPr>
                <w:p>
                  <w:pPr>
                    <w:jc w:val="left"/>
                  </w:pPr>
                  <w:r>
                    <w:rPr>
                      <w:sz w:val="21"/>
                    </w:rPr>
                    <w:t>投标时需提供具有</w:t>
                  </w:r>
                  <w:r>
                    <w:rPr>
                      <w:sz w:val="21"/>
                    </w:rPr>
                    <w:t>“</w:t>
                  </w:r>
                  <w:r>
                    <w:rPr>
                      <w:sz w:val="21"/>
                    </w:rPr>
                    <w:t>CMA</w:t>
                  </w:r>
                  <w:r>
                    <w:rPr>
                      <w:sz w:val="21"/>
                    </w:rPr>
                    <w:t>”或“</w:t>
                  </w:r>
                  <w:r>
                    <w:rPr>
                      <w:sz w:val="21"/>
                    </w:rPr>
                    <w:t>CNAS</w:t>
                  </w:r>
                  <w:r>
                    <w:rPr>
                      <w:sz w:val="21"/>
                    </w:rPr>
                    <w:t>”标识的检测机构出具的满足上述要求的、合格的检测报告原件扫描件。</w:t>
                  </w:r>
                </w:p>
              </w:tc>
            </w:tr>
          </w:tbl>
          <w:p>
            <w:pPr>
              <w:jc w:val="both"/>
            </w:pPr>
          </w:p>
          <w:p>
            <w:pPr>
              <w:jc w:val="both"/>
            </w:pPr>
            <w:r>
              <w:rPr>
                <w:sz w:val="21"/>
              </w:rPr>
              <w:t>表1：非固体原料中有害物质限量要求的合格检测报告技术标准列表</w:t>
            </w:r>
          </w:p>
          <w:tbl>
            <w:tblPr>
              <w:tblBorders>
                <w:top w:val="none" w:color="000000" w:sz="4"/>
                <w:left w:val="none" w:color="000000" w:sz="4"/>
                <w:bottom w:val="none" w:color="000000" w:sz="4"/>
                <w:right w:val="none" w:color="000000" w:sz="4"/>
                <w:insideH w:val="none"/>
                <w:insideV w:val="none"/>
              </w:tblBorders>
            </w:tblPr>
            <w:tblGrid>
              <w:gridCol w:w="710"/>
              <w:gridCol w:w="3779"/>
              <w:gridCol w:w="1108"/>
            </w:tblGrid>
            <w:tr>
              <w:tc>
                <w:tcPr>
                  <w:tcW w:type="dxa" w:w="710"/>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3779"/>
                  <w:tcBorders>
                    <w:top w:val="single" w:color="000000" w:sz="4"/>
                    <w:left w:val="none" w:color="000000" w:sz="4"/>
                    <w:bottom w:val="single" w:color="000000" w:sz="4"/>
                    <w:right w:val="single" w:color="000000" w:sz="4"/>
                  </w:tcBorders>
                  <w:vAlign w:val="top"/>
                </w:tcPr>
                <w:p>
                  <w:pPr>
                    <w:jc w:val="center"/>
                  </w:pPr>
                  <w:r>
                    <w:rPr>
                      <w:sz w:val="21"/>
                    </w:rPr>
                    <w:t>检验项目</w:t>
                  </w:r>
                </w:p>
              </w:tc>
              <w:tc>
                <w:tcPr>
                  <w:tcW w:type="dxa" w:w="1108"/>
                  <w:tcBorders>
                    <w:top w:val="single" w:color="000000" w:sz="4"/>
                    <w:left w:val="none" w:color="000000" w:sz="4"/>
                    <w:bottom w:val="single" w:color="000000" w:sz="4"/>
                    <w:right w:val="single" w:color="000000" w:sz="4"/>
                  </w:tcBorders>
                  <w:vAlign w:val="top"/>
                </w:tcPr>
                <w:p>
                  <w:pPr>
                    <w:jc w:val="center"/>
                  </w:pPr>
                  <w:r>
                    <w:rPr>
                      <w:sz w:val="21"/>
                    </w:rPr>
                    <w:t>标准要求</w:t>
                  </w:r>
                </w:p>
              </w:tc>
            </w:tr>
            <w:tr>
              <w:tc>
                <w:tcPr>
                  <w:tcW w:type="dxa" w:w="71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779"/>
                  <w:tcBorders>
                    <w:top w:val="none" w:color="000000" w:sz="4"/>
                    <w:left w:val="none" w:color="000000" w:sz="4"/>
                    <w:bottom w:val="single" w:color="000000" w:sz="4"/>
                    <w:right w:val="single" w:color="000000" w:sz="4"/>
                  </w:tcBorders>
                  <w:vAlign w:val="top"/>
                </w:tcPr>
                <w:p>
                  <w:pPr>
                    <w:jc w:val="center"/>
                  </w:pPr>
                  <w:r>
                    <w:rPr>
                      <w:sz w:val="21"/>
                    </w:rPr>
                    <w:t>3</w:t>
                  </w:r>
                  <w:r>
                    <w:rPr>
                      <w:sz w:val="21"/>
                    </w:rPr>
                    <w:t>种邻苯二甲酸酯类</w:t>
                  </w:r>
                </w:p>
                <w:p>
                  <w:pPr>
                    <w:jc w:val="center"/>
                  </w:pPr>
                  <w:r>
                    <w:rPr>
                      <w:sz w:val="21"/>
                    </w:rPr>
                    <w:t>（</w:t>
                  </w:r>
                  <w:r>
                    <w:rPr>
                      <w:sz w:val="21"/>
                    </w:rPr>
                    <w:t>DBP</w:t>
                  </w:r>
                  <w:r>
                    <w:rPr>
                      <w:sz w:val="21"/>
                    </w:rPr>
                    <w:t>、</w:t>
                  </w:r>
                  <w:r>
                    <w:rPr>
                      <w:sz w:val="21"/>
                    </w:rPr>
                    <w:t>BBP</w:t>
                  </w:r>
                  <w:r>
                    <w:rPr>
                      <w:sz w:val="21"/>
                    </w:rPr>
                    <w:t>、</w:t>
                  </w:r>
                  <w:r>
                    <w:rPr>
                      <w:sz w:val="21"/>
                    </w:rPr>
                    <w:t>DEHP</w:t>
                  </w:r>
                  <w:r>
                    <w:rPr>
                      <w:sz w:val="21"/>
                    </w:rPr>
                    <w:t>）总和</w:t>
                  </w:r>
                  <w:r>
                    <w:rPr>
                      <w:sz w:val="21"/>
                    </w:rPr>
                    <w:t>/</w:t>
                  </w:r>
                  <w:r>
                    <w:rPr>
                      <w:sz w:val="21"/>
                    </w:rPr>
                    <w:t>（</w:t>
                  </w:r>
                  <w:r>
                    <w:rPr>
                      <w:sz w:val="21"/>
                    </w:rPr>
                    <w:t>g/kg</w:t>
                  </w:r>
                  <w:r>
                    <w:rPr>
                      <w:sz w:val="21"/>
                    </w:rPr>
                    <w:t>）</w:t>
                  </w:r>
                </w:p>
              </w:tc>
              <w:tc>
                <w:tcPr>
                  <w:tcW w:type="dxa" w:w="1108"/>
                  <w:tcBorders>
                    <w:top w:val="none" w:color="000000" w:sz="4"/>
                    <w:left w:val="none" w:color="000000" w:sz="4"/>
                    <w:bottom w:val="single" w:color="000000" w:sz="4"/>
                    <w:right w:val="single" w:color="000000" w:sz="4"/>
                  </w:tcBorders>
                  <w:vAlign w:val="top"/>
                </w:tcPr>
                <w:p>
                  <w:pPr>
                    <w:jc w:val="center"/>
                  </w:pPr>
                  <w:r>
                    <w:rPr>
                      <w:sz w:val="21"/>
                    </w:rPr>
                    <w:t>≤1.0</w:t>
                  </w:r>
                </w:p>
              </w:tc>
            </w:tr>
            <w:tr>
              <w:tc>
                <w:tcPr>
                  <w:tcW w:type="dxa" w:w="71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779"/>
                  <w:tcBorders>
                    <w:top w:val="none" w:color="000000" w:sz="4"/>
                    <w:left w:val="none" w:color="000000" w:sz="4"/>
                    <w:bottom w:val="single" w:color="000000" w:sz="4"/>
                    <w:right w:val="single" w:color="000000" w:sz="4"/>
                  </w:tcBorders>
                  <w:vAlign w:val="top"/>
                </w:tcPr>
                <w:p>
                  <w:pPr>
                    <w:jc w:val="center"/>
                  </w:pPr>
                  <w:r>
                    <w:rPr>
                      <w:sz w:val="21"/>
                    </w:rPr>
                    <w:t>3</w:t>
                  </w:r>
                  <w:r>
                    <w:rPr>
                      <w:sz w:val="21"/>
                    </w:rPr>
                    <w:t>种邻苯二甲酸酯类</w:t>
                  </w:r>
                </w:p>
                <w:p>
                  <w:pPr>
                    <w:jc w:val="center"/>
                  </w:pPr>
                  <w:r>
                    <w:rPr>
                      <w:sz w:val="21"/>
                    </w:rPr>
                    <w:t>（</w:t>
                  </w:r>
                  <w:r>
                    <w:rPr>
                      <w:sz w:val="21"/>
                    </w:rPr>
                    <w:t>DNOP</w:t>
                  </w:r>
                  <w:r>
                    <w:rPr>
                      <w:sz w:val="21"/>
                    </w:rPr>
                    <w:t>、</w:t>
                  </w:r>
                  <w:r>
                    <w:rPr>
                      <w:sz w:val="21"/>
                    </w:rPr>
                    <w:t>DINP</w:t>
                  </w:r>
                  <w:r>
                    <w:rPr>
                      <w:sz w:val="21"/>
                    </w:rPr>
                    <w:t>、</w:t>
                  </w:r>
                  <w:r>
                    <w:rPr>
                      <w:sz w:val="21"/>
                    </w:rPr>
                    <w:t>DIDP</w:t>
                  </w:r>
                  <w:r>
                    <w:rPr>
                      <w:sz w:val="21"/>
                    </w:rPr>
                    <w:t>）总和</w:t>
                  </w:r>
                  <w:r>
                    <w:rPr>
                      <w:sz w:val="21"/>
                    </w:rPr>
                    <w:t>/</w:t>
                  </w:r>
                  <w:r>
                    <w:rPr>
                      <w:sz w:val="21"/>
                    </w:rPr>
                    <w:t>（</w:t>
                  </w:r>
                  <w:r>
                    <w:rPr>
                      <w:sz w:val="21"/>
                    </w:rPr>
                    <w:t>g/kg</w:t>
                  </w:r>
                  <w:r>
                    <w:rPr>
                      <w:sz w:val="21"/>
                    </w:rPr>
                    <w:t>）</w:t>
                  </w:r>
                </w:p>
              </w:tc>
              <w:tc>
                <w:tcPr>
                  <w:tcW w:type="dxa" w:w="1108"/>
                  <w:tcBorders>
                    <w:top w:val="none" w:color="000000" w:sz="4"/>
                    <w:left w:val="none" w:color="000000" w:sz="4"/>
                    <w:bottom w:val="single" w:color="000000" w:sz="4"/>
                    <w:right w:val="single" w:color="000000" w:sz="4"/>
                  </w:tcBorders>
                  <w:vAlign w:val="top"/>
                </w:tcPr>
                <w:p>
                  <w:pPr>
                    <w:jc w:val="center"/>
                  </w:pPr>
                  <w:r>
                    <w:rPr>
                      <w:sz w:val="21"/>
                    </w:rPr>
                    <w:t>≤1.0</w:t>
                  </w:r>
                </w:p>
              </w:tc>
            </w:tr>
            <w:tr>
              <w:tc>
                <w:tcPr>
                  <w:tcW w:type="dxa" w:w="710"/>
                  <w:tcBorders>
                    <w:top w:val="none" w:color="000000" w:sz="4"/>
                    <w:left w:val="single" w:color="000000" w:sz="4"/>
                    <w:bottom w:val="single" w:color="000000" w:sz="4"/>
                    <w:right w:val="single" w:color="000000" w:sz="4"/>
                  </w:tcBorders>
                  <w:vAlign w:val="top"/>
                </w:tcPr>
                <w:p>
                  <w:pPr>
                    <w:jc w:val="center"/>
                  </w:pPr>
                  <w:r>
                    <w:rPr>
                      <w:sz w:val="21"/>
                    </w:rPr>
                    <w:t>3</w:t>
                  </w:r>
                </w:p>
              </w:tc>
              <w:tc>
                <w:tcPr>
                  <w:tcW w:type="dxa" w:w="3779"/>
                  <w:tcBorders>
                    <w:top w:val="none" w:color="000000" w:sz="4"/>
                    <w:left w:val="none" w:color="000000" w:sz="4"/>
                    <w:bottom w:val="single" w:color="000000" w:sz="4"/>
                    <w:right w:val="single" w:color="000000" w:sz="4"/>
                  </w:tcBorders>
                  <w:vAlign w:val="top"/>
                </w:tcPr>
                <w:p>
                  <w:pPr>
                    <w:jc w:val="center"/>
                  </w:pPr>
                  <w:r>
                    <w:rPr>
                      <w:sz w:val="21"/>
                    </w:rPr>
                    <w:t>短链氯化石蜡（</w:t>
                  </w:r>
                  <w:r>
                    <w:rPr>
                      <w:sz w:val="21"/>
                    </w:rPr>
                    <w:t>C</w:t>
                  </w:r>
                  <w:r>
                    <w:rPr>
                      <w:sz w:val="21"/>
                      <w:vertAlign w:val="subscript"/>
                    </w:rPr>
                    <w:t>10</w:t>
                  </w:r>
                  <w:r>
                    <w:rPr>
                      <w:sz w:val="21"/>
                    </w:rPr>
                    <w:t>-C</w:t>
                  </w:r>
                  <w:r>
                    <w:rPr>
                      <w:sz w:val="21"/>
                      <w:vertAlign w:val="subscript"/>
                    </w:rPr>
                    <w:t>13</w:t>
                  </w:r>
                  <w:r>
                    <w:rPr>
                      <w:sz w:val="21"/>
                    </w:rPr>
                    <w:t>）</w:t>
                  </w:r>
                  <w:r>
                    <w:rPr>
                      <w:sz w:val="21"/>
                    </w:rPr>
                    <w:t>/</w:t>
                  </w:r>
                  <w:r>
                    <w:rPr>
                      <w:sz w:val="21"/>
                    </w:rPr>
                    <w:t>（</w:t>
                  </w:r>
                  <w:r>
                    <w:rPr>
                      <w:sz w:val="21"/>
                    </w:rPr>
                    <w:t>g/kg</w:t>
                  </w:r>
                  <w:r>
                    <w:rPr>
                      <w:sz w:val="21"/>
                    </w:rPr>
                    <w:t>）</w:t>
                  </w:r>
                </w:p>
              </w:tc>
              <w:tc>
                <w:tcPr>
                  <w:tcW w:type="dxa" w:w="1108"/>
                  <w:tcBorders>
                    <w:top w:val="none" w:color="000000" w:sz="4"/>
                    <w:left w:val="none" w:color="000000" w:sz="4"/>
                    <w:bottom w:val="single" w:color="000000" w:sz="4"/>
                    <w:right w:val="single" w:color="000000" w:sz="4"/>
                  </w:tcBorders>
                  <w:vAlign w:val="top"/>
                </w:tcPr>
                <w:p>
                  <w:pPr>
                    <w:jc w:val="center"/>
                  </w:pPr>
                  <w:r>
                    <w:rPr>
                      <w:sz w:val="21"/>
                    </w:rPr>
                    <w:t>≤1.5</w:t>
                  </w:r>
                </w:p>
              </w:tc>
            </w:tr>
            <w:tr>
              <w:tc>
                <w:tcPr>
                  <w:tcW w:type="dxa" w:w="710"/>
                  <w:tcBorders>
                    <w:top w:val="none" w:color="000000" w:sz="4"/>
                    <w:left w:val="single" w:color="000000" w:sz="4"/>
                    <w:bottom w:val="single" w:color="000000" w:sz="4"/>
                    <w:right w:val="single" w:color="000000" w:sz="4"/>
                  </w:tcBorders>
                  <w:vAlign w:val="top"/>
                </w:tcPr>
                <w:p>
                  <w:pPr>
                    <w:jc w:val="center"/>
                  </w:pPr>
                  <w:r>
                    <w:rPr>
                      <w:sz w:val="21"/>
                    </w:rPr>
                    <w:t>4</w:t>
                  </w:r>
                </w:p>
              </w:tc>
              <w:tc>
                <w:tcPr>
                  <w:tcW w:type="dxa" w:w="3779"/>
                  <w:tcBorders>
                    <w:top w:val="none" w:color="000000" w:sz="4"/>
                    <w:left w:val="none" w:color="000000" w:sz="4"/>
                    <w:bottom w:val="single" w:color="000000" w:sz="4"/>
                    <w:right w:val="single" w:color="000000" w:sz="4"/>
                  </w:tcBorders>
                  <w:vAlign w:val="top"/>
                </w:tcPr>
                <w:p>
                  <w:pPr>
                    <w:jc w:val="center"/>
                  </w:pPr>
                  <w:r>
                    <w:rPr>
                      <w:sz w:val="21"/>
                    </w:rPr>
                    <w:t>游离甲苯二异氰酸酯（</w:t>
                  </w:r>
                  <w:r>
                    <w:rPr>
                      <w:sz w:val="21"/>
                    </w:rPr>
                    <w:t>TDI</w:t>
                  </w:r>
                  <w:r>
                    <w:rPr>
                      <w:sz w:val="21"/>
                    </w:rPr>
                    <w:t>）和游离六亚甲基二异氰酸酯（</w:t>
                  </w:r>
                  <w:r>
                    <w:rPr>
                      <w:sz w:val="21"/>
                    </w:rPr>
                    <w:t>HDI</w:t>
                  </w:r>
                  <w:r>
                    <w:rPr>
                      <w:sz w:val="21"/>
                    </w:rPr>
                    <w:t>）总和</w:t>
                  </w:r>
                  <w:r>
                    <w:rPr>
                      <w:sz w:val="21"/>
                    </w:rPr>
                    <w:t>/</w:t>
                  </w:r>
                  <w:r>
                    <w:rPr>
                      <w:sz w:val="21"/>
                    </w:rPr>
                    <w:t>（</w:t>
                  </w:r>
                  <w:r>
                    <w:rPr>
                      <w:sz w:val="21"/>
                    </w:rPr>
                    <w:t>g/kg</w:t>
                  </w:r>
                  <w:r>
                    <w:rPr>
                      <w:sz w:val="21"/>
                    </w:rPr>
                    <w:t>）</w:t>
                  </w:r>
                </w:p>
              </w:tc>
              <w:tc>
                <w:tcPr>
                  <w:tcW w:type="dxa" w:w="1108"/>
                  <w:tcBorders>
                    <w:top w:val="none" w:color="000000" w:sz="4"/>
                    <w:left w:val="none" w:color="000000" w:sz="4"/>
                    <w:bottom w:val="single" w:color="000000" w:sz="4"/>
                    <w:right w:val="single" w:color="000000" w:sz="4"/>
                  </w:tcBorders>
                  <w:vAlign w:val="top"/>
                </w:tcPr>
                <w:p>
                  <w:pPr>
                    <w:jc w:val="center"/>
                  </w:pPr>
                  <w:r>
                    <w:rPr>
                      <w:sz w:val="21"/>
                    </w:rPr>
                    <w:t>≤10</w:t>
                  </w:r>
                </w:p>
              </w:tc>
            </w:tr>
            <w:tr>
              <w:tc>
                <w:tcPr>
                  <w:tcW w:type="dxa" w:w="710"/>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779"/>
                  <w:tcBorders>
                    <w:top w:val="none" w:color="000000" w:sz="4"/>
                    <w:left w:val="none" w:color="000000" w:sz="4"/>
                    <w:bottom w:val="single" w:color="000000" w:sz="4"/>
                    <w:right w:val="single" w:color="000000" w:sz="4"/>
                  </w:tcBorders>
                  <w:vAlign w:val="top"/>
                </w:tcPr>
                <w:p>
                  <w:pPr>
                    <w:jc w:val="center"/>
                  </w:pPr>
                  <w:r>
                    <w:rPr>
                      <w:sz w:val="21"/>
                    </w:rPr>
                    <w:t>挥发性有机化合物</w:t>
                  </w:r>
                  <w:r>
                    <w:rPr>
                      <w:sz w:val="21"/>
                    </w:rPr>
                    <w:t>/</w:t>
                  </w:r>
                  <w:r>
                    <w:rPr>
                      <w:sz w:val="21"/>
                    </w:rPr>
                    <w:t>（</w:t>
                  </w:r>
                  <w:r>
                    <w:rPr>
                      <w:sz w:val="21"/>
                    </w:rPr>
                    <w:t>g/L</w:t>
                  </w:r>
                  <w:r>
                    <w:rPr>
                      <w:sz w:val="21"/>
                    </w:rPr>
                    <w:t>）</w:t>
                  </w:r>
                </w:p>
              </w:tc>
              <w:tc>
                <w:tcPr>
                  <w:tcW w:type="dxa" w:w="1108"/>
                  <w:tcBorders>
                    <w:top w:val="none" w:color="000000" w:sz="4"/>
                    <w:left w:val="none" w:color="000000" w:sz="4"/>
                    <w:bottom w:val="single" w:color="000000" w:sz="4"/>
                    <w:right w:val="single" w:color="000000" w:sz="4"/>
                  </w:tcBorders>
                  <w:vAlign w:val="top"/>
                </w:tcPr>
                <w:p>
                  <w:pPr>
                    <w:jc w:val="center"/>
                  </w:pPr>
                  <w:r>
                    <w:rPr>
                      <w:sz w:val="21"/>
                    </w:rPr>
                    <w:t>≤50</w:t>
                  </w:r>
                </w:p>
              </w:tc>
            </w:tr>
            <w:tr>
              <w:tc>
                <w:tcPr>
                  <w:tcW w:type="dxa" w:w="710"/>
                  <w:tcBorders>
                    <w:top w:val="none" w:color="000000" w:sz="4"/>
                    <w:left w:val="single" w:color="000000" w:sz="4"/>
                    <w:bottom w:val="single" w:color="000000" w:sz="4"/>
                    <w:right w:val="single" w:color="000000" w:sz="4"/>
                  </w:tcBorders>
                  <w:vAlign w:val="top"/>
                </w:tcPr>
                <w:p>
                  <w:pPr>
                    <w:jc w:val="center"/>
                  </w:pPr>
                  <w:r>
                    <w:rPr>
                      <w:sz w:val="21"/>
                    </w:rPr>
                    <w:t>6</w:t>
                  </w:r>
                </w:p>
              </w:tc>
              <w:tc>
                <w:tcPr>
                  <w:tcW w:type="dxa" w:w="3779"/>
                  <w:tcBorders>
                    <w:top w:val="none" w:color="000000" w:sz="4"/>
                    <w:left w:val="none" w:color="000000" w:sz="4"/>
                    <w:bottom w:val="single" w:color="000000" w:sz="4"/>
                    <w:right w:val="single" w:color="000000" w:sz="4"/>
                  </w:tcBorders>
                  <w:vAlign w:val="top"/>
                </w:tcPr>
                <w:p>
                  <w:pPr>
                    <w:jc w:val="center"/>
                  </w:pPr>
                  <w:r>
                    <w:rPr>
                      <w:sz w:val="21"/>
                    </w:rPr>
                    <w:t>游离甲醛</w:t>
                  </w:r>
                  <w:r>
                    <w:rPr>
                      <w:sz w:val="21"/>
                    </w:rPr>
                    <w:t>/</w:t>
                  </w:r>
                  <w:r>
                    <w:rPr>
                      <w:sz w:val="21"/>
                    </w:rPr>
                    <w:t>（</w:t>
                  </w:r>
                  <w:r>
                    <w:rPr>
                      <w:sz w:val="21"/>
                    </w:rPr>
                    <w:t>g/kg</w:t>
                  </w:r>
                  <w:r>
                    <w:rPr>
                      <w:sz w:val="21"/>
                    </w:rPr>
                    <w:t>）</w:t>
                  </w:r>
                </w:p>
              </w:tc>
              <w:tc>
                <w:tcPr>
                  <w:tcW w:type="dxa" w:w="1108"/>
                  <w:tcBorders>
                    <w:top w:val="none" w:color="000000" w:sz="4"/>
                    <w:left w:val="none" w:color="000000" w:sz="4"/>
                    <w:bottom w:val="single" w:color="000000" w:sz="4"/>
                    <w:right w:val="single" w:color="000000" w:sz="4"/>
                  </w:tcBorders>
                  <w:vAlign w:val="top"/>
                </w:tcPr>
                <w:p>
                  <w:pPr>
                    <w:jc w:val="center"/>
                  </w:pPr>
                  <w:r>
                    <w:rPr>
                      <w:sz w:val="21"/>
                    </w:rPr>
                    <w:t>≤0.50</w:t>
                  </w:r>
                </w:p>
              </w:tc>
            </w:tr>
            <w:tr>
              <w:tc>
                <w:tcPr>
                  <w:tcW w:type="dxa" w:w="710"/>
                  <w:tcBorders>
                    <w:top w:val="none" w:color="000000" w:sz="4"/>
                    <w:left w:val="single" w:color="000000" w:sz="4"/>
                    <w:bottom w:val="single" w:color="000000" w:sz="4"/>
                    <w:right w:val="single" w:color="000000" w:sz="4"/>
                  </w:tcBorders>
                  <w:vAlign w:val="top"/>
                </w:tcPr>
                <w:p>
                  <w:pPr>
                    <w:jc w:val="center"/>
                  </w:pPr>
                  <w:r>
                    <w:rPr>
                      <w:sz w:val="21"/>
                    </w:rPr>
                    <w:t>7</w:t>
                  </w:r>
                </w:p>
              </w:tc>
              <w:tc>
                <w:tcPr>
                  <w:tcW w:type="dxa" w:w="3779"/>
                  <w:tcBorders>
                    <w:top w:val="none" w:color="000000" w:sz="4"/>
                    <w:left w:val="none" w:color="000000" w:sz="4"/>
                    <w:bottom w:val="single" w:color="000000" w:sz="4"/>
                    <w:right w:val="single" w:color="000000" w:sz="4"/>
                  </w:tcBorders>
                  <w:vAlign w:val="top"/>
                </w:tcPr>
                <w:p>
                  <w:pPr>
                    <w:jc w:val="center"/>
                  </w:pPr>
                  <w:r>
                    <w:rPr>
                      <w:sz w:val="21"/>
                    </w:rPr>
                    <w:t>苯</w:t>
                  </w:r>
                  <w:r>
                    <w:rPr>
                      <w:sz w:val="21"/>
                    </w:rPr>
                    <w:t>/</w:t>
                  </w:r>
                  <w:r>
                    <w:rPr>
                      <w:sz w:val="21"/>
                    </w:rPr>
                    <w:t>（</w:t>
                  </w:r>
                  <w:r>
                    <w:rPr>
                      <w:sz w:val="21"/>
                    </w:rPr>
                    <w:t>g/kg</w:t>
                  </w:r>
                  <w:r>
                    <w:rPr>
                      <w:sz w:val="21"/>
                    </w:rPr>
                    <w:t>）</w:t>
                  </w:r>
                </w:p>
              </w:tc>
              <w:tc>
                <w:tcPr>
                  <w:tcW w:type="dxa" w:w="1108"/>
                  <w:tcBorders>
                    <w:top w:val="none" w:color="000000" w:sz="4"/>
                    <w:left w:val="none" w:color="000000" w:sz="4"/>
                    <w:bottom w:val="single" w:color="000000" w:sz="4"/>
                    <w:right w:val="single" w:color="000000" w:sz="4"/>
                  </w:tcBorders>
                  <w:vAlign w:val="top"/>
                </w:tcPr>
                <w:p>
                  <w:pPr>
                    <w:jc w:val="center"/>
                  </w:pPr>
                  <w:r>
                    <w:rPr>
                      <w:sz w:val="21"/>
                    </w:rPr>
                    <w:t>≤0.05</w:t>
                  </w:r>
                </w:p>
              </w:tc>
            </w:tr>
            <w:tr>
              <w:tc>
                <w:tcPr>
                  <w:tcW w:type="dxa" w:w="710"/>
                  <w:tcBorders>
                    <w:top w:val="none" w:color="000000" w:sz="4"/>
                    <w:left w:val="single" w:color="000000" w:sz="4"/>
                    <w:bottom w:val="single" w:color="000000" w:sz="4"/>
                    <w:right w:val="single" w:color="000000" w:sz="4"/>
                  </w:tcBorders>
                  <w:vAlign w:val="top"/>
                </w:tcPr>
                <w:p>
                  <w:pPr>
                    <w:jc w:val="center"/>
                  </w:pPr>
                  <w:r>
                    <w:rPr>
                      <w:sz w:val="21"/>
                    </w:rPr>
                    <w:t>8</w:t>
                  </w:r>
                </w:p>
              </w:tc>
              <w:tc>
                <w:tcPr>
                  <w:tcW w:type="dxa" w:w="3779"/>
                  <w:tcBorders>
                    <w:top w:val="none" w:color="000000" w:sz="4"/>
                    <w:left w:val="none" w:color="000000" w:sz="4"/>
                    <w:bottom w:val="single" w:color="000000" w:sz="4"/>
                    <w:right w:val="single" w:color="000000" w:sz="4"/>
                  </w:tcBorders>
                  <w:vAlign w:val="top"/>
                </w:tcPr>
                <w:p>
                  <w:pPr>
                    <w:jc w:val="center"/>
                  </w:pPr>
                  <w:r>
                    <w:rPr>
                      <w:sz w:val="21"/>
                    </w:rPr>
                    <w:t>甲苯、二甲苯和乙苯总和</w:t>
                  </w:r>
                  <w:r>
                    <w:rPr>
                      <w:sz w:val="21"/>
                    </w:rPr>
                    <w:t>/</w:t>
                  </w:r>
                  <w:r>
                    <w:rPr>
                      <w:sz w:val="21"/>
                    </w:rPr>
                    <w:t>（</w:t>
                  </w:r>
                  <w:r>
                    <w:rPr>
                      <w:sz w:val="21"/>
                    </w:rPr>
                    <w:t>g/kg</w:t>
                  </w:r>
                  <w:r>
                    <w:rPr>
                      <w:sz w:val="21"/>
                    </w:rPr>
                    <w:t>）</w:t>
                  </w:r>
                </w:p>
              </w:tc>
              <w:tc>
                <w:tcPr>
                  <w:tcW w:type="dxa" w:w="1108"/>
                  <w:tcBorders>
                    <w:top w:val="none" w:color="000000" w:sz="4"/>
                    <w:left w:val="none" w:color="000000" w:sz="4"/>
                    <w:bottom w:val="single" w:color="000000" w:sz="4"/>
                    <w:right w:val="single" w:color="000000" w:sz="4"/>
                  </w:tcBorders>
                  <w:vAlign w:val="top"/>
                </w:tcPr>
                <w:p>
                  <w:pPr>
                    <w:jc w:val="center"/>
                  </w:pPr>
                  <w:r>
                    <w:rPr>
                      <w:sz w:val="21"/>
                    </w:rPr>
                    <w:t>≤1.0</w:t>
                  </w:r>
                </w:p>
              </w:tc>
            </w:tr>
            <w:tr>
              <w:tc>
                <w:tcPr>
                  <w:tcW w:type="dxa" w:w="710"/>
                  <w:tcBorders>
                    <w:top w:val="none" w:color="000000" w:sz="4"/>
                    <w:left w:val="single" w:color="000000" w:sz="4"/>
                    <w:bottom w:val="single" w:color="000000" w:sz="4"/>
                    <w:right w:val="single" w:color="000000" w:sz="4"/>
                  </w:tcBorders>
                  <w:vAlign w:val="top"/>
                </w:tcPr>
                <w:p>
                  <w:pPr>
                    <w:jc w:val="center"/>
                  </w:pPr>
                  <w:r>
                    <w:rPr>
                      <w:sz w:val="21"/>
                    </w:rPr>
                    <w:t>9</w:t>
                  </w:r>
                </w:p>
              </w:tc>
              <w:tc>
                <w:tcPr>
                  <w:tcW w:type="dxa" w:w="3779"/>
                  <w:tcBorders>
                    <w:top w:val="none" w:color="000000" w:sz="4"/>
                    <w:left w:val="none" w:color="000000" w:sz="4"/>
                    <w:bottom w:val="single" w:color="000000" w:sz="4"/>
                    <w:right w:val="single" w:color="000000" w:sz="4"/>
                  </w:tcBorders>
                  <w:vAlign w:val="top"/>
                </w:tcPr>
                <w:p>
                  <w:pPr>
                    <w:jc w:val="center"/>
                  </w:pPr>
                  <w:r>
                    <w:rPr>
                      <w:sz w:val="21"/>
                    </w:rPr>
                    <w:t>可溶性铅</w:t>
                  </w:r>
                  <w:r>
                    <w:rPr>
                      <w:sz w:val="21"/>
                    </w:rPr>
                    <w:t>/(mg/kg)</w:t>
                  </w:r>
                </w:p>
              </w:tc>
              <w:tc>
                <w:tcPr>
                  <w:tcW w:type="dxa" w:w="1108"/>
                  <w:tcBorders>
                    <w:top w:val="none" w:color="000000" w:sz="4"/>
                    <w:left w:val="none" w:color="000000" w:sz="4"/>
                    <w:bottom w:val="single" w:color="000000" w:sz="4"/>
                    <w:right w:val="single" w:color="000000" w:sz="4"/>
                  </w:tcBorders>
                  <w:vAlign w:val="top"/>
                </w:tcPr>
                <w:p>
                  <w:pPr>
                    <w:jc w:val="center"/>
                  </w:pPr>
                  <w:r>
                    <w:rPr>
                      <w:sz w:val="21"/>
                    </w:rPr>
                    <w:t>≤50</w:t>
                  </w:r>
                </w:p>
              </w:tc>
            </w:tr>
            <w:tr>
              <w:tc>
                <w:tcPr>
                  <w:tcW w:type="dxa" w:w="710"/>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3779"/>
                  <w:tcBorders>
                    <w:top w:val="none" w:color="000000" w:sz="4"/>
                    <w:left w:val="none" w:color="000000" w:sz="4"/>
                    <w:bottom w:val="single" w:color="000000" w:sz="4"/>
                    <w:right w:val="single" w:color="000000" w:sz="4"/>
                  </w:tcBorders>
                  <w:vAlign w:val="top"/>
                </w:tcPr>
                <w:p>
                  <w:pPr>
                    <w:jc w:val="center"/>
                  </w:pPr>
                  <w:r>
                    <w:rPr>
                      <w:sz w:val="21"/>
                    </w:rPr>
                    <w:t>可溶性镉</w:t>
                  </w:r>
                  <w:r>
                    <w:rPr>
                      <w:sz w:val="21"/>
                    </w:rPr>
                    <w:t>/(mg/kg)</w:t>
                  </w:r>
                </w:p>
              </w:tc>
              <w:tc>
                <w:tcPr>
                  <w:tcW w:type="dxa" w:w="1108"/>
                  <w:tcBorders>
                    <w:top w:val="none" w:color="000000" w:sz="4"/>
                    <w:left w:val="none" w:color="000000" w:sz="4"/>
                    <w:bottom w:val="single" w:color="000000" w:sz="4"/>
                    <w:right w:val="single" w:color="000000" w:sz="4"/>
                  </w:tcBorders>
                  <w:vAlign w:val="top"/>
                </w:tcPr>
                <w:p>
                  <w:pPr>
                    <w:jc w:val="center"/>
                  </w:pPr>
                  <w:r>
                    <w:rPr>
                      <w:sz w:val="21"/>
                    </w:rPr>
                    <w:t>≤10</w:t>
                  </w:r>
                </w:p>
              </w:tc>
            </w:tr>
            <w:tr>
              <w:tc>
                <w:tcPr>
                  <w:tcW w:type="dxa" w:w="710"/>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3779"/>
                  <w:tcBorders>
                    <w:top w:val="none" w:color="000000" w:sz="4"/>
                    <w:left w:val="none" w:color="000000" w:sz="4"/>
                    <w:bottom w:val="single" w:color="000000" w:sz="4"/>
                    <w:right w:val="single" w:color="000000" w:sz="4"/>
                  </w:tcBorders>
                  <w:vAlign w:val="top"/>
                </w:tcPr>
                <w:p>
                  <w:pPr>
                    <w:jc w:val="center"/>
                  </w:pPr>
                  <w:r>
                    <w:rPr>
                      <w:sz w:val="21"/>
                    </w:rPr>
                    <w:t>可溶性铬</w:t>
                  </w:r>
                  <w:r>
                    <w:rPr>
                      <w:sz w:val="21"/>
                    </w:rPr>
                    <w:t>/(mg/kg)</w:t>
                  </w:r>
                </w:p>
              </w:tc>
              <w:tc>
                <w:tcPr>
                  <w:tcW w:type="dxa" w:w="1108"/>
                  <w:tcBorders>
                    <w:top w:val="none" w:color="000000" w:sz="4"/>
                    <w:left w:val="none" w:color="000000" w:sz="4"/>
                    <w:bottom w:val="single" w:color="000000" w:sz="4"/>
                    <w:right w:val="single" w:color="000000" w:sz="4"/>
                  </w:tcBorders>
                  <w:vAlign w:val="top"/>
                </w:tcPr>
                <w:p>
                  <w:pPr>
                    <w:jc w:val="center"/>
                  </w:pPr>
                  <w:r>
                    <w:rPr>
                      <w:sz w:val="21"/>
                    </w:rPr>
                    <w:t>≤10</w:t>
                  </w:r>
                </w:p>
              </w:tc>
            </w:tr>
            <w:tr>
              <w:tc>
                <w:tcPr>
                  <w:tcW w:type="dxa" w:w="710"/>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3779"/>
                  <w:tcBorders>
                    <w:top w:val="none" w:color="000000" w:sz="4"/>
                    <w:left w:val="none" w:color="000000" w:sz="4"/>
                    <w:bottom w:val="single" w:color="000000" w:sz="4"/>
                    <w:right w:val="single" w:color="000000" w:sz="4"/>
                  </w:tcBorders>
                  <w:vAlign w:val="top"/>
                </w:tcPr>
                <w:p>
                  <w:pPr>
                    <w:jc w:val="center"/>
                  </w:pPr>
                  <w:r>
                    <w:rPr>
                      <w:sz w:val="21"/>
                    </w:rPr>
                    <w:t>可溶性汞</w:t>
                  </w:r>
                  <w:r>
                    <w:rPr>
                      <w:sz w:val="21"/>
                    </w:rPr>
                    <w:t>/(mg/kg)</w:t>
                  </w:r>
                </w:p>
              </w:tc>
              <w:tc>
                <w:tcPr>
                  <w:tcW w:type="dxa" w:w="1108"/>
                  <w:tcBorders>
                    <w:top w:val="none" w:color="000000" w:sz="4"/>
                    <w:left w:val="none" w:color="000000" w:sz="4"/>
                    <w:bottom w:val="single" w:color="000000" w:sz="4"/>
                    <w:right w:val="single" w:color="000000" w:sz="4"/>
                  </w:tcBorders>
                  <w:vAlign w:val="top"/>
                </w:tcPr>
                <w:p>
                  <w:pPr>
                    <w:jc w:val="center"/>
                  </w:pPr>
                  <w:r>
                    <w:rPr>
                      <w:sz w:val="21"/>
                    </w:rPr>
                    <w:t>≤2</w:t>
                  </w:r>
                </w:p>
              </w:tc>
            </w:tr>
          </w:tbl>
          <w:p>
            <w:pPr>
              <w:jc w:val="both"/>
            </w:pPr>
          </w:p>
          <w:p>
            <w:pPr>
              <w:jc w:val="both"/>
            </w:pPr>
            <w:r>
              <w:rPr>
                <w:sz w:val="21"/>
              </w:rPr>
              <w:t>表2：面层成品中有害物质限量及气味要求的合格检测报告技术标准列表</w:t>
            </w:r>
          </w:p>
          <w:tbl>
            <w:tblPr>
              <w:tblBorders>
                <w:top w:val="none" w:color="000000" w:sz="4"/>
                <w:left w:val="none" w:color="000000" w:sz="4"/>
                <w:bottom w:val="none" w:color="000000" w:sz="4"/>
                <w:right w:val="none" w:color="000000" w:sz="4"/>
                <w:insideH w:val="none"/>
                <w:insideV w:val="none"/>
              </w:tblBorders>
            </w:tblPr>
            <w:tblGrid>
              <w:gridCol w:w="701"/>
              <w:gridCol w:w="339"/>
              <w:gridCol w:w="3506"/>
              <w:gridCol w:w="1050"/>
            </w:tblGrid>
            <w:tr>
              <w:tc>
                <w:tcPr>
                  <w:tcW w:type="dxa" w:w="4546"/>
                  <w:gridSpan w:val="3"/>
                  <w:tcBorders>
                    <w:top w:val="single" w:color="000000" w:sz="4"/>
                    <w:left w:val="single" w:color="000000" w:sz="4"/>
                    <w:bottom w:val="single" w:color="000000" w:sz="4"/>
                    <w:right w:val="single" w:color="000000" w:sz="4"/>
                  </w:tcBorders>
                  <w:vAlign w:val="top"/>
                </w:tcPr>
                <w:p>
                  <w:pPr>
                    <w:jc w:val="center"/>
                  </w:pPr>
                  <w:r>
                    <w:rPr>
                      <w:sz w:val="21"/>
                    </w:rPr>
                    <w:t>检验项目</w:t>
                  </w:r>
                </w:p>
              </w:tc>
              <w:tc>
                <w:tcPr>
                  <w:tcW w:type="dxa" w:w="1050"/>
                  <w:tcBorders>
                    <w:top w:val="single" w:color="000000" w:sz="4"/>
                    <w:left w:val="none" w:color="000000" w:sz="4"/>
                    <w:bottom w:val="single" w:color="000000" w:sz="4"/>
                    <w:right w:val="single" w:color="000000" w:sz="4"/>
                  </w:tcBorders>
                  <w:vAlign w:val="top"/>
                </w:tcPr>
                <w:p>
                  <w:pPr>
                    <w:jc w:val="center"/>
                  </w:pPr>
                  <w:r>
                    <w:rPr>
                      <w:sz w:val="21"/>
                    </w:rPr>
                    <w:t>标准要求</w:t>
                  </w:r>
                </w:p>
              </w:tc>
            </w:tr>
            <w:tr>
              <w:tc>
                <w:tcPr>
                  <w:tcW w:type="dxa" w:w="701"/>
                  <w:vMerge w:val="restart"/>
                  <w:tcBorders>
                    <w:top w:val="none" w:color="000000" w:sz="4"/>
                    <w:left w:val="single" w:color="000000" w:sz="4"/>
                    <w:bottom w:val="none" w:color="000000" w:sz="4"/>
                    <w:right w:val="single" w:color="000000" w:sz="4"/>
                  </w:tcBorders>
                  <w:vAlign w:val="top"/>
                </w:tcPr>
                <w:p>
                  <w:pPr>
                    <w:jc w:val="center"/>
                  </w:pPr>
                  <w:r>
                    <w:rPr>
                      <w:sz w:val="21"/>
                    </w:rPr>
                    <w:t>有害物质含量</w:t>
                  </w:r>
                </w:p>
              </w:tc>
              <w:tc>
                <w:tcPr>
                  <w:tcW w:type="dxa" w:w="339"/>
                  <w:tcBorders>
                    <w:top w:val="none" w:color="000000" w:sz="4"/>
                    <w:left w:val="none" w:color="000000" w:sz="4"/>
                    <w:bottom w:val="single" w:color="000000" w:sz="4"/>
                    <w:right w:val="single" w:color="000000" w:sz="4"/>
                  </w:tcBorders>
                  <w:vAlign w:val="top"/>
                </w:tcPr>
                <w:p>
                  <w:pPr>
                    <w:jc w:val="center"/>
                  </w:pPr>
                  <w:r>
                    <w:rPr>
                      <w:sz w:val="21"/>
                    </w:rPr>
                    <w:t>1</w:t>
                  </w:r>
                </w:p>
              </w:tc>
              <w:tc>
                <w:tcPr>
                  <w:tcW w:type="dxa" w:w="3506"/>
                  <w:tcBorders>
                    <w:top w:val="single" w:color="000000" w:sz="4"/>
                    <w:left w:val="none" w:color="000000" w:sz="4"/>
                    <w:bottom w:val="single" w:color="000000" w:sz="4"/>
                    <w:right w:val="single" w:color="000000" w:sz="4"/>
                  </w:tcBorders>
                  <w:vAlign w:val="top"/>
                </w:tcPr>
                <w:p>
                  <w:pPr>
                    <w:jc w:val="center"/>
                  </w:pPr>
                  <w:r>
                    <w:rPr>
                      <w:sz w:val="21"/>
                    </w:rPr>
                    <w:t>3</w:t>
                  </w:r>
                  <w:r>
                    <w:rPr>
                      <w:sz w:val="21"/>
                    </w:rPr>
                    <w:t xml:space="preserve">种邻苯二甲酸酯类   </w:t>
                  </w:r>
                </w:p>
                <w:p>
                  <w:pPr>
                    <w:jc w:val="center"/>
                  </w:pPr>
                  <w:r>
                    <w:rPr>
                      <w:sz w:val="21"/>
                    </w:rPr>
                    <w:t>（</w:t>
                  </w:r>
                  <w:r>
                    <w:rPr>
                      <w:sz w:val="21"/>
                    </w:rPr>
                    <w:t>DBP</w:t>
                  </w:r>
                  <w:r>
                    <w:rPr>
                      <w:sz w:val="21"/>
                    </w:rPr>
                    <w:t>、</w:t>
                  </w:r>
                  <w:r>
                    <w:rPr>
                      <w:sz w:val="21"/>
                    </w:rPr>
                    <w:t>BBP</w:t>
                  </w:r>
                  <w:r>
                    <w:rPr>
                      <w:sz w:val="21"/>
                    </w:rPr>
                    <w:t>、</w:t>
                  </w:r>
                  <w:r>
                    <w:rPr>
                      <w:sz w:val="21"/>
                    </w:rPr>
                    <w:t>DEHP</w:t>
                  </w:r>
                  <w:r>
                    <w:rPr>
                      <w:sz w:val="21"/>
                    </w:rPr>
                    <w:t>）总和</w:t>
                  </w:r>
                  <w:r>
                    <w:rPr>
                      <w:sz w:val="21"/>
                    </w:rPr>
                    <w:t>/</w:t>
                  </w:r>
                  <w:r>
                    <w:rPr>
                      <w:sz w:val="21"/>
                    </w:rPr>
                    <w:t>（</w:t>
                  </w:r>
                  <w:r>
                    <w:rPr>
                      <w:sz w:val="21"/>
                    </w:rPr>
                    <w:t>g/kg</w:t>
                  </w:r>
                  <w:r>
                    <w:rPr>
                      <w:sz w:val="21"/>
                    </w:rPr>
                    <w:t>）</w:t>
                  </w:r>
                </w:p>
              </w:tc>
              <w:tc>
                <w:tcPr>
                  <w:tcW w:type="dxa" w:w="1050"/>
                  <w:tcBorders>
                    <w:top w:val="none" w:color="000000" w:sz="4"/>
                    <w:left w:val="none" w:color="000000" w:sz="4"/>
                    <w:bottom w:val="single" w:color="000000" w:sz="4"/>
                    <w:right w:val="single" w:color="000000" w:sz="4"/>
                  </w:tcBorders>
                  <w:vAlign w:val="top"/>
                </w:tcPr>
                <w:p>
                  <w:pPr>
                    <w:jc w:val="center"/>
                  </w:pPr>
                  <w:r>
                    <w:rPr>
                      <w:sz w:val="21"/>
                    </w:rPr>
                    <w:t>≤1.0</w:t>
                  </w:r>
                </w:p>
              </w:tc>
            </w:tr>
            <w:tr>
              <w:tc>
                <w:tcPr>
                  <w:tcW w:type="dxa" w:w="701"/>
                  <w:vMerge/>
                  <w:tcBorders>
                    <w:top w:val="none" w:color="000000" w:sz="4"/>
                    <w:left w:val="single" w:color="000000" w:sz="4"/>
                    <w:bottom w:val="none" w:color="000000" w:sz="4"/>
                    <w:right w:val="single" w:color="000000" w:sz="4"/>
                  </w:tcBorders>
                </w:tcPr>
                <w:p/>
              </w:tc>
              <w:tc>
                <w:tcPr>
                  <w:tcW w:type="dxa" w:w="339"/>
                  <w:tcBorders>
                    <w:top w:val="none" w:color="000000" w:sz="4"/>
                    <w:left w:val="none" w:color="000000" w:sz="4"/>
                    <w:bottom w:val="single" w:color="000000" w:sz="4"/>
                    <w:right w:val="single" w:color="000000" w:sz="4"/>
                  </w:tcBorders>
                  <w:vAlign w:val="top"/>
                </w:tcPr>
                <w:p>
                  <w:pPr>
                    <w:jc w:val="center"/>
                  </w:pPr>
                  <w:r>
                    <w:rPr>
                      <w:sz w:val="21"/>
                    </w:rPr>
                    <w:t>2</w:t>
                  </w:r>
                </w:p>
              </w:tc>
              <w:tc>
                <w:tcPr>
                  <w:tcW w:type="dxa" w:w="3506"/>
                  <w:tcBorders>
                    <w:top w:val="none" w:color="000000" w:sz="4"/>
                    <w:left w:val="none" w:color="000000" w:sz="4"/>
                    <w:bottom w:val="single" w:color="000000" w:sz="4"/>
                    <w:right w:val="single" w:color="000000" w:sz="4"/>
                  </w:tcBorders>
                  <w:vAlign w:val="top"/>
                </w:tcPr>
                <w:p>
                  <w:pPr>
                    <w:jc w:val="center"/>
                  </w:pPr>
                  <w:r>
                    <w:rPr>
                      <w:sz w:val="21"/>
                    </w:rPr>
                    <w:t>3</w:t>
                  </w:r>
                  <w:r>
                    <w:rPr>
                      <w:sz w:val="21"/>
                    </w:rPr>
                    <w:t>种邻苯二甲酸酯类</w:t>
                  </w:r>
                </w:p>
                <w:p>
                  <w:pPr>
                    <w:jc w:val="center"/>
                  </w:pPr>
                  <w:r>
                    <w:rPr>
                      <w:sz w:val="21"/>
                    </w:rPr>
                    <w:t>（</w:t>
                  </w:r>
                  <w:r>
                    <w:rPr>
                      <w:sz w:val="21"/>
                    </w:rPr>
                    <w:t>DNOP</w:t>
                  </w:r>
                  <w:r>
                    <w:rPr>
                      <w:sz w:val="21"/>
                    </w:rPr>
                    <w:t>、</w:t>
                  </w:r>
                  <w:r>
                    <w:rPr>
                      <w:sz w:val="21"/>
                    </w:rPr>
                    <w:t>DINP</w:t>
                  </w:r>
                  <w:r>
                    <w:rPr>
                      <w:sz w:val="21"/>
                    </w:rPr>
                    <w:t>、</w:t>
                  </w:r>
                  <w:r>
                    <w:rPr>
                      <w:sz w:val="21"/>
                    </w:rPr>
                    <w:t>DIDP</w:t>
                  </w:r>
                  <w:r>
                    <w:rPr>
                      <w:sz w:val="21"/>
                    </w:rPr>
                    <w:t>）总和</w:t>
                  </w:r>
                  <w:r>
                    <w:rPr>
                      <w:sz w:val="21"/>
                    </w:rPr>
                    <w:t>/</w:t>
                  </w:r>
                  <w:r>
                    <w:rPr>
                      <w:sz w:val="21"/>
                    </w:rPr>
                    <w:t>（</w:t>
                  </w:r>
                  <w:r>
                    <w:rPr>
                      <w:sz w:val="21"/>
                    </w:rPr>
                    <w:t>g/kg</w:t>
                  </w:r>
                  <w:r>
                    <w:rPr>
                      <w:sz w:val="21"/>
                    </w:rPr>
                    <w:t>）</w:t>
                  </w:r>
                </w:p>
              </w:tc>
              <w:tc>
                <w:tcPr>
                  <w:tcW w:type="dxa" w:w="1050"/>
                  <w:tcBorders>
                    <w:top w:val="none" w:color="000000" w:sz="4"/>
                    <w:left w:val="none" w:color="000000" w:sz="4"/>
                    <w:bottom w:val="single" w:color="000000" w:sz="4"/>
                    <w:right w:val="single" w:color="000000" w:sz="4"/>
                  </w:tcBorders>
                  <w:vAlign w:val="top"/>
                </w:tcPr>
                <w:p>
                  <w:pPr>
                    <w:jc w:val="center"/>
                  </w:pPr>
                  <w:r>
                    <w:rPr>
                      <w:sz w:val="21"/>
                    </w:rPr>
                    <w:t>≤1.0</w:t>
                  </w:r>
                </w:p>
              </w:tc>
            </w:tr>
            <w:tr>
              <w:tc>
                <w:tcPr>
                  <w:tcW w:type="dxa" w:w="701"/>
                  <w:vMerge/>
                  <w:tcBorders>
                    <w:top w:val="none" w:color="000000" w:sz="4"/>
                    <w:left w:val="single" w:color="000000" w:sz="4"/>
                    <w:bottom w:val="none" w:color="000000" w:sz="4"/>
                    <w:right w:val="single" w:color="000000" w:sz="4"/>
                  </w:tcBorders>
                </w:tcPr>
                <w:p/>
              </w:tc>
              <w:tc>
                <w:tcPr>
                  <w:tcW w:type="dxa" w:w="339"/>
                  <w:tcBorders>
                    <w:top w:val="none" w:color="000000" w:sz="4"/>
                    <w:left w:val="none" w:color="000000" w:sz="4"/>
                    <w:bottom w:val="single" w:color="000000" w:sz="4"/>
                    <w:right w:val="single" w:color="000000" w:sz="4"/>
                  </w:tcBorders>
                  <w:vAlign w:val="top"/>
                </w:tcPr>
                <w:p>
                  <w:pPr>
                    <w:jc w:val="center"/>
                  </w:pPr>
                  <w:r>
                    <w:rPr>
                      <w:sz w:val="21"/>
                    </w:rPr>
                    <w:t>3</w:t>
                  </w:r>
                </w:p>
              </w:tc>
              <w:tc>
                <w:tcPr>
                  <w:tcW w:type="dxa" w:w="3506"/>
                  <w:tcBorders>
                    <w:top w:val="none" w:color="000000" w:sz="4"/>
                    <w:left w:val="none" w:color="000000" w:sz="4"/>
                    <w:bottom w:val="single" w:color="000000" w:sz="4"/>
                    <w:right w:val="single" w:color="000000" w:sz="4"/>
                  </w:tcBorders>
                  <w:vAlign w:val="top"/>
                </w:tcPr>
                <w:p>
                  <w:pPr>
                    <w:jc w:val="left"/>
                  </w:pPr>
                  <w:r>
                    <w:rPr>
                      <w:sz w:val="21"/>
                    </w:rPr>
                    <w:t>18</w:t>
                  </w:r>
                  <w:r>
                    <w:rPr>
                      <w:sz w:val="21"/>
                    </w:rPr>
                    <w:t>种多环芳烃总和</w:t>
                  </w:r>
                  <w:r>
                    <w:rPr>
                      <w:sz w:val="21"/>
                    </w:rPr>
                    <w:t>/(mg/kg)</w:t>
                  </w:r>
                </w:p>
              </w:tc>
              <w:tc>
                <w:tcPr>
                  <w:tcW w:type="dxa" w:w="1050"/>
                  <w:tcBorders>
                    <w:top w:val="none" w:color="000000" w:sz="4"/>
                    <w:left w:val="none" w:color="000000" w:sz="4"/>
                    <w:bottom w:val="single" w:color="000000" w:sz="4"/>
                    <w:right w:val="single" w:color="000000" w:sz="4"/>
                  </w:tcBorders>
                  <w:vAlign w:val="top"/>
                </w:tcPr>
                <w:p>
                  <w:pPr>
                    <w:jc w:val="center"/>
                  </w:pPr>
                  <w:r>
                    <w:rPr>
                      <w:sz w:val="21"/>
                    </w:rPr>
                    <w:t>≤50</w:t>
                  </w:r>
                </w:p>
              </w:tc>
            </w:tr>
            <w:tr>
              <w:tc>
                <w:tcPr>
                  <w:tcW w:type="dxa" w:w="701"/>
                  <w:vMerge/>
                  <w:tcBorders>
                    <w:top w:val="none" w:color="000000" w:sz="4"/>
                    <w:left w:val="single" w:color="000000" w:sz="4"/>
                    <w:bottom w:val="none" w:color="000000" w:sz="4"/>
                    <w:right w:val="single" w:color="000000" w:sz="4"/>
                  </w:tcBorders>
                </w:tcPr>
                <w:p/>
              </w:tc>
              <w:tc>
                <w:tcPr>
                  <w:tcW w:type="dxa" w:w="339"/>
                  <w:tcBorders>
                    <w:top w:val="none" w:color="000000" w:sz="4"/>
                    <w:left w:val="none" w:color="000000" w:sz="4"/>
                    <w:bottom w:val="single" w:color="000000" w:sz="4"/>
                    <w:right w:val="single" w:color="000000" w:sz="4"/>
                  </w:tcBorders>
                  <w:vAlign w:val="top"/>
                </w:tcPr>
                <w:p>
                  <w:pPr>
                    <w:jc w:val="center"/>
                  </w:pPr>
                  <w:r>
                    <w:rPr>
                      <w:sz w:val="21"/>
                    </w:rPr>
                    <w:t>4</w:t>
                  </w:r>
                </w:p>
              </w:tc>
              <w:tc>
                <w:tcPr>
                  <w:tcW w:type="dxa" w:w="3506"/>
                  <w:tcBorders>
                    <w:top w:val="none" w:color="000000" w:sz="4"/>
                    <w:left w:val="none" w:color="000000" w:sz="4"/>
                    <w:bottom w:val="single" w:color="000000" w:sz="4"/>
                    <w:right w:val="single" w:color="000000" w:sz="4"/>
                  </w:tcBorders>
                  <w:vAlign w:val="top"/>
                </w:tcPr>
                <w:p>
                  <w:pPr>
                    <w:jc w:val="center"/>
                  </w:pPr>
                  <w:r>
                    <w:rPr>
                      <w:sz w:val="21"/>
                    </w:rPr>
                    <w:t>苯并［</w:t>
                  </w:r>
                  <w:r>
                    <w:rPr>
                      <w:sz w:val="21"/>
                    </w:rPr>
                    <w:t>a</w:t>
                  </w:r>
                  <w:r>
                    <w:rPr>
                      <w:sz w:val="21"/>
                    </w:rPr>
                    <w:t>］芘</w:t>
                  </w:r>
                  <w:r>
                    <w:rPr>
                      <w:sz w:val="21"/>
                    </w:rPr>
                    <w:t>/</w:t>
                  </w:r>
                  <w:r>
                    <w:rPr>
                      <w:sz w:val="21"/>
                    </w:rPr>
                    <w:t>（</w:t>
                  </w:r>
                  <w:r>
                    <w:rPr>
                      <w:sz w:val="21"/>
                    </w:rPr>
                    <w:t>mg/kg</w:t>
                  </w:r>
                  <w:r>
                    <w:rPr>
                      <w:sz w:val="21"/>
                    </w:rPr>
                    <w:t>）</w:t>
                  </w:r>
                </w:p>
              </w:tc>
              <w:tc>
                <w:tcPr>
                  <w:tcW w:type="dxa" w:w="1050"/>
                  <w:tcBorders>
                    <w:top w:val="none" w:color="000000" w:sz="4"/>
                    <w:left w:val="none" w:color="000000" w:sz="4"/>
                    <w:bottom w:val="single" w:color="000000" w:sz="4"/>
                    <w:right w:val="single" w:color="000000" w:sz="4"/>
                  </w:tcBorders>
                  <w:vAlign w:val="top"/>
                </w:tcPr>
                <w:p>
                  <w:pPr>
                    <w:jc w:val="center"/>
                  </w:pPr>
                  <w:r>
                    <w:rPr>
                      <w:sz w:val="21"/>
                    </w:rPr>
                    <w:t>≤1.0</w:t>
                  </w:r>
                </w:p>
              </w:tc>
            </w:tr>
            <w:tr>
              <w:tc>
                <w:tcPr>
                  <w:tcW w:type="dxa" w:w="701"/>
                  <w:vMerge/>
                  <w:tcBorders>
                    <w:top w:val="none" w:color="000000" w:sz="4"/>
                    <w:left w:val="single" w:color="000000" w:sz="4"/>
                    <w:bottom w:val="none" w:color="000000" w:sz="4"/>
                    <w:right w:val="single" w:color="000000" w:sz="4"/>
                  </w:tcBorders>
                </w:tcPr>
                <w:p/>
              </w:tc>
              <w:tc>
                <w:tcPr>
                  <w:tcW w:type="dxa" w:w="339"/>
                  <w:tcBorders>
                    <w:top w:val="none" w:color="000000" w:sz="4"/>
                    <w:left w:val="none" w:color="000000" w:sz="4"/>
                    <w:bottom w:val="single" w:color="000000" w:sz="4"/>
                    <w:right w:val="single" w:color="000000" w:sz="4"/>
                  </w:tcBorders>
                  <w:vAlign w:val="top"/>
                </w:tcPr>
                <w:p>
                  <w:pPr>
                    <w:jc w:val="center"/>
                  </w:pPr>
                  <w:r>
                    <w:rPr>
                      <w:sz w:val="21"/>
                    </w:rPr>
                    <w:t>5</w:t>
                  </w:r>
                </w:p>
              </w:tc>
              <w:tc>
                <w:tcPr>
                  <w:tcW w:type="dxa" w:w="3506"/>
                  <w:tcBorders>
                    <w:top w:val="none" w:color="000000" w:sz="4"/>
                    <w:left w:val="none" w:color="000000" w:sz="4"/>
                    <w:bottom w:val="single" w:color="000000" w:sz="4"/>
                    <w:right w:val="single" w:color="000000" w:sz="4"/>
                  </w:tcBorders>
                  <w:vAlign w:val="top"/>
                </w:tcPr>
                <w:p>
                  <w:pPr>
                    <w:jc w:val="center"/>
                  </w:pPr>
                  <w:r>
                    <w:rPr>
                      <w:sz w:val="21"/>
                    </w:rPr>
                    <w:t>短链氯化石蜡（</w:t>
                  </w:r>
                  <w:r>
                    <w:rPr>
                      <w:sz w:val="21"/>
                    </w:rPr>
                    <w:t>C</w:t>
                  </w:r>
                  <w:r>
                    <w:rPr>
                      <w:sz w:val="21"/>
                      <w:vertAlign w:val="subscript"/>
                    </w:rPr>
                    <w:t>10</w:t>
                  </w:r>
                  <w:r>
                    <w:rPr>
                      <w:sz w:val="21"/>
                    </w:rPr>
                    <w:t>-C</w:t>
                  </w:r>
                  <w:r>
                    <w:rPr>
                      <w:sz w:val="21"/>
                      <w:vertAlign w:val="subscript"/>
                    </w:rPr>
                    <w:t>13</w:t>
                  </w:r>
                  <w:r>
                    <w:rPr>
                      <w:sz w:val="21"/>
                    </w:rPr>
                    <w:t>）</w:t>
                  </w:r>
                  <w:r>
                    <w:rPr>
                      <w:sz w:val="21"/>
                    </w:rPr>
                    <w:t>/</w:t>
                  </w:r>
                  <w:r>
                    <w:rPr>
                      <w:sz w:val="21"/>
                    </w:rPr>
                    <w:t>（</w:t>
                  </w:r>
                  <w:r>
                    <w:rPr>
                      <w:sz w:val="21"/>
                    </w:rPr>
                    <w:t>g/kg</w:t>
                  </w:r>
                  <w:r>
                    <w:rPr>
                      <w:sz w:val="21"/>
                    </w:rPr>
                    <w:t>）</w:t>
                  </w:r>
                </w:p>
              </w:tc>
              <w:tc>
                <w:tcPr>
                  <w:tcW w:type="dxa" w:w="1050"/>
                  <w:tcBorders>
                    <w:top w:val="none" w:color="000000" w:sz="4"/>
                    <w:left w:val="none" w:color="000000" w:sz="4"/>
                    <w:bottom w:val="single" w:color="000000" w:sz="4"/>
                    <w:right w:val="single" w:color="000000" w:sz="4"/>
                  </w:tcBorders>
                  <w:vAlign w:val="top"/>
                </w:tcPr>
                <w:p>
                  <w:pPr>
                    <w:jc w:val="center"/>
                  </w:pPr>
                  <w:r>
                    <w:rPr>
                      <w:sz w:val="21"/>
                    </w:rPr>
                    <w:t>≤1.5</w:t>
                  </w:r>
                </w:p>
              </w:tc>
            </w:tr>
            <w:tr>
              <w:tc>
                <w:tcPr>
                  <w:tcW w:type="dxa" w:w="701"/>
                  <w:vMerge/>
                  <w:tcBorders>
                    <w:top w:val="none" w:color="000000" w:sz="4"/>
                    <w:left w:val="single" w:color="000000" w:sz="4"/>
                    <w:bottom w:val="none" w:color="000000" w:sz="4"/>
                    <w:right w:val="single" w:color="000000" w:sz="4"/>
                  </w:tcBorders>
                </w:tcPr>
                <w:p/>
              </w:tc>
              <w:tc>
                <w:tcPr>
                  <w:tcW w:type="dxa" w:w="339"/>
                  <w:tcBorders>
                    <w:top w:val="none" w:color="000000" w:sz="4"/>
                    <w:left w:val="none" w:color="000000" w:sz="4"/>
                    <w:bottom w:val="single" w:color="000000" w:sz="4"/>
                    <w:right w:val="single" w:color="000000" w:sz="4"/>
                  </w:tcBorders>
                  <w:vAlign w:val="top"/>
                </w:tcPr>
                <w:p>
                  <w:pPr>
                    <w:jc w:val="center"/>
                  </w:pPr>
                  <w:r>
                    <w:rPr>
                      <w:sz w:val="21"/>
                    </w:rPr>
                    <w:t>6</w:t>
                  </w:r>
                </w:p>
              </w:tc>
              <w:tc>
                <w:tcPr>
                  <w:tcW w:type="dxa" w:w="3506"/>
                  <w:tcBorders>
                    <w:top w:val="none" w:color="000000" w:sz="4"/>
                    <w:left w:val="none" w:color="000000" w:sz="4"/>
                    <w:bottom w:val="single" w:color="000000" w:sz="4"/>
                    <w:right w:val="single" w:color="000000" w:sz="4"/>
                  </w:tcBorders>
                  <w:vAlign w:val="top"/>
                </w:tcPr>
                <w:p>
                  <w:pPr>
                    <w:jc w:val="center"/>
                  </w:pPr>
                  <w:r>
                    <w:rPr>
                      <w:sz w:val="21"/>
                    </w:rPr>
                    <w:t>4,4′</w:t>
                  </w:r>
                  <w:r>
                    <w:rPr>
                      <w:sz w:val="21"/>
                    </w:rPr>
                    <w:t>－二氨基一</w:t>
                  </w:r>
                  <w:r>
                    <w:rPr>
                      <w:sz w:val="21"/>
                    </w:rPr>
                    <w:t>3,3′</w:t>
                  </w:r>
                  <w:r>
                    <w:rPr>
                      <w:sz w:val="21"/>
                    </w:rPr>
                    <w:t>－二氯二苯甲烷（</w:t>
                  </w:r>
                  <w:r>
                    <w:rPr>
                      <w:sz w:val="21"/>
                    </w:rPr>
                    <w:t>MOCA</w:t>
                  </w:r>
                  <w:r>
                    <w:rPr>
                      <w:sz w:val="21"/>
                    </w:rPr>
                    <w:t>）</w:t>
                  </w:r>
                  <w:r>
                    <w:rPr>
                      <w:sz w:val="21"/>
                    </w:rPr>
                    <w:t>/</w:t>
                  </w:r>
                  <w:r>
                    <w:rPr>
                      <w:sz w:val="21"/>
                    </w:rPr>
                    <w:t>（</w:t>
                  </w:r>
                  <w:r>
                    <w:rPr>
                      <w:sz w:val="21"/>
                    </w:rPr>
                    <w:t>g/kg</w:t>
                  </w:r>
                  <w:r>
                    <w:rPr>
                      <w:sz w:val="21"/>
                    </w:rPr>
                    <w:t>）</w:t>
                  </w:r>
                </w:p>
              </w:tc>
              <w:tc>
                <w:tcPr>
                  <w:tcW w:type="dxa" w:w="1050"/>
                  <w:tcBorders>
                    <w:top w:val="none" w:color="000000" w:sz="4"/>
                    <w:left w:val="none" w:color="000000" w:sz="4"/>
                    <w:bottom w:val="single" w:color="000000" w:sz="4"/>
                    <w:right w:val="single" w:color="000000" w:sz="4"/>
                  </w:tcBorders>
                  <w:vAlign w:val="top"/>
                </w:tcPr>
                <w:p>
                  <w:pPr>
                    <w:jc w:val="center"/>
                  </w:pPr>
                  <w:r>
                    <w:rPr>
                      <w:sz w:val="21"/>
                    </w:rPr>
                    <w:t>≤1.0</w:t>
                  </w:r>
                </w:p>
              </w:tc>
            </w:tr>
            <w:tr>
              <w:tc>
                <w:tcPr>
                  <w:tcW w:type="dxa" w:w="701"/>
                  <w:vMerge/>
                  <w:tcBorders>
                    <w:top w:val="none" w:color="000000" w:sz="4"/>
                    <w:left w:val="single" w:color="000000" w:sz="4"/>
                    <w:bottom w:val="none" w:color="000000" w:sz="4"/>
                    <w:right w:val="single" w:color="000000" w:sz="4"/>
                  </w:tcBorders>
                </w:tcPr>
                <w:p/>
              </w:tc>
              <w:tc>
                <w:tcPr>
                  <w:tcW w:type="dxa" w:w="339"/>
                  <w:tcBorders>
                    <w:top w:val="none" w:color="000000" w:sz="4"/>
                    <w:left w:val="none" w:color="000000" w:sz="4"/>
                    <w:bottom w:val="single" w:color="000000" w:sz="4"/>
                    <w:right w:val="single" w:color="000000" w:sz="4"/>
                  </w:tcBorders>
                  <w:vAlign w:val="top"/>
                </w:tcPr>
                <w:p>
                  <w:pPr>
                    <w:jc w:val="center"/>
                  </w:pPr>
                  <w:r>
                    <w:rPr>
                      <w:sz w:val="21"/>
                    </w:rPr>
                    <w:t>7</w:t>
                  </w:r>
                </w:p>
              </w:tc>
              <w:tc>
                <w:tcPr>
                  <w:tcW w:type="dxa" w:w="3506"/>
                  <w:tcBorders>
                    <w:top w:val="none" w:color="000000" w:sz="4"/>
                    <w:left w:val="none" w:color="000000" w:sz="4"/>
                    <w:bottom w:val="single" w:color="000000" w:sz="4"/>
                    <w:right w:val="single" w:color="000000" w:sz="4"/>
                  </w:tcBorders>
                  <w:vAlign w:val="top"/>
                </w:tcPr>
                <w:p>
                  <w:pPr>
                    <w:jc w:val="center"/>
                  </w:pPr>
                  <w:r>
                    <w:rPr>
                      <w:sz w:val="21"/>
                    </w:rPr>
                    <w:t>游离甲苯二异氰酸酯（</w:t>
                  </w:r>
                  <w:r>
                    <w:rPr>
                      <w:sz w:val="21"/>
                    </w:rPr>
                    <w:t>TDI</w:t>
                  </w:r>
                  <w:r>
                    <w:rPr>
                      <w:sz w:val="21"/>
                    </w:rPr>
                    <w:t>）和游离六亚甲基二异氰酸酯（</w:t>
                  </w:r>
                  <w:r>
                    <w:rPr>
                      <w:sz w:val="21"/>
                    </w:rPr>
                    <w:t>HDI</w:t>
                  </w:r>
                  <w:r>
                    <w:rPr>
                      <w:sz w:val="21"/>
                    </w:rPr>
                    <w:t>）总和</w:t>
                  </w:r>
                  <w:r>
                    <w:rPr>
                      <w:sz w:val="21"/>
                    </w:rPr>
                    <w:t>/</w:t>
                  </w:r>
                  <w:r>
                    <w:rPr>
                      <w:sz w:val="21"/>
                    </w:rPr>
                    <w:t>（</w:t>
                  </w:r>
                  <w:r>
                    <w:rPr>
                      <w:sz w:val="21"/>
                    </w:rPr>
                    <w:t>g/kg</w:t>
                  </w:r>
                  <w:r>
                    <w:rPr>
                      <w:sz w:val="21"/>
                    </w:rPr>
                    <w:t>）</w:t>
                  </w:r>
                </w:p>
              </w:tc>
              <w:tc>
                <w:tcPr>
                  <w:tcW w:type="dxa" w:w="1050"/>
                  <w:tcBorders>
                    <w:top w:val="none" w:color="000000" w:sz="4"/>
                    <w:left w:val="none" w:color="000000" w:sz="4"/>
                    <w:bottom w:val="single" w:color="000000" w:sz="4"/>
                    <w:right w:val="single" w:color="000000" w:sz="4"/>
                  </w:tcBorders>
                  <w:vAlign w:val="top"/>
                </w:tcPr>
                <w:p>
                  <w:pPr>
                    <w:jc w:val="center"/>
                  </w:pPr>
                  <w:r>
                    <w:rPr>
                      <w:sz w:val="21"/>
                    </w:rPr>
                    <w:t>≤0.2</w:t>
                  </w:r>
                </w:p>
              </w:tc>
            </w:tr>
            <w:tr>
              <w:tc>
                <w:tcPr>
                  <w:tcW w:type="dxa" w:w="701"/>
                  <w:vMerge/>
                  <w:tcBorders>
                    <w:top w:val="none" w:color="000000" w:sz="4"/>
                    <w:left w:val="single" w:color="000000" w:sz="4"/>
                    <w:bottom w:val="none" w:color="000000" w:sz="4"/>
                    <w:right w:val="single" w:color="000000" w:sz="4"/>
                  </w:tcBorders>
                </w:tcPr>
                <w:p/>
              </w:tc>
              <w:tc>
                <w:tcPr>
                  <w:tcW w:type="dxa" w:w="339"/>
                  <w:tcBorders>
                    <w:top w:val="none" w:color="000000" w:sz="4"/>
                    <w:left w:val="none" w:color="000000" w:sz="4"/>
                    <w:bottom w:val="single" w:color="000000" w:sz="4"/>
                    <w:right w:val="single" w:color="000000" w:sz="4"/>
                  </w:tcBorders>
                  <w:vAlign w:val="top"/>
                </w:tcPr>
                <w:p>
                  <w:pPr>
                    <w:jc w:val="center"/>
                  </w:pPr>
                  <w:r>
                    <w:rPr>
                      <w:sz w:val="21"/>
                    </w:rPr>
                    <w:t>8</w:t>
                  </w:r>
                </w:p>
              </w:tc>
              <w:tc>
                <w:tcPr>
                  <w:tcW w:type="dxa" w:w="3506"/>
                  <w:tcBorders>
                    <w:top w:val="none" w:color="000000" w:sz="4"/>
                    <w:left w:val="none" w:color="000000" w:sz="4"/>
                    <w:bottom w:val="single" w:color="000000" w:sz="4"/>
                    <w:right w:val="single" w:color="000000" w:sz="4"/>
                  </w:tcBorders>
                  <w:vAlign w:val="top"/>
                </w:tcPr>
                <w:p>
                  <w:pPr>
                    <w:jc w:val="center"/>
                  </w:pPr>
                  <w:r>
                    <w:rPr>
                      <w:sz w:val="21"/>
                    </w:rPr>
                    <w:t>游离二苯基甲烷二异氰酸酯（</w:t>
                  </w:r>
                  <w:r>
                    <w:rPr>
                      <w:sz w:val="21"/>
                    </w:rPr>
                    <w:t>MDI</w:t>
                  </w:r>
                  <w:r>
                    <w:rPr>
                      <w:sz w:val="21"/>
                    </w:rPr>
                    <w:t>）</w:t>
                  </w:r>
                  <w:r>
                    <w:rPr>
                      <w:sz w:val="21"/>
                    </w:rPr>
                    <w:t>/</w:t>
                  </w:r>
                  <w:r>
                    <w:rPr>
                      <w:sz w:val="21"/>
                    </w:rPr>
                    <w:t>（</w:t>
                  </w:r>
                  <w:r>
                    <w:rPr>
                      <w:sz w:val="21"/>
                    </w:rPr>
                    <w:t>g/kg</w:t>
                  </w:r>
                  <w:r>
                    <w:rPr>
                      <w:sz w:val="21"/>
                    </w:rPr>
                    <w:t>）</w:t>
                  </w:r>
                </w:p>
              </w:tc>
              <w:tc>
                <w:tcPr>
                  <w:tcW w:type="dxa" w:w="1050"/>
                  <w:tcBorders>
                    <w:top w:val="none" w:color="000000" w:sz="4"/>
                    <w:left w:val="none" w:color="000000" w:sz="4"/>
                    <w:bottom w:val="single" w:color="000000" w:sz="4"/>
                    <w:right w:val="single" w:color="000000" w:sz="4"/>
                  </w:tcBorders>
                  <w:vAlign w:val="top"/>
                </w:tcPr>
                <w:p>
                  <w:pPr>
                    <w:jc w:val="center"/>
                  </w:pPr>
                  <w:r>
                    <w:rPr>
                      <w:sz w:val="21"/>
                    </w:rPr>
                    <w:t>≤1.0</w:t>
                  </w:r>
                </w:p>
              </w:tc>
            </w:tr>
            <w:tr>
              <w:tc>
                <w:tcPr>
                  <w:tcW w:type="dxa" w:w="701"/>
                  <w:vMerge/>
                  <w:tcBorders>
                    <w:top w:val="none" w:color="000000" w:sz="4"/>
                    <w:left w:val="single" w:color="000000" w:sz="4"/>
                    <w:bottom w:val="none" w:color="000000" w:sz="4"/>
                    <w:right w:val="single" w:color="000000" w:sz="4"/>
                  </w:tcBorders>
                </w:tcPr>
                <w:p/>
              </w:tc>
              <w:tc>
                <w:tcPr>
                  <w:tcW w:type="dxa" w:w="339"/>
                  <w:tcBorders>
                    <w:top w:val="none" w:color="000000" w:sz="4"/>
                    <w:left w:val="none" w:color="000000" w:sz="4"/>
                    <w:bottom w:val="single" w:color="000000" w:sz="4"/>
                    <w:right w:val="single" w:color="000000" w:sz="4"/>
                  </w:tcBorders>
                  <w:vAlign w:val="top"/>
                </w:tcPr>
                <w:p>
                  <w:pPr>
                    <w:jc w:val="center"/>
                  </w:pPr>
                  <w:r>
                    <w:rPr>
                      <w:sz w:val="21"/>
                    </w:rPr>
                    <w:t>9</w:t>
                  </w:r>
                </w:p>
              </w:tc>
              <w:tc>
                <w:tcPr>
                  <w:tcW w:type="dxa" w:w="3506"/>
                  <w:tcBorders>
                    <w:top w:val="none" w:color="000000" w:sz="4"/>
                    <w:left w:val="none" w:color="000000" w:sz="4"/>
                    <w:bottom w:val="single" w:color="000000" w:sz="4"/>
                    <w:right w:val="single" w:color="000000" w:sz="4"/>
                  </w:tcBorders>
                  <w:vAlign w:val="top"/>
                </w:tcPr>
                <w:p>
                  <w:pPr>
                    <w:jc w:val="center"/>
                  </w:pPr>
                  <w:r>
                    <w:rPr>
                      <w:sz w:val="21"/>
                    </w:rPr>
                    <w:t>可溶性铅</w:t>
                  </w:r>
                  <w:r>
                    <w:rPr>
                      <w:sz w:val="21"/>
                    </w:rPr>
                    <w:t>/(mg/kg)</w:t>
                  </w:r>
                </w:p>
              </w:tc>
              <w:tc>
                <w:tcPr>
                  <w:tcW w:type="dxa" w:w="1050"/>
                  <w:tcBorders>
                    <w:top w:val="none" w:color="000000" w:sz="4"/>
                    <w:left w:val="none" w:color="000000" w:sz="4"/>
                    <w:bottom w:val="single" w:color="000000" w:sz="4"/>
                    <w:right w:val="single" w:color="000000" w:sz="4"/>
                  </w:tcBorders>
                  <w:vAlign w:val="top"/>
                </w:tcPr>
                <w:p>
                  <w:pPr>
                    <w:jc w:val="center"/>
                  </w:pPr>
                  <w:r>
                    <w:rPr>
                      <w:sz w:val="21"/>
                    </w:rPr>
                    <w:t>≤50</w:t>
                  </w:r>
                </w:p>
              </w:tc>
            </w:tr>
            <w:tr>
              <w:tc>
                <w:tcPr>
                  <w:tcW w:type="dxa" w:w="701"/>
                  <w:vMerge/>
                  <w:tcBorders>
                    <w:top w:val="none" w:color="000000" w:sz="4"/>
                    <w:left w:val="single" w:color="000000" w:sz="4"/>
                    <w:bottom w:val="none" w:color="000000" w:sz="4"/>
                    <w:right w:val="single" w:color="000000" w:sz="4"/>
                  </w:tcBorders>
                </w:tcPr>
                <w:p/>
              </w:tc>
              <w:tc>
                <w:tcPr>
                  <w:tcW w:type="dxa" w:w="339"/>
                  <w:tcBorders>
                    <w:top w:val="none" w:color="000000" w:sz="4"/>
                    <w:left w:val="none" w:color="000000" w:sz="4"/>
                    <w:bottom w:val="single" w:color="000000" w:sz="4"/>
                    <w:right w:val="single" w:color="000000" w:sz="4"/>
                  </w:tcBorders>
                  <w:vAlign w:val="top"/>
                </w:tcPr>
                <w:p>
                  <w:pPr>
                    <w:jc w:val="center"/>
                  </w:pPr>
                  <w:r>
                    <w:rPr>
                      <w:sz w:val="21"/>
                    </w:rPr>
                    <w:t>10</w:t>
                  </w:r>
                </w:p>
              </w:tc>
              <w:tc>
                <w:tcPr>
                  <w:tcW w:type="dxa" w:w="3506"/>
                  <w:tcBorders>
                    <w:top w:val="none" w:color="000000" w:sz="4"/>
                    <w:left w:val="none" w:color="000000" w:sz="4"/>
                    <w:bottom w:val="single" w:color="000000" w:sz="4"/>
                    <w:right w:val="single" w:color="000000" w:sz="4"/>
                  </w:tcBorders>
                  <w:vAlign w:val="top"/>
                </w:tcPr>
                <w:p>
                  <w:pPr>
                    <w:jc w:val="center"/>
                  </w:pPr>
                  <w:r>
                    <w:rPr>
                      <w:sz w:val="21"/>
                    </w:rPr>
                    <w:t>可溶性镉</w:t>
                  </w:r>
                  <w:r>
                    <w:rPr>
                      <w:sz w:val="21"/>
                    </w:rPr>
                    <w:t>/(mg/kg)</w:t>
                  </w:r>
                </w:p>
              </w:tc>
              <w:tc>
                <w:tcPr>
                  <w:tcW w:type="dxa" w:w="1050"/>
                  <w:tcBorders>
                    <w:top w:val="none" w:color="000000" w:sz="4"/>
                    <w:left w:val="none" w:color="000000" w:sz="4"/>
                    <w:bottom w:val="single" w:color="000000" w:sz="4"/>
                    <w:right w:val="single" w:color="000000" w:sz="4"/>
                  </w:tcBorders>
                  <w:vAlign w:val="top"/>
                </w:tcPr>
                <w:p>
                  <w:pPr>
                    <w:jc w:val="center"/>
                  </w:pPr>
                  <w:r>
                    <w:rPr>
                      <w:sz w:val="21"/>
                    </w:rPr>
                    <w:t>≤10</w:t>
                  </w:r>
                </w:p>
              </w:tc>
            </w:tr>
            <w:tr>
              <w:tc>
                <w:tcPr>
                  <w:tcW w:type="dxa" w:w="701"/>
                  <w:vMerge/>
                  <w:tcBorders>
                    <w:top w:val="none" w:color="000000" w:sz="4"/>
                    <w:left w:val="single" w:color="000000" w:sz="4"/>
                    <w:bottom w:val="none" w:color="000000" w:sz="4"/>
                    <w:right w:val="single" w:color="000000" w:sz="4"/>
                  </w:tcBorders>
                </w:tcPr>
                <w:p/>
              </w:tc>
              <w:tc>
                <w:tcPr>
                  <w:tcW w:type="dxa" w:w="339"/>
                  <w:tcBorders>
                    <w:top w:val="none" w:color="000000" w:sz="4"/>
                    <w:left w:val="none" w:color="000000" w:sz="4"/>
                    <w:bottom w:val="single" w:color="000000" w:sz="4"/>
                    <w:right w:val="single" w:color="000000" w:sz="4"/>
                  </w:tcBorders>
                  <w:vAlign w:val="top"/>
                </w:tcPr>
                <w:p>
                  <w:pPr>
                    <w:jc w:val="center"/>
                  </w:pPr>
                  <w:r>
                    <w:rPr>
                      <w:sz w:val="21"/>
                    </w:rPr>
                    <w:t>11</w:t>
                  </w:r>
                </w:p>
              </w:tc>
              <w:tc>
                <w:tcPr>
                  <w:tcW w:type="dxa" w:w="3506"/>
                  <w:tcBorders>
                    <w:top w:val="none" w:color="000000" w:sz="4"/>
                    <w:left w:val="none" w:color="000000" w:sz="4"/>
                    <w:bottom w:val="single" w:color="000000" w:sz="4"/>
                    <w:right w:val="single" w:color="000000" w:sz="4"/>
                  </w:tcBorders>
                  <w:vAlign w:val="top"/>
                </w:tcPr>
                <w:p>
                  <w:pPr>
                    <w:jc w:val="center"/>
                  </w:pPr>
                  <w:r>
                    <w:rPr>
                      <w:sz w:val="21"/>
                    </w:rPr>
                    <w:t>可溶性铬</w:t>
                  </w:r>
                  <w:r>
                    <w:rPr>
                      <w:sz w:val="21"/>
                    </w:rPr>
                    <w:t>/(mg/kg)</w:t>
                  </w:r>
                </w:p>
              </w:tc>
              <w:tc>
                <w:tcPr>
                  <w:tcW w:type="dxa" w:w="1050"/>
                  <w:tcBorders>
                    <w:top w:val="none" w:color="000000" w:sz="4"/>
                    <w:left w:val="none" w:color="000000" w:sz="4"/>
                    <w:bottom w:val="single" w:color="000000" w:sz="4"/>
                    <w:right w:val="single" w:color="000000" w:sz="4"/>
                  </w:tcBorders>
                  <w:vAlign w:val="top"/>
                </w:tcPr>
                <w:p>
                  <w:pPr>
                    <w:jc w:val="center"/>
                  </w:pPr>
                  <w:r>
                    <w:rPr>
                      <w:sz w:val="21"/>
                    </w:rPr>
                    <w:t>≤10</w:t>
                  </w:r>
                </w:p>
              </w:tc>
            </w:tr>
            <w:tr>
              <w:tc>
                <w:tcPr>
                  <w:tcW w:type="dxa" w:w="701"/>
                  <w:vMerge/>
                  <w:tcBorders>
                    <w:top w:val="none" w:color="000000" w:sz="4"/>
                    <w:left w:val="single" w:color="000000" w:sz="4"/>
                    <w:bottom w:val="none" w:color="000000" w:sz="4"/>
                    <w:right w:val="single" w:color="000000" w:sz="4"/>
                  </w:tcBorders>
                </w:tcPr>
                <w:p/>
              </w:tc>
              <w:tc>
                <w:tcPr>
                  <w:tcW w:type="dxa" w:w="339"/>
                  <w:tcBorders>
                    <w:top w:val="none" w:color="000000" w:sz="4"/>
                    <w:left w:val="none" w:color="000000" w:sz="4"/>
                    <w:bottom w:val="single" w:color="000000" w:sz="4"/>
                    <w:right w:val="single" w:color="000000" w:sz="4"/>
                  </w:tcBorders>
                  <w:vAlign w:val="top"/>
                </w:tcPr>
                <w:p>
                  <w:pPr>
                    <w:jc w:val="center"/>
                  </w:pPr>
                  <w:r>
                    <w:rPr>
                      <w:sz w:val="21"/>
                    </w:rPr>
                    <w:t>12</w:t>
                  </w:r>
                </w:p>
              </w:tc>
              <w:tc>
                <w:tcPr>
                  <w:tcW w:type="dxa" w:w="3506"/>
                  <w:tcBorders>
                    <w:top w:val="none" w:color="000000" w:sz="4"/>
                    <w:left w:val="none" w:color="000000" w:sz="4"/>
                    <w:bottom w:val="single" w:color="000000" w:sz="4"/>
                    <w:right w:val="single" w:color="000000" w:sz="4"/>
                  </w:tcBorders>
                  <w:vAlign w:val="top"/>
                </w:tcPr>
                <w:p>
                  <w:pPr>
                    <w:jc w:val="center"/>
                  </w:pPr>
                  <w:r>
                    <w:rPr>
                      <w:sz w:val="21"/>
                    </w:rPr>
                    <w:t>可溶性汞</w:t>
                  </w:r>
                  <w:r>
                    <w:rPr>
                      <w:sz w:val="21"/>
                    </w:rPr>
                    <w:t>/(mg/kg)</w:t>
                  </w:r>
                </w:p>
              </w:tc>
              <w:tc>
                <w:tcPr>
                  <w:tcW w:type="dxa" w:w="1050"/>
                  <w:tcBorders>
                    <w:top w:val="none" w:color="000000" w:sz="4"/>
                    <w:left w:val="none" w:color="000000" w:sz="4"/>
                    <w:bottom w:val="single" w:color="000000" w:sz="4"/>
                    <w:right w:val="single" w:color="000000" w:sz="4"/>
                  </w:tcBorders>
                  <w:vAlign w:val="top"/>
                </w:tcPr>
                <w:p>
                  <w:pPr>
                    <w:jc w:val="center"/>
                  </w:pPr>
                  <w:r>
                    <w:rPr>
                      <w:sz w:val="21"/>
                    </w:rPr>
                    <w:t>≤2</w:t>
                  </w:r>
                </w:p>
              </w:tc>
            </w:tr>
            <w:tr>
              <w:tc>
                <w:tcPr>
                  <w:tcW w:type="dxa" w:w="701"/>
                  <w:vMerge w:val="restart"/>
                  <w:tcBorders>
                    <w:top w:val="single" w:color="000000" w:sz="4"/>
                    <w:left w:val="single" w:color="000000" w:sz="4"/>
                    <w:bottom w:val="single" w:color="000000" w:sz="4"/>
                    <w:right w:val="single" w:color="000000" w:sz="4"/>
                  </w:tcBorders>
                  <w:vAlign w:val="top"/>
                </w:tcPr>
                <w:p>
                  <w:pPr>
                    <w:jc w:val="center"/>
                  </w:pPr>
                  <w:r>
                    <w:rPr>
                      <w:sz w:val="21"/>
                    </w:rPr>
                    <w:t>有害物质释放量</w:t>
                  </w:r>
                </w:p>
              </w:tc>
              <w:tc>
                <w:tcPr>
                  <w:tcW w:type="dxa" w:w="339"/>
                  <w:tcBorders>
                    <w:top w:val="none" w:color="000000" w:sz="4"/>
                    <w:left w:val="none" w:color="000000" w:sz="4"/>
                    <w:bottom w:val="single" w:color="000000" w:sz="4"/>
                    <w:right w:val="single" w:color="000000" w:sz="4"/>
                  </w:tcBorders>
                  <w:vAlign w:val="top"/>
                </w:tcPr>
                <w:p>
                  <w:pPr>
                    <w:jc w:val="center"/>
                  </w:pPr>
                  <w:r>
                    <w:rPr>
                      <w:sz w:val="21"/>
                    </w:rPr>
                    <w:t>13</w:t>
                  </w:r>
                </w:p>
              </w:tc>
              <w:tc>
                <w:tcPr>
                  <w:tcW w:type="dxa" w:w="3506"/>
                  <w:tcBorders>
                    <w:top w:val="none" w:color="000000" w:sz="4"/>
                    <w:left w:val="none" w:color="000000" w:sz="4"/>
                    <w:bottom w:val="single" w:color="000000" w:sz="4"/>
                    <w:right w:val="single" w:color="000000" w:sz="4"/>
                  </w:tcBorders>
                  <w:vAlign w:val="top"/>
                </w:tcPr>
                <w:p>
                  <w:pPr>
                    <w:jc w:val="center"/>
                  </w:pPr>
                  <w:r>
                    <w:rPr>
                      <w:sz w:val="21"/>
                    </w:rPr>
                    <w:t>总挥发性有机化合物（</w:t>
                  </w:r>
                  <w:r>
                    <w:rPr>
                      <w:sz w:val="21"/>
                    </w:rPr>
                    <w:t>TVOC</w:t>
                  </w:r>
                  <w:r>
                    <w:rPr>
                      <w:sz w:val="21"/>
                    </w:rPr>
                    <w:t>）</w:t>
                  </w:r>
                  <w:r>
                    <w:rPr>
                      <w:sz w:val="21"/>
                    </w:rPr>
                    <w:t>/</w:t>
                  </w:r>
                  <w:r>
                    <w:rPr>
                      <w:sz w:val="21"/>
                    </w:rPr>
                    <w:t>（</w:t>
                  </w:r>
                  <w:r>
                    <w:rPr>
                      <w:sz w:val="21"/>
                    </w:rPr>
                    <w:t>mg/</w:t>
                  </w:r>
                  <w:r>
                    <w:rPr>
                      <w:sz w:val="21"/>
                    </w:rPr>
                    <w:t>（</w:t>
                  </w:r>
                  <w:r>
                    <w:rPr>
                      <w:sz w:val="21"/>
                    </w:rPr>
                    <w:t>m</w:t>
                  </w:r>
                  <w:r>
                    <w:rPr>
                      <w:sz w:val="21"/>
                      <w:vertAlign w:val="superscript"/>
                    </w:rPr>
                    <w:t>2</w:t>
                  </w:r>
                  <w:r>
                    <w:rPr>
                      <w:sz w:val="21"/>
                    </w:rPr>
                    <w:t>•h</w:t>
                  </w:r>
                  <w:r>
                    <w:rPr>
                      <w:sz w:val="21"/>
                    </w:rPr>
                    <w:t>））</w:t>
                  </w:r>
                </w:p>
              </w:tc>
              <w:tc>
                <w:tcPr>
                  <w:tcW w:type="dxa" w:w="1050"/>
                  <w:tcBorders>
                    <w:top w:val="none" w:color="000000" w:sz="4"/>
                    <w:left w:val="none" w:color="000000" w:sz="4"/>
                    <w:bottom w:val="single" w:color="000000" w:sz="4"/>
                    <w:right w:val="single" w:color="000000" w:sz="4"/>
                  </w:tcBorders>
                  <w:vAlign w:val="top"/>
                </w:tcPr>
                <w:p>
                  <w:pPr>
                    <w:jc w:val="center"/>
                  </w:pPr>
                  <w:r>
                    <w:rPr>
                      <w:sz w:val="21"/>
                    </w:rPr>
                    <w:t>≤5.0</w:t>
                  </w:r>
                </w:p>
              </w:tc>
            </w:tr>
            <w:tr>
              <w:tc>
                <w:tcPr>
                  <w:tcW w:type="dxa" w:w="701"/>
                  <w:vMerge/>
                  <w:tcBorders>
                    <w:top w:val="single" w:color="000000" w:sz="4"/>
                    <w:left w:val="single" w:color="000000" w:sz="4"/>
                    <w:bottom w:val="single" w:color="000000" w:sz="4"/>
                    <w:right w:val="single" w:color="000000" w:sz="4"/>
                  </w:tcBorders>
                </w:tcPr>
                <w:p/>
              </w:tc>
              <w:tc>
                <w:tcPr>
                  <w:tcW w:type="dxa" w:w="339"/>
                  <w:tcBorders>
                    <w:top w:val="none" w:color="000000" w:sz="4"/>
                    <w:left w:val="none" w:color="000000" w:sz="4"/>
                    <w:bottom w:val="single" w:color="000000" w:sz="4"/>
                    <w:right w:val="single" w:color="000000" w:sz="4"/>
                  </w:tcBorders>
                  <w:vAlign w:val="top"/>
                </w:tcPr>
                <w:p>
                  <w:pPr>
                    <w:jc w:val="center"/>
                  </w:pPr>
                  <w:r>
                    <w:rPr>
                      <w:sz w:val="21"/>
                    </w:rPr>
                    <w:t>14</w:t>
                  </w:r>
                </w:p>
              </w:tc>
              <w:tc>
                <w:tcPr>
                  <w:tcW w:type="dxa" w:w="3506"/>
                  <w:tcBorders>
                    <w:top w:val="none" w:color="000000" w:sz="4"/>
                    <w:left w:val="none" w:color="000000" w:sz="4"/>
                    <w:bottom w:val="single" w:color="000000" w:sz="4"/>
                    <w:right w:val="single" w:color="000000" w:sz="4"/>
                  </w:tcBorders>
                  <w:vAlign w:val="top"/>
                </w:tcPr>
                <w:p>
                  <w:pPr>
                    <w:jc w:val="center"/>
                  </w:pPr>
                  <w:r>
                    <w:rPr>
                      <w:sz w:val="21"/>
                    </w:rPr>
                    <w:t>甲醛</w:t>
                  </w:r>
                  <w:r>
                    <w:rPr>
                      <w:sz w:val="21"/>
                    </w:rPr>
                    <w:t>/</w:t>
                  </w:r>
                  <w:r>
                    <w:rPr>
                      <w:sz w:val="21"/>
                    </w:rPr>
                    <w:t>（</w:t>
                  </w:r>
                  <w:r>
                    <w:rPr>
                      <w:sz w:val="21"/>
                    </w:rPr>
                    <w:t>mg/</w:t>
                  </w:r>
                  <w:r>
                    <w:rPr>
                      <w:sz w:val="21"/>
                    </w:rPr>
                    <w:t>（</w:t>
                  </w:r>
                  <w:r>
                    <w:rPr>
                      <w:sz w:val="21"/>
                    </w:rPr>
                    <w:t>m</w:t>
                  </w:r>
                  <w:r>
                    <w:rPr>
                      <w:sz w:val="21"/>
                      <w:vertAlign w:val="superscript"/>
                    </w:rPr>
                    <w:t>2</w:t>
                  </w:r>
                  <w:r>
                    <w:rPr>
                      <w:sz w:val="21"/>
                    </w:rPr>
                    <w:t>•h</w:t>
                  </w:r>
                  <w:r>
                    <w:rPr>
                      <w:sz w:val="21"/>
                    </w:rPr>
                    <w:t>））</w:t>
                  </w:r>
                </w:p>
              </w:tc>
              <w:tc>
                <w:tcPr>
                  <w:tcW w:type="dxa" w:w="1050"/>
                  <w:tcBorders>
                    <w:top w:val="none" w:color="000000" w:sz="4"/>
                    <w:left w:val="none" w:color="000000" w:sz="4"/>
                    <w:bottom w:val="single" w:color="000000" w:sz="4"/>
                    <w:right w:val="single" w:color="000000" w:sz="4"/>
                  </w:tcBorders>
                  <w:vAlign w:val="top"/>
                </w:tcPr>
                <w:p>
                  <w:pPr>
                    <w:jc w:val="center"/>
                  </w:pPr>
                  <w:r>
                    <w:rPr>
                      <w:sz w:val="21"/>
                    </w:rPr>
                    <w:t>≤0.4</w:t>
                  </w:r>
                </w:p>
              </w:tc>
            </w:tr>
            <w:tr>
              <w:tc>
                <w:tcPr>
                  <w:tcW w:type="dxa" w:w="701"/>
                  <w:vMerge/>
                  <w:tcBorders>
                    <w:top w:val="single" w:color="000000" w:sz="4"/>
                    <w:left w:val="single" w:color="000000" w:sz="4"/>
                    <w:bottom w:val="single" w:color="000000" w:sz="4"/>
                    <w:right w:val="single" w:color="000000" w:sz="4"/>
                  </w:tcBorders>
                </w:tcPr>
                <w:p/>
              </w:tc>
              <w:tc>
                <w:tcPr>
                  <w:tcW w:type="dxa" w:w="339"/>
                  <w:tcBorders>
                    <w:top w:val="none" w:color="000000" w:sz="4"/>
                    <w:left w:val="none" w:color="000000" w:sz="4"/>
                    <w:bottom w:val="single" w:color="000000" w:sz="4"/>
                    <w:right w:val="single" w:color="000000" w:sz="4"/>
                  </w:tcBorders>
                  <w:vAlign w:val="top"/>
                </w:tcPr>
                <w:p>
                  <w:pPr>
                    <w:jc w:val="center"/>
                  </w:pPr>
                  <w:r>
                    <w:rPr>
                      <w:sz w:val="21"/>
                    </w:rPr>
                    <w:t>15</w:t>
                  </w:r>
                </w:p>
              </w:tc>
              <w:tc>
                <w:tcPr>
                  <w:tcW w:type="dxa" w:w="3506"/>
                  <w:tcBorders>
                    <w:top w:val="none" w:color="000000" w:sz="4"/>
                    <w:left w:val="none" w:color="000000" w:sz="4"/>
                    <w:bottom w:val="single" w:color="000000" w:sz="4"/>
                    <w:right w:val="single" w:color="000000" w:sz="4"/>
                  </w:tcBorders>
                  <w:vAlign w:val="top"/>
                </w:tcPr>
                <w:p>
                  <w:pPr>
                    <w:jc w:val="center"/>
                  </w:pPr>
                  <w:r>
                    <w:rPr>
                      <w:sz w:val="21"/>
                    </w:rPr>
                    <w:t>苯</w:t>
                  </w:r>
                  <w:r>
                    <w:rPr>
                      <w:sz w:val="21"/>
                    </w:rPr>
                    <w:t>/</w:t>
                  </w:r>
                  <w:r>
                    <w:rPr>
                      <w:sz w:val="21"/>
                    </w:rPr>
                    <w:t>（</w:t>
                  </w:r>
                  <w:r>
                    <w:rPr>
                      <w:sz w:val="21"/>
                    </w:rPr>
                    <w:t>mg/</w:t>
                  </w:r>
                  <w:r>
                    <w:rPr>
                      <w:sz w:val="21"/>
                    </w:rPr>
                    <w:t>（</w:t>
                  </w:r>
                  <w:r>
                    <w:rPr>
                      <w:sz w:val="21"/>
                    </w:rPr>
                    <w:t>m</w:t>
                  </w:r>
                  <w:r>
                    <w:rPr>
                      <w:sz w:val="21"/>
                      <w:vertAlign w:val="superscript"/>
                    </w:rPr>
                    <w:t>2</w:t>
                  </w:r>
                  <w:r>
                    <w:rPr>
                      <w:sz w:val="21"/>
                    </w:rPr>
                    <w:t>•h</w:t>
                  </w:r>
                  <w:r>
                    <w:rPr>
                      <w:sz w:val="21"/>
                    </w:rPr>
                    <w:t>））</w:t>
                  </w:r>
                  <w:r>
                    <w:rPr>
                      <w:b/>
                      <w:sz w:val="21"/>
                    </w:rPr>
                    <w:t xml:space="preserve"> </w:t>
                  </w:r>
                </w:p>
              </w:tc>
              <w:tc>
                <w:tcPr>
                  <w:tcW w:type="dxa" w:w="1050"/>
                  <w:tcBorders>
                    <w:top w:val="none" w:color="000000" w:sz="4"/>
                    <w:left w:val="none" w:color="000000" w:sz="4"/>
                    <w:bottom w:val="single" w:color="000000" w:sz="4"/>
                    <w:right w:val="single" w:color="000000" w:sz="4"/>
                  </w:tcBorders>
                  <w:vAlign w:val="top"/>
                </w:tcPr>
                <w:p>
                  <w:pPr>
                    <w:jc w:val="center"/>
                  </w:pPr>
                  <w:r>
                    <w:rPr>
                      <w:sz w:val="21"/>
                    </w:rPr>
                    <w:t>≤0.1</w:t>
                  </w:r>
                </w:p>
              </w:tc>
            </w:tr>
            <w:tr>
              <w:tc>
                <w:tcPr>
                  <w:tcW w:type="dxa" w:w="701"/>
                  <w:vMerge/>
                  <w:tcBorders>
                    <w:top w:val="single" w:color="000000" w:sz="4"/>
                    <w:left w:val="single" w:color="000000" w:sz="4"/>
                    <w:bottom w:val="single" w:color="000000" w:sz="4"/>
                    <w:right w:val="single" w:color="000000" w:sz="4"/>
                  </w:tcBorders>
                </w:tcPr>
                <w:p/>
              </w:tc>
              <w:tc>
                <w:tcPr>
                  <w:tcW w:type="dxa" w:w="339"/>
                  <w:tcBorders>
                    <w:top w:val="none" w:color="000000" w:sz="4"/>
                    <w:left w:val="none" w:color="000000" w:sz="4"/>
                    <w:bottom w:val="single" w:color="000000" w:sz="4"/>
                    <w:right w:val="single" w:color="000000" w:sz="4"/>
                  </w:tcBorders>
                  <w:vAlign w:val="top"/>
                </w:tcPr>
                <w:p>
                  <w:pPr>
                    <w:jc w:val="center"/>
                  </w:pPr>
                  <w:r>
                    <w:rPr>
                      <w:sz w:val="21"/>
                    </w:rPr>
                    <w:t>16</w:t>
                  </w:r>
                </w:p>
              </w:tc>
              <w:tc>
                <w:tcPr>
                  <w:tcW w:type="dxa" w:w="3506"/>
                  <w:tcBorders>
                    <w:top w:val="none" w:color="000000" w:sz="4"/>
                    <w:left w:val="none" w:color="000000" w:sz="4"/>
                    <w:bottom w:val="single" w:color="000000" w:sz="4"/>
                    <w:right w:val="single" w:color="000000" w:sz="4"/>
                  </w:tcBorders>
                  <w:vAlign w:val="top"/>
                </w:tcPr>
                <w:p>
                  <w:pPr>
                    <w:jc w:val="center"/>
                  </w:pPr>
                  <w:r>
                    <w:rPr>
                      <w:sz w:val="21"/>
                    </w:rPr>
                    <w:t>甲苯、二甲苯和乙苯总和</w:t>
                  </w:r>
                  <w:r>
                    <w:rPr>
                      <w:sz w:val="21"/>
                    </w:rPr>
                    <w:t>/</w:t>
                  </w:r>
                  <w:r>
                    <w:rPr>
                      <w:sz w:val="21"/>
                    </w:rPr>
                    <w:t>（</w:t>
                  </w:r>
                  <w:r>
                    <w:rPr>
                      <w:sz w:val="21"/>
                    </w:rPr>
                    <w:t>mg/</w:t>
                  </w:r>
                  <w:r>
                    <w:rPr>
                      <w:sz w:val="21"/>
                    </w:rPr>
                    <w:t>（</w:t>
                  </w:r>
                  <w:r>
                    <w:rPr>
                      <w:sz w:val="21"/>
                    </w:rPr>
                    <w:t>m</w:t>
                  </w:r>
                  <w:r>
                    <w:rPr>
                      <w:sz w:val="21"/>
                      <w:vertAlign w:val="superscript"/>
                    </w:rPr>
                    <w:t>2</w:t>
                  </w:r>
                  <w:r>
                    <w:rPr>
                      <w:sz w:val="21"/>
                    </w:rPr>
                    <w:t>•h</w:t>
                  </w:r>
                  <w:r>
                    <w:rPr>
                      <w:sz w:val="21"/>
                    </w:rPr>
                    <w:t>））</w:t>
                  </w:r>
                  <w:r>
                    <w:rPr>
                      <w:b/>
                      <w:sz w:val="21"/>
                    </w:rPr>
                    <w:t xml:space="preserve"> </w:t>
                  </w:r>
                </w:p>
              </w:tc>
              <w:tc>
                <w:tcPr>
                  <w:tcW w:type="dxa" w:w="1050"/>
                  <w:tcBorders>
                    <w:top w:val="none" w:color="000000" w:sz="4"/>
                    <w:left w:val="none" w:color="000000" w:sz="4"/>
                    <w:bottom w:val="single" w:color="000000" w:sz="4"/>
                    <w:right w:val="single" w:color="000000" w:sz="4"/>
                  </w:tcBorders>
                  <w:vAlign w:val="top"/>
                </w:tcPr>
                <w:p>
                  <w:pPr>
                    <w:jc w:val="center"/>
                  </w:pPr>
                  <w:r>
                    <w:rPr>
                      <w:sz w:val="21"/>
                    </w:rPr>
                    <w:t>≤1.0</w:t>
                  </w:r>
                </w:p>
              </w:tc>
            </w:tr>
            <w:tr>
              <w:tc>
                <w:tcPr>
                  <w:tcW w:type="dxa" w:w="701"/>
                  <w:vMerge/>
                  <w:tcBorders>
                    <w:top w:val="single" w:color="000000" w:sz="4"/>
                    <w:left w:val="single" w:color="000000" w:sz="4"/>
                    <w:bottom w:val="single" w:color="000000" w:sz="4"/>
                    <w:right w:val="single" w:color="000000" w:sz="4"/>
                  </w:tcBorders>
                </w:tcPr>
                <w:p/>
              </w:tc>
              <w:tc>
                <w:tcPr>
                  <w:tcW w:type="dxa" w:w="339"/>
                  <w:tcBorders>
                    <w:top w:val="none" w:color="000000" w:sz="4"/>
                    <w:left w:val="none" w:color="000000" w:sz="4"/>
                    <w:bottom w:val="single" w:color="000000" w:sz="4"/>
                    <w:right w:val="single" w:color="000000" w:sz="4"/>
                  </w:tcBorders>
                  <w:vAlign w:val="top"/>
                </w:tcPr>
                <w:p>
                  <w:pPr>
                    <w:jc w:val="center"/>
                  </w:pPr>
                  <w:r>
                    <w:rPr>
                      <w:sz w:val="21"/>
                    </w:rPr>
                    <w:t>17</w:t>
                  </w:r>
                </w:p>
              </w:tc>
              <w:tc>
                <w:tcPr>
                  <w:tcW w:type="dxa" w:w="3506"/>
                  <w:tcBorders>
                    <w:top w:val="none" w:color="000000" w:sz="4"/>
                    <w:left w:val="none" w:color="000000" w:sz="4"/>
                    <w:bottom w:val="single" w:color="000000" w:sz="4"/>
                    <w:right w:val="single" w:color="000000" w:sz="4"/>
                  </w:tcBorders>
                  <w:vAlign w:val="top"/>
                </w:tcPr>
                <w:p>
                  <w:pPr>
                    <w:jc w:val="center"/>
                  </w:pPr>
                  <w:r>
                    <w:rPr>
                      <w:sz w:val="21"/>
                    </w:rPr>
                    <w:t>二硫化碳</w:t>
                  </w:r>
                  <w:r>
                    <w:rPr>
                      <w:sz w:val="21"/>
                    </w:rPr>
                    <w:t>/</w:t>
                  </w:r>
                  <w:r>
                    <w:rPr>
                      <w:sz w:val="21"/>
                    </w:rPr>
                    <w:t>（</w:t>
                  </w:r>
                  <w:r>
                    <w:rPr>
                      <w:sz w:val="21"/>
                    </w:rPr>
                    <w:t>mg/</w:t>
                  </w:r>
                  <w:r>
                    <w:rPr>
                      <w:sz w:val="21"/>
                    </w:rPr>
                    <w:t>（</w:t>
                  </w:r>
                  <w:r>
                    <w:rPr>
                      <w:sz w:val="21"/>
                    </w:rPr>
                    <w:t>m</w:t>
                  </w:r>
                  <w:r>
                    <w:rPr>
                      <w:sz w:val="21"/>
                      <w:vertAlign w:val="superscript"/>
                    </w:rPr>
                    <w:t>2</w:t>
                  </w:r>
                  <w:r>
                    <w:rPr>
                      <w:sz w:val="21"/>
                    </w:rPr>
                    <w:t>•h</w:t>
                  </w:r>
                  <w:r>
                    <w:rPr>
                      <w:sz w:val="21"/>
                    </w:rPr>
                    <w:t>））</w:t>
                  </w:r>
                </w:p>
              </w:tc>
              <w:tc>
                <w:tcPr>
                  <w:tcW w:type="dxa" w:w="1050"/>
                  <w:tcBorders>
                    <w:top w:val="none" w:color="000000" w:sz="4"/>
                    <w:left w:val="none" w:color="000000" w:sz="4"/>
                    <w:bottom w:val="single" w:color="000000" w:sz="4"/>
                    <w:right w:val="single" w:color="000000" w:sz="4"/>
                  </w:tcBorders>
                  <w:vAlign w:val="top"/>
                </w:tcPr>
                <w:p>
                  <w:pPr>
                    <w:jc w:val="center"/>
                  </w:pPr>
                  <w:r>
                    <w:rPr>
                      <w:sz w:val="21"/>
                    </w:rPr>
                    <w:t>≤7.0</w:t>
                  </w:r>
                </w:p>
              </w:tc>
            </w:tr>
            <w:tr>
              <w:tc>
                <w:tcPr>
                  <w:tcW w:type="dxa" w:w="701"/>
                  <w:tcBorders>
                    <w:top w:val="none" w:color="000000" w:sz="4"/>
                    <w:left w:val="single" w:color="000000" w:sz="4"/>
                    <w:bottom w:val="single" w:color="000000" w:sz="4"/>
                    <w:right w:val="single" w:color="000000" w:sz="4"/>
                  </w:tcBorders>
                  <w:vAlign w:val="top"/>
                </w:tcPr>
                <w:p>
                  <w:pPr>
                    <w:jc w:val="center"/>
                  </w:pPr>
                  <w:r>
                    <w:rPr>
                      <w:sz w:val="21"/>
                    </w:rPr>
                    <w:t>气味</w:t>
                  </w:r>
                </w:p>
              </w:tc>
              <w:tc>
                <w:tcPr>
                  <w:tcW w:type="dxa" w:w="339"/>
                  <w:tcBorders>
                    <w:top w:val="none" w:color="000000" w:sz="4"/>
                    <w:left w:val="none" w:color="000000" w:sz="4"/>
                    <w:bottom w:val="single" w:color="000000" w:sz="4"/>
                    <w:right w:val="single" w:color="000000" w:sz="4"/>
                  </w:tcBorders>
                  <w:vAlign w:val="top"/>
                </w:tcPr>
                <w:p>
                  <w:pPr>
                    <w:jc w:val="center"/>
                  </w:pPr>
                  <w:r>
                    <w:rPr>
                      <w:sz w:val="21"/>
                    </w:rPr>
                    <w:t>18</w:t>
                  </w:r>
                </w:p>
              </w:tc>
              <w:tc>
                <w:tcPr>
                  <w:tcW w:type="dxa" w:w="3506"/>
                  <w:tcBorders>
                    <w:top w:val="none" w:color="000000" w:sz="4"/>
                    <w:left w:val="none" w:color="000000" w:sz="4"/>
                    <w:bottom w:val="single" w:color="000000" w:sz="4"/>
                    <w:right w:val="single" w:color="000000" w:sz="4"/>
                  </w:tcBorders>
                  <w:vAlign w:val="top"/>
                </w:tcPr>
                <w:p>
                  <w:pPr>
                    <w:jc w:val="center"/>
                  </w:pPr>
                  <w:r>
                    <w:rPr>
                      <w:sz w:val="21"/>
                    </w:rPr>
                    <w:t>气味等级</w:t>
                  </w:r>
                  <w:r>
                    <w:rPr>
                      <w:sz w:val="21"/>
                    </w:rPr>
                    <w:t>/</w:t>
                  </w:r>
                  <w:r>
                    <w:rPr>
                      <w:sz w:val="21"/>
                    </w:rPr>
                    <w:t>（级）</w:t>
                  </w:r>
                </w:p>
              </w:tc>
              <w:tc>
                <w:tcPr>
                  <w:tcW w:type="dxa" w:w="1050"/>
                  <w:tcBorders>
                    <w:top w:val="none" w:color="000000" w:sz="4"/>
                    <w:left w:val="none" w:color="000000" w:sz="4"/>
                    <w:bottom w:val="single" w:color="000000" w:sz="4"/>
                    <w:right w:val="single" w:color="000000" w:sz="4"/>
                  </w:tcBorders>
                  <w:vAlign w:val="top"/>
                </w:tcPr>
                <w:p>
                  <w:pPr>
                    <w:jc w:val="center"/>
                  </w:pPr>
                  <w:r>
                    <w:rPr>
                      <w:sz w:val="21"/>
                    </w:rPr>
                    <w:t>≤3</w:t>
                  </w:r>
                </w:p>
              </w:tc>
            </w:tr>
          </w:tbl>
          <w:p>
            <w:pPr>
              <w:jc w:val="both"/>
            </w:pPr>
          </w:p>
          <w:p>
            <w:pPr>
              <w:jc w:val="both"/>
            </w:pPr>
            <w:r>
              <w:rPr>
                <w:sz w:val="21"/>
              </w:rPr>
              <w:t>表3：</w:t>
            </w:r>
            <w:r>
              <w:rPr>
                <w:sz w:val="21"/>
              </w:rPr>
              <w:t>田径场地、渗水型物理性能要求的合格检测报告技术标准列表</w:t>
            </w:r>
          </w:p>
          <w:tbl>
            <w:tblPr>
              <w:tblBorders>
                <w:top w:val="none" w:color="000000" w:sz="4"/>
                <w:left w:val="none" w:color="000000" w:sz="4"/>
                <w:bottom w:val="none" w:color="000000" w:sz="4"/>
                <w:right w:val="none" w:color="000000" w:sz="4"/>
                <w:insideH w:val="none"/>
                <w:insideV w:val="none"/>
              </w:tblBorders>
            </w:tblPr>
            <w:tblGrid>
              <w:gridCol w:w="769"/>
              <w:gridCol w:w="2325"/>
              <w:gridCol w:w="2502"/>
            </w:tblGrid>
            <w:tr>
              <w:tc>
                <w:tcPr>
                  <w:tcW w:type="dxa" w:w="769"/>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2325"/>
                  <w:tcBorders>
                    <w:top w:val="single" w:color="000000" w:sz="4"/>
                    <w:left w:val="none" w:color="000000" w:sz="4"/>
                    <w:bottom w:val="single" w:color="000000" w:sz="4"/>
                    <w:right w:val="single" w:color="000000" w:sz="4"/>
                  </w:tcBorders>
                  <w:vAlign w:val="top"/>
                </w:tcPr>
                <w:p>
                  <w:pPr>
                    <w:jc w:val="center"/>
                  </w:pPr>
                  <w:r>
                    <w:rPr>
                      <w:sz w:val="21"/>
                    </w:rPr>
                    <w:t>检验项目</w:t>
                  </w:r>
                </w:p>
              </w:tc>
              <w:tc>
                <w:tcPr>
                  <w:tcW w:type="dxa" w:w="2502"/>
                  <w:tcBorders>
                    <w:top w:val="single" w:color="000000" w:sz="4"/>
                    <w:left w:val="none" w:color="000000" w:sz="4"/>
                    <w:bottom w:val="single" w:color="000000" w:sz="4"/>
                    <w:right w:val="single" w:color="000000" w:sz="4"/>
                  </w:tcBorders>
                  <w:vAlign w:val="top"/>
                </w:tcPr>
                <w:p>
                  <w:pPr>
                    <w:jc w:val="center"/>
                  </w:pPr>
                  <w:r>
                    <w:rPr>
                      <w:sz w:val="21"/>
                    </w:rPr>
                    <w:t>标准要求</w:t>
                  </w:r>
                </w:p>
              </w:tc>
            </w:tr>
            <w:tr>
              <w:tc>
                <w:tcPr>
                  <w:tcW w:type="dxa" w:w="76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325"/>
                  <w:tcBorders>
                    <w:top w:val="none" w:color="000000" w:sz="4"/>
                    <w:left w:val="none" w:color="000000" w:sz="4"/>
                    <w:bottom w:val="single" w:color="000000" w:sz="4"/>
                    <w:right w:val="single" w:color="000000" w:sz="4"/>
                  </w:tcBorders>
                  <w:vAlign w:val="top"/>
                </w:tcPr>
                <w:p>
                  <w:pPr>
                    <w:jc w:val="center"/>
                  </w:pPr>
                  <w:r>
                    <w:rPr>
                      <w:sz w:val="21"/>
                    </w:rPr>
                    <w:t>冲击吸收，</w:t>
                  </w:r>
                  <w:r>
                    <w:rPr>
                      <w:sz w:val="21"/>
                    </w:rPr>
                    <w:t>%</w:t>
                  </w:r>
                </w:p>
              </w:tc>
              <w:tc>
                <w:tcPr>
                  <w:tcW w:type="dxa" w:w="2502"/>
                  <w:tcBorders>
                    <w:top w:val="none" w:color="000000" w:sz="4"/>
                    <w:left w:val="none" w:color="000000" w:sz="4"/>
                    <w:bottom w:val="single" w:color="000000" w:sz="4"/>
                    <w:right w:val="single" w:color="000000" w:sz="4"/>
                  </w:tcBorders>
                  <w:vAlign w:val="top"/>
                </w:tcPr>
                <w:p>
                  <w:pPr>
                    <w:jc w:val="center"/>
                  </w:pPr>
                  <w:r>
                    <w:rPr>
                      <w:sz w:val="21"/>
                    </w:rPr>
                    <w:t>田径场地：</w:t>
                  </w:r>
                  <w:r>
                    <w:rPr>
                      <w:sz w:val="21"/>
                    </w:rPr>
                    <w:t>35~50</w:t>
                  </w:r>
                </w:p>
              </w:tc>
            </w:tr>
            <w:tr>
              <w:tc>
                <w:tcPr>
                  <w:tcW w:type="dxa" w:w="76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325"/>
                  <w:tcBorders>
                    <w:top w:val="none" w:color="000000" w:sz="4"/>
                    <w:left w:val="none" w:color="000000" w:sz="4"/>
                    <w:bottom w:val="single" w:color="000000" w:sz="4"/>
                    <w:right w:val="single" w:color="000000" w:sz="4"/>
                  </w:tcBorders>
                  <w:vAlign w:val="top"/>
                </w:tcPr>
                <w:p>
                  <w:pPr>
                    <w:jc w:val="center"/>
                  </w:pPr>
                  <w:r>
                    <w:rPr>
                      <w:sz w:val="21"/>
                    </w:rPr>
                    <w:t>垂直变形，</w:t>
                  </w:r>
                  <w:r>
                    <w:rPr>
                      <w:sz w:val="21"/>
                    </w:rPr>
                    <w:t>mm</w:t>
                  </w:r>
                </w:p>
              </w:tc>
              <w:tc>
                <w:tcPr>
                  <w:tcW w:type="dxa" w:w="2502"/>
                  <w:tcBorders>
                    <w:top w:val="none" w:color="000000" w:sz="4"/>
                    <w:left w:val="none" w:color="000000" w:sz="4"/>
                    <w:bottom w:val="single" w:color="000000" w:sz="4"/>
                    <w:right w:val="single" w:color="000000" w:sz="4"/>
                  </w:tcBorders>
                  <w:vAlign w:val="top"/>
                </w:tcPr>
                <w:p>
                  <w:pPr>
                    <w:jc w:val="center"/>
                  </w:pPr>
                  <w:r>
                    <w:rPr>
                      <w:sz w:val="21"/>
                    </w:rPr>
                    <w:t>0.6~3.0</w:t>
                  </w:r>
                </w:p>
              </w:tc>
            </w:tr>
            <w:tr>
              <w:tc>
                <w:tcPr>
                  <w:tcW w:type="dxa" w:w="769"/>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325"/>
                  <w:tcBorders>
                    <w:top w:val="none" w:color="000000" w:sz="4"/>
                    <w:left w:val="none" w:color="000000" w:sz="4"/>
                    <w:bottom w:val="single" w:color="000000" w:sz="4"/>
                    <w:right w:val="single" w:color="000000" w:sz="4"/>
                  </w:tcBorders>
                  <w:vAlign w:val="top"/>
                </w:tcPr>
                <w:p>
                  <w:pPr>
                    <w:jc w:val="center"/>
                  </w:pPr>
                  <w:r>
                    <w:rPr>
                      <w:sz w:val="21"/>
                    </w:rPr>
                    <w:t>抗滑值（</w:t>
                  </w:r>
                  <w:r>
                    <w:rPr>
                      <w:sz w:val="21"/>
                    </w:rPr>
                    <w:t>BPN</w:t>
                  </w:r>
                  <w:r>
                    <w:rPr>
                      <w:sz w:val="21"/>
                    </w:rPr>
                    <w:t>，</w:t>
                  </w:r>
                  <w:r>
                    <w:rPr>
                      <w:sz w:val="21"/>
                    </w:rPr>
                    <w:t>20℃</w:t>
                  </w:r>
                  <w:r>
                    <w:rPr>
                      <w:sz w:val="21"/>
                    </w:rPr>
                    <w:t>）</w:t>
                  </w:r>
                </w:p>
              </w:tc>
              <w:tc>
                <w:tcPr>
                  <w:tcW w:type="dxa" w:w="2502"/>
                  <w:tcBorders>
                    <w:top w:val="none" w:color="000000" w:sz="4"/>
                    <w:left w:val="none" w:color="000000" w:sz="4"/>
                    <w:bottom w:val="single" w:color="000000" w:sz="4"/>
                    <w:right w:val="single" w:color="000000" w:sz="4"/>
                  </w:tcBorders>
                  <w:vAlign w:val="top"/>
                </w:tcPr>
                <w:p>
                  <w:pPr>
                    <w:jc w:val="center"/>
                  </w:pPr>
                  <w:r>
                    <w:rPr>
                      <w:sz w:val="21"/>
                    </w:rPr>
                    <w:t>田径场地：</w:t>
                  </w:r>
                  <w:r>
                    <w:rPr>
                      <w:sz w:val="21"/>
                    </w:rPr>
                    <w:t>≥47</w:t>
                  </w:r>
                  <w:r>
                    <w:rPr>
                      <w:sz w:val="21"/>
                    </w:rPr>
                    <w:t>（湿测）</w:t>
                  </w:r>
                </w:p>
              </w:tc>
            </w:tr>
            <w:tr>
              <w:tc>
                <w:tcPr>
                  <w:tcW w:type="dxa" w:w="769"/>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325"/>
                  <w:tcBorders>
                    <w:top w:val="none" w:color="000000" w:sz="4"/>
                    <w:left w:val="none" w:color="000000" w:sz="4"/>
                    <w:bottom w:val="single" w:color="000000" w:sz="4"/>
                    <w:right w:val="single" w:color="000000" w:sz="4"/>
                  </w:tcBorders>
                  <w:vAlign w:val="top"/>
                </w:tcPr>
                <w:p>
                  <w:pPr>
                    <w:jc w:val="center"/>
                  </w:pPr>
                  <w:r>
                    <w:rPr>
                      <w:sz w:val="21"/>
                    </w:rPr>
                    <w:t>拉伸强度，</w:t>
                  </w:r>
                  <w:r>
                    <w:rPr>
                      <w:sz w:val="21"/>
                    </w:rPr>
                    <w:t>MPa</w:t>
                  </w:r>
                </w:p>
              </w:tc>
              <w:tc>
                <w:tcPr>
                  <w:tcW w:type="dxa" w:w="2502"/>
                  <w:tcBorders>
                    <w:top w:val="none" w:color="000000" w:sz="4"/>
                    <w:left w:val="none" w:color="000000" w:sz="4"/>
                    <w:bottom w:val="single" w:color="000000" w:sz="4"/>
                    <w:right w:val="single" w:color="000000" w:sz="4"/>
                  </w:tcBorders>
                  <w:vAlign w:val="top"/>
                </w:tcPr>
                <w:p>
                  <w:pPr>
                    <w:jc w:val="center"/>
                  </w:pPr>
                  <w:r>
                    <w:rPr>
                      <w:sz w:val="21"/>
                    </w:rPr>
                    <w:t>渗水型面层：</w:t>
                  </w:r>
                  <w:r>
                    <w:rPr>
                      <w:sz w:val="21"/>
                    </w:rPr>
                    <w:t>≥0.4</w:t>
                  </w:r>
                </w:p>
              </w:tc>
            </w:tr>
            <w:tr>
              <w:tc>
                <w:tcPr>
                  <w:tcW w:type="dxa" w:w="769"/>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325"/>
                  <w:tcBorders>
                    <w:top w:val="none" w:color="000000" w:sz="4"/>
                    <w:left w:val="none" w:color="000000" w:sz="4"/>
                    <w:bottom w:val="single" w:color="000000" w:sz="4"/>
                    <w:right w:val="single" w:color="000000" w:sz="4"/>
                  </w:tcBorders>
                  <w:vAlign w:val="top"/>
                </w:tcPr>
                <w:p>
                  <w:pPr>
                    <w:jc w:val="center"/>
                  </w:pPr>
                  <w:r>
                    <w:rPr>
                      <w:sz w:val="21"/>
                    </w:rPr>
                    <w:t>拉断伸长率，</w:t>
                  </w:r>
                  <w:r>
                    <w:rPr>
                      <w:sz w:val="21"/>
                    </w:rPr>
                    <w:t>%</w:t>
                  </w:r>
                </w:p>
              </w:tc>
              <w:tc>
                <w:tcPr>
                  <w:tcW w:type="dxa" w:w="2502"/>
                  <w:tcBorders>
                    <w:top w:val="none" w:color="000000" w:sz="4"/>
                    <w:left w:val="none" w:color="000000" w:sz="4"/>
                    <w:bottom w:val="single" w:color="000000" w:sz="4"/>
                    <w:right w:val="single" w:color="000000" w:sz="4"/>
                  </w:tcBorders>
                  <w:vAlign w:val="top"/>
                </w:tcPr>
                <w:p>
                  <w:pPr>
                    <w:jc w:val="center"/>
                  </w:pPr>
                  <w:r>
                    <w:rPr>
                      <w:sz w:val="21"/>
                    </w:rPr>
                    <w:t>≥40</w:t>
                  </w:r>
                </w:p>
              </w:tc>
            </w:tr>
            <w:tr>
              <w:tc>
                <w:tcPr>
                  <w:tcW w:type="dxa" w:w="769"/>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325"/>
                  <w:tcBorders>
                    <w:top w:val="none" w:color="000000" w:sz="4"/>
                    <w:left w:val="none" w:color="000000" w:sz="4"/>
                    <w:bottom w:val="single" w:color="000000" w:sz="4"/>
                    <w:right w:val="single" w:color="000000" w:sz="4"/>
                  </w:tcBorders>
                  <w:vAlign w:val="top"/>
                </w:tcPr>
                <w:p>
                  <w:pPr>
                    <w:jc w:val="center"/>
                  </w:pPr>
                  <w:r>
                    <w:rPr>
                      <w:sz w:val="21"/>
                    </w:rPr>
                    <w:t>阻燃，级</w:t>
                  </w:r>
                </w:p>
              </w:tc>
              <w:tc>
                <w:tcPr>
                  <w:tcW w:type="dxa" w:w="2502"/>
                  <w:tcBorders>
                    <w:top w:val="none" w:color="000000" w:sz="4"/>
                    <w:left w:val="none" w:color="000000" w:sz="4"/>
                    <w:bottom w:val="single" w:color="000000" w:sz="4"/>
                    <w:right w:val="single" w:color="000000" w:sz="4"/>
                  </w:tcBorders>
                  <w:vAlign w:val="top"/>
                </w:tcPr>
                <w:p>
                  <w:pPr>
                    <w:jc w:val="center"/>
                  </w:pPr>
                  <w:r>
                    <w:rPr>
                      <w:sz w:val="21"/>
                    </w:rPr>
                    <w:t>I</w:t>
                  </w:r>
                  <w:r>
                    <w:rPr>
                      <w:sz w:val="21"/>
                    </w:rPr>
                    <w:t>级</w:t>
                  </w:r>
                </w:p>
              </w:tc>
            </w:tr>
          </w:tbl>
          <w:p>
            <w:pPr>
              <w:jc w:val="both"/>
            </w:pPr>
          </w:p>
          <w:p>
            <w:pPr>
              <w:jc w:val="both"/>
            </w:pPr>
            <w:r>
              <w:rPr>
                <w:b/>
                <w:sz w:val="21"/>
              </w:rPr>
              <w:t>说明：性质标“</w:t>
            </w:r>
            <w:r>
              <w:rPr>
                <w:sz w:val="21"/>
              </w:rPr>
              <w:t>★</w:t>
            </w:r>
            <w:r>
              <w:rPr>
                <w:b/>
                <w:sz w:val="21"/>
              </w:rPr>
              <w:t>”表示该参数为必须完全满足的实质性要求，响应供应商如有一项带“★”的条款未响应或负偏离，将按无效响应处理。</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1.采购代理机构：本项目是指广州市国科招标代理有限公司，负责整个采购活动的组织，依法负责编制和发布磋商文件，对磋商文件拥有最终的解释权，不以任何身份出任磋商小组成员。</w:t>
      </w:r>
    </w:p>
    <w:p>
      <w:pPr>
        <w:ind w:firstLine="480"/>
      </w:pPr>
      <w:r>
        <w:rPr/>
        <w:t>2.采购人：本项目是指</w:t>
      </w:r>
      <w:r>
        <w:rPr/>
        <w:t>广州市机电技师学院</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项目兼投兼中规则</w:t>
            </w:r>
          </w:p>
        </w:tc>
        <w:tc>
          <w:tcPr>
            <w:tcW w:type="dxa" w:w="5004"/>
          </w:tcPr>
          <w:p>
            <w:r>
              <w:rPr/>
              <w:t>兼投兼中：-</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r>
              <w:rPr/>
              <w:t>采购机构代理服务收费标准：代理服务费收费标准：本项目的招标代理服务费收费标准以采购成交金额为计算基数参照国家计委颁布的（计价格【2002】1980号）及国家发改委颁布的（发改办价格【2003】857号）收费标准的80%（即下浮20%）进行计算收取。招标代理服务费由成交供应商在领取《成交通知书》前一次性向采购代理机构交纳。</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2</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rPr/>
              <w:t>（3）纸质投标文件正本1份，纸质投标文件副本3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jc w:val="center"/>
            </w:pPr>
            <w:r>
              <w:rPr/>
              <w:t>18</w:t>
            </w:r>
          </w:p>
        </w:tc>
        <w:tc>
          <w:tcPr>
            <w:tcW w:type="dxa" w:w="2252"/>
          </w:tcPr>
          <w:p>
            <w:r>
              <w:rPr/>
              <w:t>其他</w:t>
            </w:r>
          </w:p>
        </w:tc>
        <w:tc>
          <w:tcPr>
            <w:tcW w:type="dxa" w:w="5004"/>
          </w:tcPr>
          <w:p>
            <w:pPr>
              <w:jc w:val="left"/>
            </w:pPr>
            <w:r>
              <w:rPr/>
              <w:t>响应格式设置，单独响应技术偏离表：是</w:t>
            </w:r>
          </w:p>
        </w:tc>
      </w:tr>
      <w:tr>
        <w:tc>
          <w:tcPr>
            <w:tcW w:type="dxa" w:w="1051"/>
          </w:tcPr>
          <w:p>
            <w:pPr>
              <w:jc w:val="center"/>
            </w:pPr>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4"/>
        </w:rPr>
        <w:t>11.关于分支机构</w:t>
      </w:r>
    </w:p>
    <w:p>
      <w:pPr>
        <w:ind w:firstLine="480"/>
      </w:pPr>
      <w:r>
        <w:rPr/>
        <w:t>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磋商的，还须提供分公司或中心支公司的保险机构的营业执照。）</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本项目不收取磋商保证金。</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广州市国科招标代理有限公司（www.gzgkbidding.com）</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广州市国科招标代理有限公司（www.gzgkbidding.com）</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陈瑶、张锡宇</w:t>
      </w:r>
    </w:p>
    <w:p>
      <w:pPr>
        <w:ind w:firstLine="480"/>
      </w:pPr>
      <w:r>
        <w:rPr/>
        <w:t>电话：</w:t>
      </w:r>
      <w:r>
        <w:rPr/>
        <w:t>020-87687872、020-37635007</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政府采购监督管理机构名称：广州市财政局政府采购监管处</w:t>
      </w:r>
    </w:p>
    <w:p>
      <w:r>
        <w:rPr/>
        <w:t>地  址：广州市天河区华利路61号1506室</w:t>
      </w:r>
    </w:p>
    <w:p>
      <w:r>
        <w:rPr/>
        <w:t>电  话：020-38923544</w:t>
      </w:r>
    </w:p>
    <w:p>
      <w:r>
        <w:rPr/>
        <w:t>邮  编：510030</w:t>
      </w:r>
    </w:p>
    <w:p>
      <w:r>
        <w:rPr/>
        <w:t>传  真：020-38923544</w:t>
      </w:r>
    </w:p>
    <w:p/>
    <w:p>
      <w:r>
        <w:rPr>
          <w:b/>
          <w:sz w:val="28"/>
        </w:rPr>
        <w:t>八、合同签订和履行</w:t>
      </w:r>
    </w:p>
    <w:p>
      <w:r>
        <w:rPr>
          <w:b/>
          <w:sz w:val="24"/>
        </w:rPr>
        <w:t>1.合同签订</w:t>
      </w:r>
    </w:p>
    <w:p>
      <w:pPr>
        <w:ind w:firstLine="480"/>
      </w:pPr>
      <w:r>
        <w:rPr/>
        <w:t>1.1采购人应当自《成交通知书》发出之日起二十日内，按照磋商文件和成交供应商响应文件的约定，与成交供应商签订合同。所签订的合同不得对磋商文件和成交供应商响应文件作实质性修改。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2.3有融资要求的成交供应商可根据自身情况，在广东省政府采购网上自行选择金融机构及其融资产品，凭政府采购成交通知书或政府采购合同向金融机构提出融资申请。</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广州市机电技师学院校园维护维修项目)：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广州市国科招标代理有限公司</w:t>
      </w:r>
      <w:r>
        <w:rPr/>
        <w:t>统一对外发布。</w:t>
      </w:r>
    </w:p>
    <w:p>
      <w:pPr>
        <w:ind w:firstLine="480"/>
      </w:pPr>
      <w:r>
        <w:rPr/>
        <w:t>（2）对</w:t>
      </w:r>
      <w:r>
        <w:rPr/>
        <w:t>广州市国科招标代理有限公司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（4）因重大变故，采购任务取消的。</w:t>
      </w:r>
    </w:p>
    <w:p>
      <w:pPr>
        <w:ind w:firstLine="480"/>
      </w:pPr>
      <w:r>
        <w:rPr/>
        <w:t>（5）法律、法规以及磋商文件规定其他情形。</w:t>
      </w:r>
    </w:p>
    <w:p>
      <w:pPr>
        <w:ind w:firstLine="480"/>
      </w:pPr>
      <w:r>
        <w:rPr/>
        <w:t>对终止采购的项目，磋商小组应出具采购文件是否存在不合理条款的论证意见。</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pPr>
        <w:ind w:firstLine="480"/>
      </w:pPr>
      <w:r>
        <w:rPr/>
        <w:t>第一成交候选供应商无正当理由不得随意放弃成交资格。成交候选供应商放弃成交资格的，采购人可以按照评审报告推荐的成交候选供应商名单排序，确定下一成交候选供应商为成交供应商，也可以重新开展政府采购活动。</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采购包1（广州市机电技师学院校园维护维修项目）：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采购代理机构应在资格审查报告或评审报告中以书面形式解释其排除的具体原因。</w:t>
      </w:r>
    </w:p>
    <w:p>
      <w:pPr>
        <w:ind w:firstLine="480"/>
      </w:pPr>
      <w:r>
        <w:rPr/>
        <w:t>表一资格性审查表：</w:t>
      </w:r>
    </w:p>
    <w:p>
      <w:pPr>
        <w:ind w:firstLine="480"/>
      </w:pPr>
    </w:p>
    <w:p/>
    <w:p>
      <w:r>
        <w:rPr/>
        <w:t>采购包1（广州市机电技师学院校园维护维修项目）：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响应时提交有效的营业执照（或事业法人登记证等相关证明）副本复印件。分支机构响应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提供书面承诺声明函（格式自拟）或具有履行合同所必须的设备和专业技术能力的其他证明材料。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单位负责人为同一人或者存在直接控股、管理关系的不同供应商，不得同时参加本采购项目（采购包）响应。 为本项目提供整体设计、规范编制或者项目管理、监理、检测等服务的供应商，不得再参与本项目响应。响应承诺函相关承诺要求内容。</w:t>
            </w:r>
          </w:p>
        </w:tc>
      </w:tr>
      <w:tr>
        <w:tc>
          <w:tcPr>
            <w:tcW w:type="dxa" w:w="890"/>
          </w:tcPr>
          <w:p>
            <w:r>
              <w:rPr/>
              <w:t>8</w:t>
            </w:r>
          </w:p>
        </w:tc>
        <w:tc>
          <w:tcPr>
            <w:tcW w:type="dxa" w:w="3178"/>
          </w:tcPr>
          <w:p>
            <w:r>
              <w:rPr/>
              <w:t>特定资格要求（企业资质）</w:t>
            </w:r>
          </w:p>
        </w:tc>
        <w:tc>
          <w:tcPr>
            <w:tcW w:type="dxa" w:w="4238"/>
          </w:tcPr>
          <w:p>
            <w:r>
              <w:rPr/>
              <w:t>（1）响应供应商应具备有建设行政主管部门颁发的企业资质证书及安全生产许可证，并具备以下资质： 具有承接本工程所需的市政公用工程专业三级或以上级别施工总承包资质；拟担任本工程项目负责人的人员为：市政公用工程专业二级或以上级别的注册建造师； 注：①资质内容按照建市[2014]159号文颁布的新版《建筑业企业资质标准》中对应的资质类别及等级的承包工程范围和《住房城乡建设部关于建筑业企业资质管理有关问题的通知》（建市[2015]154号）、《住房城乡建设部关于简化建筑业企业资质标准部分指标的通知》(建市[2016]226号)、《住房和城乡建设部办公厅关于做好建筑业“证照分离”改革衔接有关工作的通知》（建办市〔2021〕30号）、《住房和城乡建设部办公厅关于建设工程企业资质有关事宜的通知》（建办市函〔2022〕361号）、《广东省住房和城乡建设厅关于建设工程企业资质有关事宜的通知》（粤建许函〔2022〕846号）的要求设置。 ②根据广东省建设厅《关于明确省外二级建造师入粤注册和执业有关问题的通知》（粤建市函〔2011〕218号），二级建造师执业资格证书、注册证书仅限所在行政区域内有效，不得跨省执业。响应供应商应提供有效的二级建造师执业资格证书，实行电子注册证书的，打印建造师电子证书后，项目负责人应在个人签名处手写本人签名，提交的证书未手写签名或与签名图像笔迹不一致的，该电子证书无效。项目负责人在任职期间不得担任专职安全员，项目专职安全员在任职期间也不得担任项目负责人，项目负责人和安全员不为同一人。 （2）项目负责人持有安全生产考核合格证（B类）或建筑施工企业项目负责人安全生产考核合格证书； （3）拟投入的专职安全员须具有安全生产考核合格证（C类）或建筑施工企业专职安全生产管理人员安全生产考核合格证书（C3）。</w:t>
            </w:r>
          </w:p>
        </w:tc>
      </w:tr>
      <w:tr>
        <w:tc>
          <w:tcPr>
            <w:tcW w:type="dxa" w:w="890"/>
          </w:tcPr>
          <w:p>
            <w:r>
              <w:rPr/>
              <w:t>9</w:t>
            </w:r>
          </w:p>
        </w:tc>
        <w:tc>
          <w:tcPr>
            <w:tcW w:type="dxa" w:w="3178"/>
          </w:tcPr>
          <w:p>
            <w:r>
              <w:rPr/>
              <w:t>特定资格要求（已获取本项目采购文件）</w:t>
            </w:r>
          </w:p>
        </w:tc>
        <w:tc>
          <w:tcPr>
            <w:tcW w:type="dxa" w:w="4238"/>
          </w:tcPr>
          <w:p>
            <w:r>
              <w:rPr/>
              <w:t>已获取本项目采购文件。</w:t>
            </w:r>
          </w:p>
        </w:tc>
      </w:tr>
      <w:tr>
        <w:tc>
          <w:tcPr>
            <w:tcW w:type="dxa" w:w="890"/>
          </w:tcPr>
          <w:p>
            <w:r>
              <w:rPr/>
              <w:t>10</w:t>
            </w:r>
          </w:p>
        </w:tc>
        <w:tc>
          <w:tcPr>
            <w:tcW w:type="dxa" w:w="3178"/>
          </w:tcPr>
          <w:p>
            <w:r>
              <w:rPr/>
              <w:t>本采购包专门面向中小企业采购</w:t>
            </w:r>
          </w:p>
        </w:tc>
        <w:tc>
          <w:tcPr>
            <w:tcW w:type="dxa" w:w="4238"/>
          </w:tcPr>
          <w:p>
            <w:r>
              <w:rPr/>
              <w:t>采购包整体专门面向中小企业，工程的承建商须为中小微企业或监狱企业或残疾人福利性单位。</w:t>
            </w:r>
          </w:p>
        </w:tc>
      </w:tr>
    </w:tbl>
    <w:p/>
    <w:p>
      <w:pPr>
        <w:ind w:firstLine="480"/>
      </w:pPr>
      <w:r>
        <w:rPr/>
        <w:t>表二符合性审查表：</w:t>
      </w:r>
    </w:p>
    <w:p>
      <w:pPr>
        <w:ind w:firstLine="480"/>
      </w:pPr>
    </w:p>
    <w:p/>
    <w:p>
      <w:r>
        <w:rPr/>
        <w:t>采购包1（广州市机电技师学院校园维护维修项目）：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响应承诺函</w:t>
            </w:r>
          </w:p>
        </w:tc>
        <w:tc>
          <w:tcPr>
            <w:tcW w:type="dxa" w:w="4238"/>
          </w:tcPr>
          <w:p>
            <w:r>
              <w:rPr/>
              <w:t>响应承诺函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响应有效期</w:t>
            </w:r>
          </w:p>
        </w:tc>
        <w:tc>
          <w:tcPr>
            <w:tcW w:type="dxa" w:w="4238"/>
          </w:tcPr>
          <w:p>
            <w:r>
              <w:rPr/>
              <w:t>响应有效期：90天</w:t>
            </w:r>
          </w:p>
        </w:tc>
      </w:tr>
      <w:tr>
        <w:tc>
          <w:tcPr>
            <w:tcW w:type="dxa" w:w="890"/>
          </w:tcPr>
          <w:p>
            <w:r>
              <w:rPr/>
              <w:t>4</w:t>
            </w:r>
          </w:p>
        </w:tc>
        <w:tc>
          <w:tcPr>
            <w:tcW w:type="dxa" w:w="3178"/>
          </w:tcPr>
          <w:p>
            <w:r>
              <w:rPr/>
              <w:t>签署、盖章</w:t>
            </w:r>
          </w:p>
        </w:tc>
        <w:tc>
          <w:tcPr>
            <w:tcW w:type="dxa" w:w="4238"/>
          </w:tcPr>
          <w:p>
            <w:r>
              <w:rPr/>
              <w:t>响应文件按照项目采购文件规定要求签署、盖章</w:t>
            </w:r>
          </w:p>
        </w:tc>
      </w:tr>
      <w:tr>
        <w:tc>
          <w:tcPr>
            <w:tcW w:type="dxa" w:w="890"/>
          </w:tcPr>
          <w:p>
            <w:r>
              <w:rPr/>
              <w:t>5</w:t>
            </w:r>
          </w:p>
        </w:tc>
        <w:tc>
          <w:tcPr>
            <w:tcW w:type="dxa" w:w="3178"/>
          </w:tcPr>
          <w:p>
            <w:r>
              <w:rPr/>
              <w:t>响应报价</w:t>
            </w:r>
          </w:p>
        </w:tc>
        <w:tc>
          <w:tcPr>
            <w:tcW w:type="dxa" w:w="4238"/>
          </w:tcPr>
          <w:p>
            <w:r>
              <w:rPr/>
              <w:t>响应报价是固定价且未超过本项目采购预算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响应文件没有采购人不能接受的附加条件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采购包1(广州市机电技师学院校园维护维修项目):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施工组织方案及技术保障措施（一） (1.0分)</w:t>
            </w:r>
          </w:p>
        </w:tc>
        <w:tc>
          <w:tcPr>
            <w:tcW w:type="dxa" w:w="5076"/>
          </w:tcPr>
          <w:p>
            <w:pPr>
              <w:jc w:val="left"/>
            </w:pPr>
            <w:r>
              <w:rPr/>
              <w:t>磋商小组根据响应供应商提供的施工组织方案及技术保障措施进行评审，包括以下几个方面： 1、施工组织方案； 2、技术保障措施。 提供全部内容得1分，每缺1项扣0.5分。</w:t>
            </w:r>
          </w:p>
        </w:tc>
      </w:tr>
      <w:tr>
        <w:tc>
          <w:tcPr>
            <w:tcW w:type="dxa" w:w="922"/>
            <w:gridSpan w:val="2"/>
            <w:vMerge/>
          </w:tcPr>
          <w:p/>
        </w:tc>
        <w:tc>
          <w:tcPr>
            <w:tcW w:type="dxa" w:w="2307"/>
          </w:tcPr>
          <w:p>
            <w:pPr>
              <w:jc w:val="left"/>
            </w:pPr>
            <w:r>
              <w:rPr/>
              <w:t>施工组织方案及技术保障措施（二） (6.0分)</w:t>
            </w:r>
          </w:p>
        </w:tc>
        <w:tc>
          <w:tcPr>
            <w:tcW w:type="dxa" w:w="5076"/>
          </w:tcPr>
          <w:p>
            <w:pPr>
              <w:jc w:val="left"/>
            </w:pPr>
            <w:r>
              <w:rPr/>
              <w:t>根据响应供应商项目施工方案、技术保障措施等进行评审： 1、方案完善合理完整、有针对性，可行性高，具有详尽的技术保障措施，各方面内容均满足磋商文件要求，得6分； 2、方案内容完整合理，有一定的技术保障措施，可行性较好，能较大程度满足磋商文件要求，得3分； 3、方案基本合理，技术保障措施可行性一般，基本满足磋商文件要求，得1分； 4、其他不得分。</w:t>
            </w:r>
          </w:p>
        </w:tc>
      </w:tr>
      <w:tr>
        <w:tc>
          <w:tcPr>
            <w:tcW w:type="dxa" w:w="922"/>
            <w:gridSpan w:val="2"/>
            <w:vMerge/>
          </w:tcPr>
          <w:p/>
        </w:tc>
        <w:tc>
          <w:tcPr>
            <w:tcW w:type="dxa" w:w="2307"/>
          </w:tcPr>
          <w:p>
            <w:pPr>
              <w:jc w:val="left"/>
            </w:pPr>
            <w:r>
              <w:rPr/>
              <w:t>施工进度计划阶段进度的保证措施（一） (1.0分)</w:t>
            </w:r>
          </w:p>
        </w:tc>
        <w:tc>
          <w:tcPr>
            <w:tcW w:type="dxa" w:w="5076"/>
          </w:tcPr>
          <w:p>
            <w:pPr>
              <w:jc w:val="left"/>
            </w:pPr>
            <w:r>
              <w:rPr/>
              <w:t>磋商小组根据响应供应商提供的施工进度计划阶段进度的保证措施进行评审，包括以下几个方面： 1、施工进度计划； 2、阶段进度保证措施。 提供全部内容得1分，每缺1项扣0.5分。</w:t>
            </w:r>
          </w:p>
        </w:tc>
      </w:tr>
      <w:tr>
        <w:tc>
          <w:tcPr>
            <w:tcW w:type="dxa" w:w="922"/>
            <w:gridSpan w:val="2"/>
            <w:vMerge/>
          </w:tcPr>
          <w:p/>
        </w:tc>
        <w:tc>
          <w:tcPr>
            <w:tcW w:type="dxa" w:w="2307"/>
          </w:tcPr>
          <w:p>
            <w:pPr>
              <w:jc w:val="left"/>
            </w:pPr>
            <w:r>
              <w:rPr/>
              <w:t>施工进度计划阶段进度的保证措施（二） (6.0分)</w:t>
            </w:r>
          </w:p>
        </w:tc>
        <w:tc>
          <w:tcPr>
            <w:tcW w:type="dxa" w:w="5076"/>
          </w:tcPr>
          <w:p>
            <w:pPr>
              <w:jc w:val="left"/>
            </w:pPr>
            <w:r>
              <w:rPr/>
              <w:t>根据响应供应商的施工进度计划阶段进度的保证措施进行评审：  1、施工进度安排合理，满足总体工程关键节点的要求，并有具体相应的有效保证进度的措施，得6分；  2、进度计划合理、有进度保证措施，可行性一般，得3分；  3、施工进度安排基本合理，进度保证措施可行性差，得1分；  4、其他不得分。</w:t>
            </w:r>
          </w:p>
        </w:tc>
      </w:tr>
      <w:tr>
        <w:tc>
          <w:tcPr>
            <w:tcW w:type="dxa" w:w="922"/>
            <w:gridSpan w:val="2"/>
            <w:vMerge/>
          </w:tcPr>
          <w:p/>
        </w:tc>
        <w:tc>
          <w:tcPr>
            <w:tcW w:type="dxa" w:w="2307"/>
          </w:tcPr>
          <w:p>
            <w:pPr>
              <w:jc w:val="left"/>
            </w:pPr>
            <w:r>
              <w:rPr/>
              <w:t>塑胶跑道技术参数要求 (18.0分)</w:t>
            </w:r>
          </w:p>
        </w:tc>
        <w:tc>
          <w:tcPr>
            <w:tcW w:type="dxa" w:w="5076"/>
          </w:tcPr>
          <w:p>
            <w:pPr>
              <w:jc w:val="left"/>
            </w:pPr>
            <w:r>
              <w:rPr/>
              <w:t>根据各投标人所投产品对第二章采购需求中“2.技术标准与要求”的“表1、表2、表3”（共36项）响应情况：每一项不满足的扣0.5分，扣至0分为止。  注：以提供经第三方机构出具的合格的完整（缺页或不清晰的不得分）的检测报告复印件为准，且送检单位名称与所投产品制造商一致。</w:t>
            </w:r>
          </w:p>
        </w:tc>
      </w:tr>
      <w:tr>
        <w:tc>
          <w:tcPr>
            <w:tcW w:type="dxa" w:w="922"/>
            <w:gridSpan w:val="2"/>
            <w:vMerge/>
          </w:tcPr>
          <w:p/>
        </w:tc>
        <w:tc>
          <w:tcPr>
            <w:tcW w:type="dxa" w:w="2307"/>
          </w:tcPr>
          <w:p>
            <w:pPr>
              <w:jc w:val="left"/>
            </w:pPr>
            <w:r>
              <w:rPr/>
              <w:t>产品性能评分指标（一） (4.0分)</w:t>
            </w:r>
          </w:p>
        </w:tc>
        <w:tc>
          <w:tcPr>
            <w:tcW w:type="dxa" w:w="5076"/>
          </w:tcPr>
          <w:p>
            <w:pPr>
              <w:jc w:val="left"/>
            </w:pPr>
            <w:r>
              <w:rPr/>
              <w:t>合成材料面层拉伸强度、拉断伸长率应符合GB 36246-2018《中小学合成材料面层运动场地》现浇型面层物理机械性能符合规定：（渗水型面层）拉断伸长率≥40%、拉伸强度≥0.4MPa； 注：提供具备CMA或CNAS标识的检测机构出具的检测报告复印件得4分，否则不得分。</w:t>
            </w:r>
          </w:p>
        </w:tc>
      </w:tr>
      <w:tr>
        <w:tc>
          <w:tcPr>
            <w:tcW w:type="dxa" w:w="922"/>
            <w:gridSpan w:val="2"/>
            <w:vMerge/>
          </w:tcPr>
          <w:p/>
        </w:tc>
        <w:tc>
          <w:tcPr>
            <w:tcW w:type="dxa" w:w="2307"/>
          </w:tcPr>
          <w:p>
            <w:pPr>
              <w:jc w:val="left"/>
            </w:pPr>
            <w:r>
              <w:rPr/>
              <w:t>产品性能评分指标（二） (4.0分)</w:t>
            </w:r>
          </w:p>
        </w:tc>
        <w:tc>
          <w:tcPr>
            <w:tcW w:type="dxa" w:w="5076"/>
          </w:tcPr>
          <w:p>
            <w:pPr>
              <w:jc w:val="left"/>
            </w:pPr>
            <w:r>
              <w:rPr/>
              <w:t>合成材料面层拉伸强度、拉断伸长率应符合GB 36246-2018《中小学合成材料面层运动场地》，合成材料面层耐人工气候老化性能：加速500h后，拉断伸长率≥40%、拉伸强度≥0.4Mpa。 注：提供具备CMA或CNAS标识的检测机构出具的检测报告复印件，否则不得分。</w:t>
            </w:r>
          </w:p>
        </w:tc>
      </w:tr>
      <w:tr>
        <w:tc>
          <w:tcPr>
            <w:tcW w:type="dxa" w:w="922"/>
            <w:gridSpan w:val="2"/>
            <w:vMerge/>
          </w:tcPr>
          <w:p/>
        </w:tc>
        <w:tc>
          <w:tcPr>
            <w:tcW w:type="dxa" w:w="2307"/>
          </w:tcPr>
          <w:p>
            <w:pPr>
              <w:jc w:val="left"/>
            </w:pPr>
            <w:r>
              <w:rPr/>
              <w:t>安全生产保证措施（一） (3.0分)</w:t>
            </w:r>
          </w:p>
        </w:tc>
        <w:tc>
          <w:tcPr>
            <w:tcW w:type="dxa" w:w="5076"/>
          </w:tcPr>
          <w:p>
            <w:pPr>
              <w:jc w:val="left"/>
            </w:pPr>
            <w:r>
              <w:rPr/>
              <w:t>磋商小组根据响应供应商提供的安全生产保证措施进行评价，包括以下几个方面（磋商响应文件中各项标题应以下列名称命名）： 1、安全生产保证体系； 2、施工人员安全培训； 3、现场安全生产管理。 提供全部内容得3分，每缺1项扣1分。</w:t>
            </w:r>
          </w:p>
        </w:tc>
      </w:tr>
      <w:tr>
        <w:tc>
          <w:tcPr>
            <w:tcW w:type="dxa" w:w="922"/>
            <w:gridSpan w:val="2"/>
            <w:vMerge/>
          </w:tcPr>
          <w:p/>
        </w:tc>
        <w:tc>
          <w:tcPr>
            <w:tcW w:type="dxa" w:w="2307"/>
          </w:tcPr>
          <w:p>
            <w:pPr>
              <w:jc w:val="left"/>
            </w:pPr>
            <w:r>
              <w:rPr/>
              <w:t>安全生产保证措施（二） (7.0分)</w:t>
            </w:r>
          </w:p>
        </w:tc>
        <w:tc>
          <w:tcPr>
            <w:tcW w:type="dxa" w:w="5076"/>
          </w:tcPr>
          <w:p>
            <w:pPr>
              <w:jc w:val="left"/>
            </w:pPr>
            <w:r>
              <w:rPr/>
              <w:t>磋商小组根据响应供应商针对本工程的特点，从安全生产保证体系、施工人员安全培训、现场安全生产管理等方面提出详细的安全生产保证措施进行评审:  1、对本工程的特点，从安全生产保证体系、施工人员安全培训、现场安全生产管理等方面提出安全生产保证措施完善得7分； 2、对本工程的特点，从安全生产保证体系、施工人员安全培训、现场安全生产管理等方面提出安全生产保证措施较完善得3分； 3、对本工程的特点，从安全生产保证体系、施工人员安全培训、现场安全生产管理等方面提出安全生产保证措施不够完善得1分； 4、其他不得分。</w:t>
            </w:r>
          </w:p>
        </w:tc>
      </w:tr>
      <w:tr>
        <w:tc>
          <w:tcPr>
            <w:tcW w:type="dxa" w:w="922"/>
            <w:gridSpan w:val="2"/>
            <w:vMerge w:val="restart"/>
          </w:tcPr>
          <w:p>
            <w:pPr>
              <w:jc w:val="center"/>
            </w:pPr>
            <w:r>
              <w:rPr/>
              <w:t>商务部分</w:t>
            </w:r>
          </w:p>
        </w:tc>
        <w:tc>
          <w:tcPr>
            <w:tcW w:type="dxa" w:w="2307"/>
          </w:tcPr>
          <w:p>
            <w:pPr>
              <w:jc w:val="left"/>
            </w:pPr>
            <w:r>
              <w:rPr/>
              <w:t>同类项目业绩 (5.0分)</w:t>
            </w:r>
          </w:p>
        </w:tc>
        <w:tc>
          <w:tcPr>
            <w:tcW w:type="dxa" w:w="5076"/>
          </w:tcPr>
          <w:p>
            <w:pPr>
              <w:jc w:val="left"/>
            </w:pPr>
            <w:r>
              <w:rPr/>
              <w:t>响应供应商从2020年1月1日（以验收报告日期为准）至今同类项目业绩情况，每提供一项合同业绩得2.5分，最高得5分。 注：须提供项目中标/成交通知书、合同及竣工验收报告（或验收备案表）的原件扫描件（加盖响应供应商公章），同一项目的业绩不重复计分。提供合同模糊专家无法认定的不得分。</w:t>
            </w:r>
          </w:p>
        </w:tc>
      </w:tr>
      <w:tr>
        <w:tc>
          <w:tcPr>
            <w:tcW w:type="dxa" w:w="922"/>
            <w:gridSpan w:val="2"/>
            <w:vMerge/>
          </w:tcPr>
          <w:p/>
        </w:tc>
        <w:tc>
          <w:tcPr>
            <w:tcW w:type="dxa" w:w="2307"/>
          </w:tcPr>
          <w:p>
            <w:pPr>
              <w:jc w:val="left"/>
            </w:pPr>
            <w:r>
              <w:rPr/>
              <w:t>体系认证 (7.5分)</w:t>
            </w:r>
          </w:p>
        </w:tc>
        <w:tc>
          <w:tcPr>
            <w:tcW w:type="dxa" w:w="5076"/>
          </w:tcPr>
          <w:p>
            <w:pPr>
              <w:jc w:val="left"/>
            </w:pPr>
            <w:r>
              <w:rPr/>
              <w:t>响应供应商具有质量管理体系认证、环境管理体系认证、职业健康安全管理体系认证，每个证书2.5分，满分7.5分。  注：提供认证证书原件扫描件（加盖响应供应商公章）作为证明材料，不提供或专家无法认定的不得分。</w:t>
            </w:r>
          </w:p>
        </w:tc>
      </w:tr>
      <w:tr>
        <w:tc>
          <w:tcPr>
            <w:tcW w:type="dxa" w:w="922"/>
            <w:gridSpan w:val="2"/>
            <w:vMerge/>
          </w:tcPr>
          <w:p/>
        </w:tc>
        <w:tc>
          <w:tcPr>
            <w:tcW w:type="dxa" w:w="2307"/>
          </w:tcPr>
          <w:p>
            <w:pPr>
              <w:jc w:val="left"/>
            </w:pPr>
            <w:r>
              <w:rPr/>
              <w:t>拟投入项目人员 (7.5分)</w:t>
            </w:r>
          </w:p>
        </w:tc>
        <w:tc>
          <w:tcPr>
            <w:tcW w:type="dxa" w:w="5076"/>
          </w:tcPr>
          <w:p>
            <w:pPr>
              <w:jc w:val="left"/>
            </w:pPr>
            <w:r>
              <w:rPr/>
              <w:t>1、拟投入其他团队人员（除项目负责人、技术负责人、专职安全员外）具备园林建筑或市政工程相关专业中级职称（或以上）的，得3分； 2、拟投入技术负责人具备园林建筑或市政工程相关专业高级职称（或以上）的，的4.5分。 注：本项最高7.5分；上述人员必须是响应供应商本单位的在职员工，且各岗位之间不得相互兼任；须提供相关人员资格证书原件扫描件并加盖响应供应商公章和响应供应商近六个月（扣除发布磋商公告当月往前顺推6个月）任意一个月为拟派人员缴纳社保资金的有效的社保证明材料。</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磋商结果按评审后总得分由高到低顺序排列。总得分相同的按磋商报价由低到高顺序排列。得分且磋商报价相同的，按照技术指标优劣顺序推荐。排名第一的响应供应商为第一成交候选人，排名第二的响应供应商为第二成交候选人，排名第三的供应商为第三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sz w:val="32"/>
        </w:rPr>
        <w:t>广州市机电技师学院校园维护维修项目（二次）合同</w:t>
      </w:r>
    </w:p>
    <w:p>
      <w:pPr>
        <w:jc w:val="both"/>
      </w:pPr>
      <w:r>
        <w:rPr>
          <w:b/>
          <w:sz w:val="21"/>
          <w:u w:val="single"/>
        </w:rPr>
        <w:t>广州市机电技师学院</w:t>
      </w:r>
      <w:r>
        <w:rPr>
          <w:b/>
          <w:sz w:val="21"/>
        </w:rPr>
        <w:t>（以下简称甲方）</w:t>
      </w:r>
    </w:p>
    <w:p>
      <w:pPr>
        <w:jc w:val="both"/>
      </w:pPr>
      <w:r>
        <w:rPr>
          <w:b/>
          <w:sz w:val="21"/>
          <w:u w:val="single"/>
        </w:rPr>
        <w:t>（成交供应商名称）</w:t>
      </w:r>
      <w:r>
        <w:rPr>
          <w:b/>
          <w:sz w:val="21"/>
        </w:rPr>
        <w:t>（以下简称乙方）</w:t>
      </w:r>
    </w:p>
    <w:p>
      <w:pPr>
        <w:ind w:firstLine="455"/>
        <w:jc w:val="both"/>
      </w:pPr>
      <w:r>
        <w:rPr>
          <w:sz w:val="21"/>
        </w:rPr>
        <w:t>依照《中华人民共和国民法典》、《中华人民共和国建筑法》、《建设工程质量管理条例》及其他有关法律、行政法规的规定，经双方平等友好协商，甲方同意将</w:t>
      </w:r>
      <w:r>
        <w:rPr>
          <w:sz w:val="21"/>
          <w:u w:val="single"/>
        </w:rPr>
        <w:t>广州市机电技师学院校园维护维修项目（二次）</w:t>
      </w:r>
      <w:r>
        <w:rPr>
          <w:sz w:val="21"/>
        </w:rPr>
        <w:t>委托乙方施工。为明确双方在工程施工中的权利、义务和经济责任，特订立本合同以共同遵守执行：</w:t>
      </w:r>
    </w:p>
    <w:p>
      <w:pPr>
        <w:jc w:val="both"/>
      </w:pPr>
      <w:r>
        <w:rPr>
          <w:b/>
          <w:sz w:val="21"/>
        </w:rPr>
        <w:t>第一条</w:t>
      </w:r>
      <w:r>
        <w:rPr>
          <w:b/>
          <w:sz w:val="21"/>
        </w:rPr>
        <w:t>工程概况及合同标的</w:t>
      </w:r>
    </w:p>
    <w:p>
      <w:pPr>
        <w:ind w:firstLine="455"/>
        <w:jc w:val="both"/>
      </w:pPr>
      <w:r>
        <w:rPr>
          <w:sz w:val="21"/>
        </w:rPr>
        <w:t xml:space="preserve">1、工程名称：广州市机电技师学院校园维护维修项目（二次）                                         </w:t>
      </w:r>
    </w:p>
    <w:p>
      <w:pPr>
        <w:ind w:firstLine="455"/>
        <w:jc w:val="both"/>
      </w:pPr>
      <w:r>
        <w:rPr>
          <w:sz w:val="21"/>
        </w:rPr>
        <w:t xml:space="preserve">2、项目地点：采购人指定地点                                            </w:t>
      </w:r>
    </w:p>
    <w:p>
      <w:pPr>
        <w:ind w:firstLine="455"/>
        <w:jc w:val="both"/>
      </w:pPr>
      <w:r>
        <w:rPr>
          <w:sz w:val="21"/>
        </w:rPr>
        <w:t xml:space="preserve">3、工程内容：以施工图设计文件、工程量清单、效果图等随附资料为准                                               </w:t>
      </w:r>
    </w:p>
    <w:p>
      <w:pPr>
        <w:ind w:firstLine="455"/>
        <w:jc w:val="both"/>
      </w:pPr>
      <w:r>
        <w:rPr>
          <w:sz w:val="21"/>
        </w:rPr>
        <w:t>4、承包方式：本工程项目实行固定总价包干，项目措施费包干。按照工程量清单内容及现场施工条件，采取包工、包料、包机械、包工期、包质量、包安全生产、包文明施工、包税、包劳保、包验收、包保修、包组织项目整体竣工验收（含施工过程资料汇总、整理）方式承包。除磋商文件中有明确外，成乙方不得再以任何方式转包或分包本工程。甲方如合理变更、修改工程量清单的工程内容，乙方不得拒绝承担。</w:t>
      </w:r>
    </w:p>
    <w:p>
      <w:pPr>
        <w:ind w:firstLine="455"/>
        <w:jc w:val="both"/>
      </w:pPr>
      <w:r>
        <w:rPr>
          <w:sz w:val="21"/>
        </w:rPr>
        <w:t>5、安装要求：按现行规范施工并验收。</w:t>
      </w:r>
    </w:p>
    <w:p>
      <w:pPr>
        <w:jc w:val="both"/>
      </w:pPr>
      <w:r>
        <w:rPr>
          <w:b/>
          <w:sz w:val="21"/>
        </w:rPr>
        <w:t>第二条</w:t>
      </w:r>
      <w:r>
        <w:rPr>
          <w:b/>
          <w:sz w:val="21"/>
        </w:rPr>
        <w:t>合同价款</w:t>
      </w:r>
    </w:p>
    <w:p>
      <w:pPr>
        <w:ind w:firstLine="455"/>
        <w:jc w:val="both"/>
      </w:pPr>
      <w:r>
        <w:rPr>
          <w:sz w:val="21"/>
        </w:rPr>
        <w:t>1、合同价款暂时确定为（人民币）大写：</w:t>
      </w:r>
      <w:r>
        <w:rPr>
          <w:sz w:val="21"/>
          <w:u w:val="single"/>
        </w:rPr>
        <w:t xml:space="preserve">              </w:t>
      </w:r>
      <w:r>
        <w:rPr>
          <w:sz w:val="21"/>
        </w:rPr>
        <w:t>小写：</w:t>
      </w:r>
      <w:r>
        <w:rPr>
          <w:sz w:val="21"/>
          <w:u w:val="single"/>
        </w:rPr>
        <w:t xml:space="preserve">          </w:t>
      </w:r>
      <w:r>
        <w:rPr>
          <w:sz w:val="21"/>
        </w:rPr>
        <w:t>。</w:t>
      </w:r>
    </w:p>
    <w:p>
      <w:pPr>
        <w:ind w:firstLine="455"/>
        <w:jc w:val="both"/>
      </w:pPr>
      <w:r>
        <w:rPr>
          <w:sz w:val="21"/>
        </w:rPr>
        <w:t>2、工程价款的结算须以甲方审定为准。</w:t>
      </w:r>
    </w:p>
    <w:p>
      <w:pPr>
        <w:jc w:val="both"/>
      </w:pPr>
      <w:r>
        <w:rPr>
          <w:b/>
          <w:sz w:val="21"/>
        </w:rPr>
        <w:t>第三条</w:t>
      </w:r>
      <w:r>
        <w:rPr>
          <w:b/>
          <w:sz w:val="21"/>
        </w:rPr>
        <w:t>工期</w:t>
      </w:r>
    </w:p>
    <w:p>
      <w:pPr>
        <w:ind w:firstLine="455"/>
        <w:jc w:val="both"/>
      </w:pPr>
      <w:r>
        <w:rPr>
          <w:sz w:val="21"/>
        </w:rPr>
        <w:t>1、工期为</w:t>
      </w:r>
      <w:r>
        <w:rPr>
          <w:sz w:val="21"/>
          <w:u w:val="single"/>
        </w:rPr>
        <w:t>60</w:t>
      </w:r>
      <w:r>
        <w:rPr>
          <w:sz w:val="21"/>
        </w:rPr>
        <w:t>个日历天。实际开工日期：</w:t>
      </w:r>
      <w:r>
        <w:rPr>
          <w:sz w:val="21"/>
          <w:u w:val="single"/>
        </w:rPr>
        <w:t>工期自甲方发出的开工令之日起计算。</w:t>
      </w:r>
    </w:p>
    <w:p>
      <w:pPr>
        <w:jc w:val="both"/>
      </w:pPr>
      <w:r>
        <w:rPr>
          <w:b/>
          <w:sz w:val="21"/>
        </w:rPr>
        <w:t>第四条</w:t>
      </w:r>
      <w:r>
        <w:rPr>
          <w:b/>
          <w:sz w:val="21"/>
        </w:rPr>
        <w:t>项目范围</w:t>
      </w:r>
    </w:p>
    <w:p>
      <w:pPr>
        <w:ind w:firstLine="420"/>
        <w:jc w:val="both"/>
      </w:pPr>
      <w:r>
        <w:rPr>
          <w:sz w:val="21"/>
        </w:rPr>
        <w:t>本项目根据甲方提供的改造施工工程量清单和场地实际情况及甲方项目所在地的相关规范、标准、条例进行报价、施工和验收。</w:t>
      </w:r>
    </w:p>
    <w:p>
      <w:pPr>
        <w:ind w:firstLine="420"/>
        <w:jc w:val="both"/>
      </w:pPr>
      <w:r>
        <w:rPr>
          <w:sz w:val="21"/>
        </w:rPr>
        <w:t>1、项目包括但并不限于如下内容：</w:t>
      </w:r>
    </w:p>
    <w:p>
      <w:pPr>
        <w:ind w:firstLine="420"/>
        <w:jc w:val="both"/>
      </w:pPr>
      <w:r>
        <w:rPr>
          <w:sz w:val="21"/>
        </w:rPr>
        <w:t>1.1施工（竣工图）绘制</w:t>
      </w:r>
    </w:p>
    <w:p>
      <w:pPr>
        <w:ind w:firstLine="420"/>
        <w:jc w:val="both"/>
      </w:pPr>
      <w:r>
        <w:rPr>
          <w:sz w:val="21"/>
        </w:rPr>
        <w:t>1.2铲除原有跑道面层，局部优化排水坡，铺塑胶跑道</w:t>
      </w:r>
    </w:p>
    <w:p>
      <w:pPr>
        <w:ind w:firstLine="420"/>
        <w:jc w:val="both"/>
      </w:pPr>
      <w:r>
        <w:rPr>
          <w:sz w:val="21"/>
        </w:rPr>
        <w:t>1.3铲除人造草坪，局部找坡，铺底背胶水层+人造草坪</w:t>
      </w:r>
    </w:p>
    <w:p>
      <w:pPr>
        <w:ind w:firstLine="420"/>
        <w:jc w:val="both"/>
      </w:pPr>
      <w:r>
        <w:rPr>
          <w:sz w:val="21"/>
        </w:rPr>
        <w:t>1.4调整围网范围，拆除围网，新增立柱及横梁，金属漆翻新</w:t>
      </w:r>
    </w:p>
    <w:p>
      <w:pPr>
        <w:ind w:firstLine="420"/>
        <w:jc w:val="both"/>
      </w:pPr>
      <w:r>
        <w:rPr>
          <w:sz w:val="21"/>
        </w:rPr>
        <w:t>1.5</w:t>
      </w:r>
      <w:r>
        <w:rPr>
          <w:sz w:val="21"/>
        </w:rPr>
        <w:t>运动场地射灯设置，电气系统重新布置</w:t>
      </w:r>
    </w:p>
    <w:p>
      <w:pPr>
        <w:ind w:firstLine="420"/>
        <w:jc w:val="both"/>
      </w:pPr>
      <w:r>
        <w:rPr>
          <w:sz w:val="21"/>
        </w:rPr>
        <w:t>1.6拓宽原有排水沟，设置隐藏式排水沟(更换塑胶地面面层排水孔加密盖板)</w:t>
      </w:r>
    </w:p>
    <w:p>
      <w:pPr>
        <w:ind w:firstLine="420"/>
        <w:jc w:val="both"/>
      </w:pPr>
      <w:r>
        <w:rPr>
          <w:sz w:val="21"/>
        </w:rPr>
        <w:t>1.7绿植保护，乔木增加基坑树根保护，树下座椅保护区域拓宽</w:t>
      </w:r>
    </w:p>
    <w:p>
      <w:pPr>
        <w:ind w:firstLine="420"/>
        <w:jc w:val="both"/>
      </w:pPr>
      <w:r>
        <w:rPr>
          <w:sz w:val="21"/>
        </w:rPr>
        <w:t>1.8原有单双杠健身区设施金属漆翻新处理及地面统一更换处理</w:t>
      </w:r>
    </w:p>
    <w:p>
      <w:pPr>
        <w:ind w:firstLine="420"/>
        <w:jc w:val="both"/>
      </w:pPr>
      <w:r>
        <w:rPr>
          <w:sz w:val="21"/>
        </w:rPr>
        <w:t>1.9升旗台更换地面砖，升旗台重新移位建设</w:t>
      </w:r>
    </w:p>
    <w:p>
      <w:pPr>
        <w:ind w:firstLine="420"/>
        <w:jc w:val="both"/>
      </w:pPr>
      <w:r>
        <w:rPr>
          <w:sz w:val="21"/>
        </w:rPr>
        <w:t>1.10施工进度计划表</w:t>
      </w:r>
    </w:p>
    <w:p>
      <w:pPr>
        <w:ind w:firstLine="420"/>
        <w:jc w:val="both"/>
      </w:pPr>
      <w:r>
        <w:rPr>
          <w:sz w:val="21"/>
        </w:rPr>
        <w:t>2、招标工程量清单，详见附件，具体以工程量清单内工程内容为准。</w:t>
      </w:r>
    </w:p>
    <w:p>
      <w:pPr>
        <w:ind w:firstLine="420"/>
        <w:jc w:val="both"/>
      </w:pPr>
      <w:r>
        <w:rPr>
          <w:sz w:val="21"/>
        </w:rPr>
        <w:t>3、招标工程量清单上的工程项目和工程数量只作为参考，乙方应充分详细了解工程项目的情况和竣工结算等的资料归档要求，乙方经复核工程量清单认为有出入，或认为合同规定应由其承担而在工程量清单中未详细列出的项目，或因工程量清单、工程量清单项目或工程量与现场实际不符而引起的变更，其费用和利润均应考虑计入工程总报价，响应报价及成交合同价均为固定总价承包。竣工结算时由乙方提交的竣工结算资料（含施工组织工程量清单、竣工工程量清单计价表、工程签证等相关资料由甲方审核确认为准）。</w:t>
      </w:r>
    </w:p>
    <w:p>
      <w:pPr>
        <w:jc w:val="both"/>
      </w:pPr>
      <w:r>
        <w:rPr>
          <w:b/>
          <w:sz w:val="21"/>
        </w:rPr>
        <w:t>第五条</w:t>
      </w:r>
      <w:r>
        <w:rPr>
          <w:b/>
          <w:sz w:val="21"/>
        </w:rPr>
        <w:t>项目组织要求</w:t>
      </w:r>
    </w:p>
    <w:p>
      <w:pPr>
        <w:ind w:firstLine="420"/>
        <w:jc w:val="both"/>
      </w:pPr>
      <w:r>
        <w:rPr>
          <w:sz w:val="21"/>
        </w:rPr>
        <w:t>1、乙方需为该项目成立专业的施工团队（列出项目人员架构表），拟派的施工人员管理架构设置需满足工程施工需要。</w:t>
      </w:r>
    </w:p>
    <w:p>
      <w:pPr>
        <w:ind w:firstLine="420"/>
        <w:jc w:val="both"/>
      </w:pPr>
      <w:r>
        <w:rPr>
          <w:sz w:val="21"/>
        </w:rPr>
        <w:t>2</w:t>
      </w:r>
      <w:r>
        <w:rPr>
          <w:b/>
          <w:sz w:val="21"/>
        </w:rPr>
        <w:t>、</w:t>
      </w:r>
      <w:r>
        <w:rPr>
          <w:sz w:val="21"/>
        </w:rPr>
        <w:t>乙方必须要根据该项工程的特点制定施工方案、工作计划表及解决项目重点、难点的措施。</w:t>
      </w:r>
    </w:p>
    <w:p>
      <w:pPr>
        <w:ind w:firstLine="420"/>
        <w:jc w:val="both"/>
      </w:pPr>
      <w:r>
        <w:rPr>
          <w:sz w:val="21"/>
        </w:rPr>
        <w:t>3、乙方需与甲方进行深入交流和充分沟通，并踏勘现场，详细列出施工项目需要甲方提供资料和文件的清单。</w:t>
      </w:r>
    </w:p>
    <w:p>
      <w:pPr>
        <w:ind w:firstLine="420"/>
        <w:jc w:val="both"/>
      </w:pPr>
      <w:r>
        <w:rPr>
          <w:sz w:val="21"/>
        </w:rPr>
        <w:t>4、乙方需有本工程施工成果控制措施，如要有组织保证措施、进度保证措施和质量保证措施。</w:t>
      </w:r>
    </w:p>
    <w:p>
      <w:pPr>
        <w:ind w:firstLine="420"/>
        <w:jc w:val="both"/>
      </w:pPr>
      <w:r>
        <w:rPr>
          <w:sz w:val="21"/>
        </w:rPr>
        <w:t>5、乙方成交后不得随意更换响应文件中所报的项目负责人、现场负责人等，如确须更换，则事前须征得甲方同意，如有违反，一经发现取消成交资格，并赔偿由此造成的一切损失(包含质量安全事故、拖延工期、增加投资等损失)。在施工过程中，造成损失的，按实际发生额赔偿。</w:t>
      </w:r>
    </w:p>
    <w:p>
      <w:pPr>
        <w:jc w:val="both"/>
      </w:pPr>
      <w:r>
        <w:rPr>
          <w:b/>
          <w:sz w:val="21"/>
        </w:rPr>
        <w:t>第六条</w:t>
      </w:r>
      <w:r>
        <w:rPr>
          <w:b/>
          <w:sz w:val="21"/>
        </w:rPr>
        <w:t>工程技术规范和标准要求</w:t>
      </w:r>
    </w:p>
    <w:p>
      <w:pPr>
        <w:ind w:firstLine="420"/>
        <w:jc w:val="both"/>
      </w:pPr>
      <w:r>
        <w:rPr>
          <w:sz w:val="21"/>
        </w:rPr>
        <w:t>本项目钢结构工程、装修装饰、强弱电等项目的材料、设备、施工须达到现行国家、省、市或行业规定的建设工程的施工、验收规范及标准要求。</w:t>
      </w:r>
    </w:p>
    <w:p>
      <w:pPr>
        <w:jc w:val="both"/>
      </w:pPr>
      <w:r>
        <w:rPr>
          <w:b/>
          <w:sz w:val="21"/>
        </w:rPr>
        <w:t>第七条</w:t>
      </w:r>
      <w:r>
        <w:rPr>
          <w:b/>
          <w:sz w:val="21"/>
        </w:rPr>
        <w:t>材料要求</w:t>
      </w:r>
    </w:p>
    <w:p>
      <w:pPr>
        <w:ind w:firstLine="420"/>
        <w:jc w:val="both"/>
      </w:pPr>
      <w:r>
        <w:rPr>
          <w:sz w:val="21"/>
        </w:rPr>
        <w:t>1、乙方需承诺提供厂商原装、全新的、符合国家及用户提出的有关质量标准的设备和材料。</w:t>
      </w:r>
    </w:p>
    <w:p>
      <w:pPr>
        <w:ind w:firstLine="420"/>
        <w:jc w:val="both"/>
      </w:pPr>
      <w:r>
        <w:rPr>
          <w:sz w:val="21"/>
        </w:rPr>
        <w:t>2、乙方所选用的设备、材料需要提供设备、材料的品牌、型号、技术参数及产品合格证书等证明文件。</w:t>
      </w:r>
    </w:p>
    <w:p>
      <w:pPr>
        <w:ind w:firstLine="420"/>
        <w:jc w:val="both"/>
      </w:pPr>
      <w:r>
        <w:rPr>
          <w:sz w:val="21"/>
        </w:rPr>
        <w:t>3、乙方所选用的设备、材料、辅料施工应符合国家、省有关工程质量及环保标准。</w:t>
      </w:r>
    </w:p>
    <w:p>
      <w:pPr>
        <w:ind w:firstLine="420"/>
        <w:jc w:val="both"/>
      </w:pPr>
      <w:r>
        <w:rPr>
          <w:sz w:val="21"/>
        </w:rPr>
        <w:t>4、乙方所选用的主要材料都需有合格证明，须经甲方同意方可使用。各种零配件的质量、品牌，需符合国家规定的质量标准。乙方如提供伪劣、假冒等不合格材料而导致的损失、事故及一切后果，均由乙方负责并赔偿甲方所有损失</w:t>
      </w:r>
      <w:r>
        <w:rPr>
          <w:sz w:val="21"/>
        </w:rPr>
        <w:t>（包括甲方和第三方）</w:t>
      </w:r>
      <w:r>
        <w:rPr>
          <w:sz w:val="21"/>
        </w:rPr>
        <w:t>，并负责无条件更换所有已施工的不合格材料。</w:t>
      </w:r>
    </w:p>
    <w:p>
      <w:pPr>
        <w:ind w:firstLine="420"/>
        <w:jc w:val="both"/>
      </w:pPr>
      <w:r>
        <w:rPr>
          <w:sz w:val="21"/>
        </w:rPr>
        <w:t>5、甲方保留对本工程使用之主要材料品质确认审查的权利及保留另行委托专业队伍对本工程进行独立检测的权利。</w:t>
      </w:r>
    </w:p>
    <w:p>
      <w:pPr>
        <w:ind w:firstLine="420"/>
        <w:jc w:val="both"/>
      </w:pPr>
      <w:r>
        <w:rPr>
          <w:sz w:val="21"/>
        </w:rPr>
        <w:t>6、甲方有权在产品档次相同的前提下更换品牌，乙方不得借此提出增加工程造价。</w:t>
      </w:r>
    </w:p>
    <w:p>
      <w:pPr>
        <w:ind w:firstLine="420"/>
        <w:jc w:val="both"/>
      </w:pPr>
      <w:r>
        <w:rPr>
          <w:sz w:val="21"/>
        </w:rPr>
        <w:t>7、主要设备材料品牌选用表</w:t>
      </w:r>
    </w:p>
    <w:p>
      <w:pPr>
        <w:ind w:firstLine="420"/>
        <w:jc w:val="both"/>
      </w:pPr>
      <w:r>
        <w:rPr>
          <w:sz w:val="21"/>
        </w:rPr>
        <w:t>7.1在施工中所选用的设备材料需按乙方在响应文件中选用的品牌进行采购。在实际施工中，如乙方有充足的证据证明该产品无法满足本工程的质量要求或供货需要，应呈专题报告说明更换品牌的原因，获得甲方、工程量清单、监理批准后，方可选用其他推荐品牌。</w:t>
      </w:r>
    </w:p>
    <w:p>
      <w:pPr>
        <w:ind w:firstLine="420"/>
        <w:jc w:val="both"/>
      </w:pPr>
      <w:r>
        <w:rPr>
          <w:sz w:val="21"/>
        </w:rPr>
        <w:t>7.2如使用响应文件选用品牌以外的产品，经上报更换品牌的原因获得甲方批准后，须再报甲方及监理重新定价，否则不予结算支付。更改品牌的原则为：性能应优于或等于原响应品牌，同时，价格低于或等于原成交品牌。（若乙方所选用主要设备和材料优于在《表7.3设备材料品牌选用参考表》推荐的主要设备、材料以外，成交后必须提供所选用主要设备和材料同等或优于《表7.3设备材料品牌选用参考表》的有效证明文件，如乙方所使用的标准低于上述标准，甲方将有权不予接受）。</w:t>
      </w:r>
    </w:p>
    <w:p>
      <w:pPr>
        <w:jc w:val="both"/>
      </w:pPr>
      <w:r>
        <w:rPr>
          <w:b/>
          <w:sz w:val="21"/>
        </w:rPr>
        <w:t>第八条</w:t>
      </w:r>
      <w:r>
        <w:rPr>
          <w:b/>
          <w:sz w:val="21"/>
        </w:rPr>
        <w:t>施工原则</w:t>
      </w:r>
    </w:p>
    <w:p>
      <w:pPr>
        <w:ind w:firstLine="420"/>
        <w:jc w:val="both"/>
      </w:pPr>
      <w:r>
        <w:rPr>
          <w:sz w:val="21"/>
        </w:rPr>
        <w:t>1</w:t>
      </w:r>
      <w:r>
        <w:rPr>
          <w:sz w:val="21"/>
        </w:rPr>
        <w:t>、工程项目施工需遵循国家及相关部门和学校建设施工的现行标准、规范和条例。</w:t>
      </w:r>
    </w:p>
    <w:p>
      <w:pPr>
        <w:ind w:firstLine="420"/>
        <w:jc w:val="both"/>
      </w:pPr>
      <w:r>
        <w:rPr>
          <w:sz w:val="21"/>
        </w:rPr>
        <w:t>2</w:t>
      </w:r>
      <w:r>
        <w:rPr>
          <w:sz w:val="21"/>
        </w:rPr>
        <w:t>、学校内的人流、物流要体现以人为本的管理意识。</w:t>
      </w:r>
    </w:p>
    <w:p>
      <w:pPr>
        <w:ind w:firstLine="420"/>
        <w:jc w:val="both"/>
      </w:pPr>
      <w:r>
        <w:rPr>
          <w:sz w:val="21"/>
        </w:rPr>
        <w:t>3</w:t>
      </w:r>
      <w:r>
        <w:rPr>
          <w:sz w:val="21"/>
        </w:rPr>
        <w:t>、要体现高效、节能意识。</w:t>
      </w:r>
    </w:p>
    <w:p>
      <w:pPr>
        <w:jc w:val="both"/>
      </w:pPr>
      <w:r>
        <w:rPr>
          <w:b/>
          <w:sz w:val="21"/>
        </w:rPr>
        <w:t>第九条</w:t>
      </w:r>
      <w:r>
        <w:rPr>
          <w:b/>
          <w:sz w:val="21"/>
        </w:rPr>
        <w:t>施工实施要求</w:t>
      </w:r>
    </w:p>
    <w:p>
      <w:pPr>
        <w:ind w:firstLine="420"/>
        <w:jc w:val="both"/>
      </w:pPr>
      <w:r>
        <w:rPr>
          <w:sz w:val="21"/>
        </w:rPr>
        <w:t>1</w:t>
      </w:r>
      <w:r>
        <w:rPr>
          <w:sz w:val="21"/>
        </w:rPr>
        <w:t>、现场勘察及施工组织工程量清单会审：乙方在收到成交通知书后，应主动联系甲方，组织现场二次勘察，参加甲方组织的工程会议，并提出工程施工工程量清单及施工重点难点，并与有关各方研讨后，细化实施方案。</w:t>
      </w:r>
    </w:p>
    <w:p>
      <w:pPr>
        <w:ind w:firstLine="420"/>
        <w:jc w:val="both"/>
      </w:pPr>
      <w:r>
        <w:rPr>
          <w:sz w:val="21"/>
        </w:rPr>
        <w:t>2</w:t>
      </w:r>
      <w:r>
        <w:rPr>
          <w:sz w:val="21"/>
        </w:rPr>
        <w:t>、施工要求工程项目施工工艺及流程需符合国家相关施工规范的要求。</w:t>
      </w:r>
    </w:p>
    <w:p>
      <w:pPr>
        <w:ind w:firstLine="420"/>
        <w:jc w:val="both"/>
      </w:pPr>
      <w:r>
        <w:rPr>
          <w:sz w:val="21"/>
        </w:rPr>
        <w:t>3</w:t>
      </w:r>
      <w:r>
        <w:rPr>
          <w:sz w:val="21"/>
        </w:rPr>
        <w:t>、施工人员管理</w:t>
      </w:r>
    </w:p>
    <w:p>
      <w:pPr>
        <w:ind w:firstLine="420"/>
        <w:jc w:val="both"/>
      </w:pPr>
      <w:r>
        <w:rPr>
          <w:sz w:val="21"/>
        </w:rPr>
        <w:t>3.1</w:t>
      </w:r>
      <w:r>
        <w:rPr>
          <w:sz w:val="21"/>
        </w:rPr>
        <w:t>乙方需提交进场人员名单及身份证复印件给甲方备案，且需在甲方所属有关部门办理出入证。</w:t>
      </w:r>
    </w:p>
    <w:p>
      <w:pPr>
        <w:ind w:firstLine="420"/>
        <w:jc w:val="both"/>
      </w:pPr>
      <w:r>
        <w:rPr>
          <w:sz w:val="21"/>
        </w:rPr>
        <w:t>3.2</w:t>
      </w:r>
      <w:r>
        <w:rPr>
          <w:sz w:val="21"/>
        </w:rPr>
        <w:t>乙方需确保施工人员严格遵守甲方一切规章制度，自觉接受检查，无证人员一律不得进入施工现场</w:t>
      </w:r>
      <w:r>
        <w:rPr>
          <w:sz w:val="21"/>
        </w:rPr>
        <w:t>,</w:t>
      </w:r>
      <w:r>
        <w:rPr>
          <w:sz w:val="21"/>
        </w:rPr>
        <w:t>施工人员未经批准不得进入其他区域，不得对院区的其他人员和单位进行滋扰。</w:t>
      </w:r>
    </w:p>
    <w:p>
      <w:pPr>
        <w:ind w:firstLine="420"/>
        <w:jc w:val="both"/>
      </w:pPr>
      <w:r>
        <w:rPr>
          <w:sz w:val="21"/>
        </w:rPr>
        <w:t>3.3</w:t>
      </w:r>
      <w:r>
        <w:rPr>
          <w:sz w:val="21"/>
        </w:rPr>
        <w:t>乙方成交后进场施工时应自行解决施工人员的宿舍、食堂与生活设施等场地问题，不得在甲方的场地区域内住宿和煮食。</w:t>
      </w:r>
    </w:p>
    <w:p>
      <w:pPr>
        <w:ind w:firstLine="420"/>
        <w:jc w:val="both"/>
      </w:pPr>
      <w:r>
        <w:rPr>
          <w:sz w:val="21"/>
        </w:rPr>
        <w:t>4</w:t>
      </w:r>
      <w:r>
        <w:rPr>
          <w:sz w:val="21"/>
        </w:rPr>
        <w:t>、施工及工地管理</w:t>
      </w:r>
    </w:p>
    <w:p>
      <w:pPr>
        <w:ind w:firstLine="420"/>
        <w:jc w:val="both"/>
      </w:pPr>
      <w:r>
        <w:rPr>
          <w:sz w:val="21"/>
        </w:rPr>
        <w:t>4.1</w:t>
      </w:r>
      <w:r>
        <w:rPr>
          <w:sz w:val="21"/>
        </w:rPr>
        <w:t>乙方成交后在施工时需严格按国家现行的建设工程相关标准及技术规范施工。</w:t>
      </w:r>
    </w:p>
    <w:p>
      <w:pPr>
        <w:ind w:firstLine="420"/>
        <w:jc w:val="both"/>
      </w:pPr>
      <w:r>
        <w:rPr>
          <w:sz w:val="21"/>
        </w:rPr>
        <w:t>4.2</w:t>
      </w:r>
      <w:r>
        <w:rPr>
          <w:sz w:val="21"/>
        </w:rPr>
        <w:t>严格按照已经确认的施工方案组织施工，并接受甲方对工程质量、工期、安全、文明施工、环保及工地纪律的监督和管理。</w:t>
      </w:r>
    </w:p>
    <w:p>
      <w:pPr>
        <w:ind w:firstLine="420"/>
        <w:jc w:val="both"/>
      </w:pPr>
      <w:r>
        <w:rPr>
          <w:sz w:val="21"/>
        </w:rPr>
        <w:t>4.3</w:t>
      </w:r>
      <w:r>
        <w:rPr>
          <w:sz w:val="21"/>
        </w:rPr>
        <w:t>乙方在响应文件中应进一步完善技术方案，根据工程内容、现场情况及相应的工程施工规范编制工程技术方案，方案应包括每个项目内容的施工前准备、具体的操作工艺、成品保护、相关注意事项、工序衔接、交叉施工的相关措施等内容。</w:t>
      </w:r>
    </w:p>
    <w:p>
      <w:pPr>
        <w:ind w:firstLine="420"/>
        <w:jc w:val="both"/>
      </w:pPr>
      <w:r>
        <w:rPr>
          <w:sz w:val="21"/>
        </w:rPr>
        <w:t>4.4</w:t>
      </w:r>
      <w:r>
        <w:rPr>
          <w:sz w:val="21"/>
        </w:rPr>
        <w:t>甲方不提供临设及材料加工场地</w:t>
      </w:r>
      <w:r>
        <w:rPr>
          <w:sz w:val="21"/>
        </w:rPr>
        <w:t>,</w:t>
      </w:r>
      <w:r>
        <w:rPr>
          <w:sz w:val="21"/>
        </w:rPr>
        <w:t>临时设施及材料加工由乙方在实施现场以外自行解决</w:t>
      </w:r>
      <w:r>
        <w:rPr>
          <w:sz w:val="21"/>
        </w:rPr>
        <w:t>,</w:t>
      </w:r>
      <w:r>
        <w:rPr>
          <w:sz w:val="21"/>
        </w:rPr>
        <w:t>其费用由乙方自理。</w:t>
      </w:r>
    </w:p>
    <w:p>
      <w:pPr>
        <w:ind w:firstLine="420"/>
        <w:jc w:val="both"/>
      </w:pPr>
      <w:r>
        <w:rPr>
          <w:sz w:val="21"/>
        </w:rPr>
        <w:t>4.5</w:t>
      </w:r>
      <w:r>
        <w:rPr>
          <w:sz w:val="21"/>
        </w:rPr>
        <w:t>乙方成交后应确保项目现场的清洁卫生，建筑垃圾需当日清理干净，不得留在现场过夜。</w:t>
      </w:r>
    </w:p>
    <w:p>
      <w:pPr>
        <w:ind w:firstLine="420"/>
        <w:jc w:val="both"/>
      </w:pPr>
      <w:r>
        <w:rPr>
          <w:sz w:val="21"/>
        </w:rPr>
        <w:t>4.6</w:t>
      </w:r>
      <w:r>
        <w:rPr>
          <w:sz w:val="21"/>
        </w:rPr>
        <w:t>乙方成交后须严格遵守甲方现场和人员管理的规定</w:t>
      </w:r>
      <w:r>
        <w:rPr>
          <w:sz w:val="21"/>
        </w:rPr>
        <w:t>,</w:t>
      </w:r>
      <w:r>
        <w:rPr>
          <w:sz w:val="21"/>
        </w:rPr>
        <w:t>安全生产</w:t>
      </w:r>
      <w:r>
        <w:rPr>
          <w:sz w:val="21"/>
        </w:rPr>
        <w:t>,</w:t>
      </w:r>
      <w:r>
        <w:rPr>
          <w:sz w:val="21"/>
        </w:rPr>
        <w:t>文明施工。如因措施不当造成人身安全或工伤伤亡事故及甲方财产损坏、丢失等一切责任由乙方负责。工程施工要求以安全第一、安全设施自备自负，应达到劳动保障部门的安全标准要求。</w:t>
      </w:r>
    </w:p>
    <w:p>
      <w:pPr>
        <w:ind w:firstLine="420"/>
        <w:jc w:val="both"/>
      </w:pPr>
      <w:r>
        <w:rPr>
          <w:sz w:val="21"/>
        </w:rPr>
        <w:t>4.7</w:t>
      </w:r>
      <w:r>
        <w:rPr>
          <w:sz w:val="21"/>
        </w:rPr>
        <w:t>施工用水、用电由甲方指定驳接点，由乙方自行敷设。</w:t>
      </w:r>
    </w:p>
    <w:p>
      <w:pPr>
        <w:ind w:firstLine="420"/>
        <w:jc w:val="both"/>
      </w:pPr>
      <w:r>
        <w:rPr>
          <w:sz w:val="21"/>
        </w:rPr>
        <w:t>4.8</w:t>
      </w:r>
      <w:r>
        <w:rPr>
          <w:sz w:val="21"/>
        </w:rPr>
        <w:t>施工所用的机械工具由乙方自备及自费运到施工工地，进场后进行必要的性能安全检查，完工后从工地自费搬出运走，施工所用的材料及机械工具由甲方提供适当的场所存放并由乙方负责自行保管，不得随便存放，以免造成不必要的丢失、损坏。</w:t>
      </w:r>
    </w:p>
    <w:p>
      <w:pPr>
        <w:ind w:firstLine="420"/>
        <w:jc w:val="both"/>
      </w:pPr>
      <w:r>
        <w:rPr>
          <w:sz w:val="21"/>
        </w:rPr>
        <w:t>4.9</w:t>
      </w:r>
      <w:r>
        <w:rPr>
          <w:sz w:val="21"/>
        </w:rPr>
        <w:t>乙方成交后在施工过程中要有防止噪音、粉尘及环境污染措施，不得影响大楼内及邻近的住户和人员生活；不得对环境造成影响、产生污染。</w:t>
      </w:r>
    </w:p>
    <w:p>
      <w:pPr>
        <w:ind w:firstLine="420"/>
        <w:jc w:val="both"/>
      </w:pPr>
      <w:r>
        <w:rPr>
          <w:sz w:val="21"/>
        </w:rPr>
        <w:t>4.10</w:t>
      </w:r>
      <w:r>
        <w:rPr>
          <w:sz w:val="21"/>
        </w:rPr>
        <w:t>在施工现场不得使用大型机械；不得与工地现场其他项目的施工单位及施工人员发生冲突或打架等恶性事件，要服从工程监理和甲方现场负责人的管理。</w:t>
      </w:r>
    </w:p>
    <w:p>
      <w:pPr>
        <w:ind w:firstLine="420"/>
        <w:jc w:val="both"/>
      </w:pPr>
      <w:r>
        <w:rPr>
          <w:sz w:val="21"/>
        </w:rPr>
        <w:t>4.11</w:t>
      </w:r>
      <w:r>
        <w:rPr>
          <w:sz w:val="21"/>
        </w:rPr>
        <w:t>乙方成交后在施工过程中如有人对施工有投诉，其工地负责人应马上处理，和平解决问题。</w:t>
      </w:r>
    </w:p>
    <w:p>
      <w:pPr>
        <w:ind w:firstLine="420"/>
        <w:jc w:val="both"/>
      </w:pPr>
      <w:r>
        <w:rPr>
          <w:sz w:val="21"/>
        </w:rPr>
        <w:t>4.12</w:t>
      </w:r>
      <w:r>
        <w:rPr>
          <w:sz w:val="21"/>
        </w:rPr>
        <w:t>乙方成交后在施工过程中，如遇到需与外部相关的单位协调的问题时，应自行解决，甲方只负责协助。</w:t>
      </w:r>
    </w:p>
    <w:p>
      <w:pPr>
        <w:ind w:firstLine="420"/>
        <w:jc w:val="both"/>
      </w:pPr>
      <w:r>
        <w:rPr>
          <w:sz w:val="21"/>
        </w:rPr>
        <w:t>4.13</w:t>
      </w:r>
      <w:r>
        <w:rPr>
          <w:sz w:val="21"/>
        </w:rPr>
        <w:t>乙方成交后在施工期间应严格遵守《中华人民共和国安全生产法》、《建设工程安全生产管理条例》以及文明施工、深夜施工、环保和城管，建立规章制度和防护措施。若违反以上规定，由此造成的经济和法律责任，均由乙方负责。</w:t>
      </w:r>
    </w:p>
    <w:p>
      <w:pPr>
        <w:ind w:firstLine="420"/>
        <w:jc w:val="both"/>
      </w:pPr>
      <w:r>
        <w:rPr>
          <w:sz w:val="21"/>
        </w:rPr>
        <w:t>4.14</w:t>
      </w:r>
      <w:r>
        <w:rPr>
          <w:sz w:val="21"/>
        </w:rPr>
        <w:t>由乙方协助甲方办理如需要的施工许可证、余泥排放许可证等各种政府施工许可，并协助办理政府报备、报监等手续。上述所发生的费用，除政府有关规定须由甲方缴付的部分以外，其余部分已包含在合同价款中，由乙方承担。</w:t>
      </w:r>
    </w:p>
    <w:p>
      <w:pPr>
        <w:ind w:firstLine="420"/>
        <w:jc w:val="both"/>
      </w:pPr>
      <w:r>
        <w:rPr>
          <w:sz w:val="21"/>
        </w:rPr>
        <w:t>4.15</w:t>
      </w:r>
      <w:r>
        <w:rPr>
          <w:sz w:val="21"/>
        </w:rPr>
        <w:t>本项目施工过程中乙方需做好原有设备、地下管线的保护措施，如在施工过程中造成损坏，乙方需无偿进行修复或赔偿。</w:t>
      </w:r>
    </w:p>
    <w:p>
      <w:pPr>
        <w:ind w:firstLine="420"/>
        <w:jc w:val="both"/>
      </w:pPr>
      <w:r>
        <w:rPr>
          <w:sz w:val="21"/>
        </w:rPr>
        <w:t>5</w:t>
      </w:r>
      <w:r>
        <w:rPr>
          <w:sz w:val="21"/>
        </w:rPr>
        <w:t>、安全要求</w:t>
      </w:r>
    </w:p>
    <w:p>
      <w:pPr>
        <w:ind w:firstLine="420"/>
        <w:jc w:val="both"/>
      </w:pPr>
      <w:r>
        <w:rPr>
          <w:sz w:val="21"/>
        </w:rPr>
        <w:t>本项目在实施期间要保证施工用电、消防安全，遵守文明施工管理规定。</w:t>
      </w:r>
    </w:p>
    <w:p>
      <w:pPr>
        <w:ind w:firstLine="420"/>
        <w:jc w:val="both"/>
      </w:pPr>
      <w:r>
        <w:rPr>
          <w:sz w:val="21"/>
        </w:rPr>
        <w:t>5.1</w:t>
      </w:r>
      <w:r>
        <w:rPr>
          <w:sz w:val="21"/>
        </w:rPr>
        <w:t>环境保护</w:t>
      </w:r>
    </w:p>
    <w:p>
      <w:pPr>
        <w:ind w:firstLine="420"/>
        <w:jc w:val="both"/>
      </w:pPr>
      <w:r>
        <w:rPr>
          <w:sz w:val="21"/>
        </w:rPr>
        <w:t>为加强施工现场的环境卫生管理，维护施工现场整洁卫生，根据甲方有关卫生管理的要求，规定如下：</w:t>
      </w:r>
    </w:p>
    <w:p>
      <w:pPr>
        <w:ind w:firstLine="420"/>
        <w:jc w:val="both"/>
      </w:pPr>
      <w:r>
        <w:rPr>
          <w:sz w:val="21"/>
        </w:rPr>
        <w:t>5.1.1</w:t>
      </w:r>
      <w:r>
        <w:rPr>
          <w:sz w:val="21"/>
        </w:rPr>
        <w:t>施工现场做到“工完料尽，场地清”。</w:t>
      </w:r>
    </w:p>
    <w:p>
      <w:pPr>
        <w:ind w:firstLine="420"/>
        <w:jc w:val="both"/>
      </w:pPr>
      <w:r>
        <w:rPr>
          <w:sz w:val="21"/>
        </w:rPr>
        <w:t>5.1.2</w:t>
      </w:r>
      <w:r>
        <w:rPr>
          <w:sz w:val="21"/>
        </w:rPr>
        <w:t>施工作业区应设分类垃圾回收箱或桶，防止零散垃圾废物随手丢弃。</w:t>
      </w:r>
    </w:p>
    <w:p>
      <w:pPr>
        <w:ind w:firstLine="420"/>
        <w:jc w:val="both"/>
      </w:pPr>
      <w:r>
        <w:rPr>
          <w:sz w:val="21"/>
        </w:rPr>
        <w:t>5.1.3</w:t>
      </w:r>
      <w:r>
        <w:rPr>
          <w:sz w:val="21"/>
        </w:rPr>
        <w:t>建立施工环境卫生检查制度，对检查出的问题，应及时落实整改。</w:t>
      </w:r>
    </w:p>
    <w:p>
      <w:pPr>
        <w:ind w:firstLine="420"/>
        <w:jc w:val="both"/>
      </w:pPr>
      <w:r>
        <w:rPr>
          <w:sz w:val="21"/>
        </w:rPr>
        <w:t>5.1.4</w:t>
      </w:r>
      <w:r>
        <w:rPr>
          <w:sz w:val="21"/>
        </w:rPr>
        <w:t>乙方需对工地实行全封闭管理，并采取有效措施严禁大厦其他人员进入工地，确保他们的安全。</w:t>
      </w:r>
    </w:p>
    <w:p>
      <w:pPr>
        <w:ind w:firstLine="420"/>
        <w:jc w:val="both"/>
      </w:pPr>
      <w:r>
        <w:rPr>
          <w:sz w:val="21"/>
        </w:rPr>
        <w:t>5.2</w:t>
      </w:r>
      <w:r>
        <w:rPr>
          <w:sz w:val="21"/>
        </w:rPr>
        <w:t>消防及用电安全</w:t>
      </w:r>
    </w:p>
    <w:p>
      <w:pPr>
        <w:ind w:firstLine="420"/>
        <w:jc w:val="both"/>
      </w:pPr>
      <w:r>
        <w:rPr>
          <w:sz w:val="21"/>
        </w:rPr>
        <w:t>施工过程中可能会有装饰脱落、高空坠物，电缆接头漏电或绝缘层老化等导致的伤人、触电或短路引起火灾等事故发生，因此现场要注意以下事项和应急处置措施</w:t>
      </w:r>
    </w:p>
    <w:p>
      <w:pPr>
        <w:ind w:firstLine="420"/>
        <w:jc w:val="both"/>
      </w:pPr>
      <w:r>
        <w:rPr>
          <w:sz w:val="21"/>
        </w:rPr>
        <w:t>5.2.1</w:t>
      </w:r>
      <w:r>
        <w:rPr>
          <w:sz w:val="21"/>
        </w:rPr>
        <w:t>注意事项：</w:t>
      </w:r>
    </w:p>
    <w:p>
      <w:pPr>
        <w:ind w:firstLine="420"/>
        <w:jc w:val="both"/>
      </w:pPr>
      <w:r>
        <w:rPr>
          <w:sz w:val="21"/>
        </w:rPr>
        <w:t>5.2.1.1</w:t>
      </w:r>
      <w:r>
        <w:rPr>
          <w:sz w:val="21"/>
        </w:rPr>
        <w:t xml:space="preserve">施工现场牢固树立安全第一、质量第一的思想，杜绝一切事故发生，实现零投诉、零事故目标。  </w:t>
      </w:r>
    </w:p>
    <w:p>
      <w:pPr>
        <w:ind w:firstLine="420"/>
        <w:jc w:val="both"/>
      </w:pPr>
      <w:r>
        <w:rPr>
          <w:sz w:val="21"/>
        </w:rPr>
        <w:t>5.2.1.2</w:t>
      </w:r>
      <w:r>
        <w:rPr>
          <w:sz w:val="21"/>
        </w:rPr>
        <w:t>施工现场必须材料、物品摆放整齐，垃圾废物随时清理，着装整齐、行为礼貌，做到安全、文明施工。</w:t>
      </w:r>
    </w:p>
    <w:p>
      <w:pPr>
        <w:ind w:firstLine="420"/>
        <w:jc w:val="both"/>
      </w:pPr>
      <w:r>
        <w:rPr>
          <w:sz w:val="21"/>
        </w:rPr>
        <w:t>5.2.1.3</w:t>
      </w:r>
      <w:r>
        <w:rPr>
          <w:sz w:val="21"/>
        </w:rPr>
        <w:t>施工现场要摆放安全标示、警告牌，采取防护隔离措施。现场施工管理负责人要做好监督管理工作，各项工作开始前负责人要警示、警告现场施工人员注意事项，确保人身财产安全。</w:t>
      </w:r>
    </w:p>
    <w:p>
      <w:pPr>
        <w:ind w:firstLine="420"/>
        <w:jc w:val="both"/>
      </w:pPr>
      <w:r>
        <w:rPr>
          <w:sz w:val="21"/>
        </w:rPr>
        <w:t>5.2.2</w:t>
      </w:r>
      <w:r>
        <w:rPr>
          <w:sz w:val="21"/>
        </w:rPr>
        <w:t>处置措施：</w:t>
      </w:r>
    </w:p>
    <w:p>
      <w:pPr>
        <w:ind w:firstLine="420"/>
        <w:jc w:val="both"/>
      </w:pPr>
      <w:r>
        <w:rPr>
          <w:sz w:val="21"/>
        </w:rPr>
        <w:t>5.2.2.1</w:t>
      </w:r>
      <w:r>
        <w:rPr>
          <w:sz w:val="21"/>
        </w:rPr>
        <w:t>当发生安全事故时，现场负责人在第一时间向监理和建设单位负责人报告。</w:t>
      </w:r>
    </w:p>
    <w:p>
      <w:pPr>
        <w:ind w:firstLine="420"/>
        <w:jc w:val="both"/>
      </w:pPr>
      <w:r>
        <w:rPr>
          <w:sz w:val="21"/>
        </w:rPr>
        <w:t>5.2.2.2</w:t>
      </w:r>
      <w:r>
        <w:rPr>
          <w:sz w:val="21"/>
        </w:rPr>
        <w:t>发生伤人情况时，要及时将受伤人员送医救治，向监理和建设单位负责人报告并拨打医疗急救电话，第一时间封锁现场，做好现场保护工作，等待建设单位负责人来进行统一协调工作。</w:t>
      </w:r>
    </w:p>
    <w:p>
      <w:pPr>
        <w:ind w:firstLine="420"/>
        <w:jc w:val="both"/>
      </w:pPr>
      <w:r>
        <w:rPr>
          <w:sz w:val="21"/>
        </w:rPr>
        <w:t>5.2.2.3</w:t>
      </w:r>
      <w:r>
        <w:rPr>
          <w:sz w:val="21"/>
        </w:rPr>
        <w:t>发生火灾情况时，要及时进行扑救，向监理和建设单位负责人报告并及时拨打消防报警电话，及时疏散现场人员和转移财产。对有触电或灼伤等伤亡人员时，要及时送医或拨打医疗急救电话，配合消防和医疗人员进行救灾，以及事后调查。</w:t>
      </w:r>
    </w:p>
    <w:p>
      <w:pPr>
        <w:ind w:firstLine="420"/>
        <w:jc w:val="both"/>
      </w:pPr>
      <w:r>
        <w:rPr>
          <w:sz w:val="21"/>
        </w:rPr>
        <w:t>5.3</w:t>
      </w:r>
      <w:r>
        <w:rPr>
          <w:sz w:val="21"/>
        </w:rPr>
        <w:t>文明施工管理：</w:t>
      </w:r>
    </w:p>
    <w:p>
      <w:pPr>
        <w:ind w:firstLine="420"/>
        <w:jc w:val="both"/>
      </w:pPr>
      <w:r>
        <w:rPr>
          <w:sz w:val="21"/>
        </w:rPr>
        <w:t>5.3.1</w:t>
      </w:r>
      <w:r>
        <w:rPr>
          <w:sz w:val="21"/>
        </w:rPr>
        <w:t>强化安全文明意识，加强安全生产，开展标准化文明施工。</w:t>
      </w:r>
    </w:p>
    <w:p>
      <w:pPr>
        <w:ind w:firstLine="420"/>
        <w:jc w:val="both"/>
      </w:pPr>
      <w:r>
        <w:rPr>
          <w:sz w:val="21"/>
        </w:rPr>
        <w:t>5.3.2</w:t>
      </w:r>
      <w:r>
        <w:rPr>
          <w:sz w:val="21"/>
        </w:rPr>
        <w:t>施工人员在离开现场时要切断电动工具的电源；</w:t>
      </w:r>
    </w:p>
    <w:p>
      <w:pPr>
        <w:ind w:firstLine="420"/>
        <w:jc w:val="both"/>
      </w:pPr>
      <w:r>
        <w:rPr>
          <w:sz w:val="21"/>
        </w:rPr>
        <w:t>5.3.3</w:t>
      </w:r>
      <w:r>
        <w:rPr>
          <w:sz w:val="21"/>
        </w:rPr>
        <w:t>施工人员在施工现场需严格遵守制度规定，不得损害任何安全设备设施，凡挪动与消防和其它设施有关的设备需先向建设单位提出书面申请报告，在得到批准后方可进行。</w:t>
      </w:r>
    </w:p>
    <w:p>
      <w:pPr>
        <w:ind w:firstLine="420"/>
        <w:jc w:val="both"/>
      </w:pPr>
      <w:r>
        <w:rPr>
          <w:sz w:val="21"/>
        </w:rPr>
        <w:t>5.3.4</w:t>
      </w:r>
      <w:r>
        <w:rPr>
          <w:sz w:val="21"/>
        </w:rPr>
        <w:t>施工用梯需架设牢固，操作人员在梯、架上不要多人上下，较高位置操作时要使用安全带。</w:t>
      </w:r>
    </w:p>
    <w:p>
      <w:pPr>
        <w:ind w:firstLine="420"/>
        <w:jc w:val="both"/>
      </w:pPr>
      <w:r>
        <w:rPr>
          <w:sz w:val="21"/>
        </w:rPr>
        <w:t>5.3.5</w:t>
      </w:r>
      <w:r>
        <w:rPr>
          <w:sz w:val="21"/>
        </w:rPr>
        <w:t>装卸、搬运大件线缆等材料时，要轻拿轻放，防止挤手压脚及其它事故发生。</w:t>
      </w:r>
    </w:p>
    <w:p>
      <w:pPr>
        <w:ind w:firstLine="420"/>
        <w:jc w:val="both"/>
      </w:pPr>
      <w:r>
        <w:rPr>
          <w:sz w:val="21"/>
        </w:rPr>
        <w:t>5.3.6</w:t>
      </w:r>
      <w:r>
        <w:rPr>
          <w:sz w:val="21"/>
        </w:rPr>
        <w:t>使用电钻、工作灯等电器时，要按规范进行接电和操作，经试运转正常后再开始操作。</w:t>
      </w:r>
    </w:p>
    <w:p>
      <w:pPr>
        <w:ind w:firstLine="420"/>
        <w:jc w:val="both"/>
      </w:pPr>
      <w:r>
        <w:rPr>
          <w:sz w:val="21"/>
        </w:rPr>
        <w:t>5.3.7</w:t>
      </w:r>
      <w:r>
        <w:rPr>
          <w:sz w:val="21"/>
        </w:rPr>
        <w:t>施工中要注意用电、防火安全。</w:t>
      </w:r>
    </w:p>
    <w:p>
      <w:pPr>
        <w:ind w:firstLine="420"/>
        <w:jc w:val="both"/>
      </w:pPr>
      <w:r>
        <w:rPr>
          <w:sz w:val="21"/>
        </w:rPr>
        <w:t>5.3.8</w:t>
      </w:r>
      <w:r>
        <w:rPr>
          <w:sz w:val="21"/>
        </w:rPr>
        <w:t>施工人员着装得体，不准穿拖鞋、短裤及背心入场。</w:t>
      </w:r>
    </w:p>
    <w:p>
      <w:pPr>
        <w:ind w:firstLine="420"/>
        <w:jc w:val="both"/>
      </w:pPr>
      <w:r>
        <w:rPr>
          <w:sz w:val="21"/>
        </w:rPr>
        <w:t>5.3.9</w:t>
      </w:r>
      <w:r>
        <w:rPr>
          <w:sz w:val="21"/>
        </w:rPr>
        <w:t>严格控制火源使用，施工场地禁止吸烟。</w:t>
      </w:r>
    </w:p>
    <w:p>
      <w:pPr>
        <w:ind w:firstLine="420"/>
        <w:jc w:val="both"/>
      </w:pPr>
      <w:r>
        <w:rPr>
          <w:sz w:val="21"/>
        </w:rPr>
        <w:t>5.3.10</w:t>
      </w:r>
      <w:r>
        <w:rPr>
          <w:sz w:val="21"/>
        </w:rPr>
        <w:t>保持清洁现场，工具、材料分类堆放整齐。</w:t>
      </w:r>
    </w:p>
    <w:p>
      <w:pPr>
        <w:ind w:firstLine="420"/>
        <w:jc w:val="both"/>
      </w:pPr>
      <w:r>
        <w:rPr>
          <w:sz w:val="21"/>
        </w:rPr>
        <w:t>5.3.11</w:t>
      </w:r>
      <w:r>
        <w:rPr>
          <w:sz w:val="21"/>
        </w:rPr>
        <w:t>各种设备的包装纸板等及时清理干净运出场外。</w:t>
      </w:r>
    </w:p>
    <w:p>
      <w:pPr>
        <w:ind w:firstLine="420"/>
        <w:jc w:val="both"/>
      </w:pPr>
      <w:r>
        <w:rPr>
          <w:sz w:val="21"/>
        </w:rPr>
        <w:t>5.3.12</w:t>
      </w:r>
      <w:r>
        <w:rPr>
          <w:sz w:val="21"/>
        </w:rPr>
        <w:t>随时清理工地现场的废料，禁止乱扔乱放。</w:t>
      </w:r>
    </w:p>
    <w:p>
      <w:pPr>
        <w:ind w:firstLine="420"/>
        <w:jc w:val="both"/>
      </w:pPr>
      <w:r>
        <w:rPr>
          <w:sz w:val="21"/>
        </w:rPr>
        <w:t>6</w:t>
      </w:r>
      <w:r>
        <w:rPr>
          <w:sz w:val="21"/>
        </w:rPr>
        <w:t>、电气、管线安装要求严格按行业安装规范施工。</w:t>
      </w:r>
    </w:p>
    <w:p>
      <w:pPr>
        <w:jc w:val="both"/>
      </w:pPr>
      <w:r>
        <w:rPr>
          <w:b/>
          <w:sz w:val="21"/>
        </w:rPr>
        <w:t>第十条</w:t>
      </w:r>
      <w:r>
        <w:rPr>
          <w:b/>
          <w:sz w:val="21"/>
        </w:rPr>
        <w:t>质量保修期</w:t>
      </w:r>
      <w:r>
        <w:rPr>
          <w:b/>
          <w:sz w:val="21"/>
        </w:rPr>
        <w:t>及验收方式</w:t>
      </w:r>
    </w:p>
    <w:p>
      <w:pPr>
        <w:ind w:firstLine="420"/>
        <w:jc w:val="both"/>
      </w:pPr>
      <w:r>
        <w:rPr>
          <w:sz w:val="21"/>
        </w:rPr>
        <w:t>1</w:t>
      </w:r>
      <w:r>
        <w:rPr>
          <w:sz w:val="21"/>
        </w:rPr>
        <w:t>、工程质量标准</w:t>
      </w:r>
    </w:p>
    <w:p>
      <w:pPr>
        <w:ind w:firstLine="420"/>
        <w:jc w:val="both"/>
      </w:pPr>
      <w:r>
        <w:rPr>
          <w:sz w:val="21"/>
        </w:rPr>
        <w:t>1.1</w:t>
      </w:r>
      <w:r>
        <w:rPr>
          <w:sz w:val="21"/>
        </w:rPr>
        <w:t>工程质量标准：严格按甲方提供的资料进行施工，按照工程量清单文件和有关技术标准、规范和合同规定施工，必须符合国家和行业现行质量验收标准（</w:t>
      </w:r>
      <w:r>
        <w:rPr>
          <w:sz w:val="21"/>
        </w:rPr>
        <w:t>GB50300-2013</w:t>
      </w:r>
      <w:r>
        <w:rPr>
          <w:sz w:val="21"/>
        </w:rPr>
        <w:t>建筑工程施工质量验收统一标准）和《工程施工质量验收规范》，达到合格工程质量标准。</w:t>
      </w:r>
    </w:p>
    <w:p>
      <w:pPr>
        <w:ind w:firstLine="420"/>
        <w:jc w:val="both"/>
      </w:pPr>
      <w:r>
        <w:rPr>
          <w:sz w:val="21"/>
        </w:rPr>
        <w:t>1.2</w:t>
      </w:r>
      <w:r>
        <w:rPr>
          <w:sz w:val="21"/>
        </w:rPr>
        <w:t>本工程以施工工程量清单和施工说明、工程量清单变更、国家制订的施工和验收标准及有关规范为质量评定验收标准。</w:t>
      </w:r>
    </w:p>
    <w:p>
      <w:pPr>
        <w:ind w:firstLine="420"/>
        <w:jc w:val="both"/>
      </w:pPr>
      <w:r>
        <w:rPr>
          <w:sz w:val="21"/>
        </w:rPr>
        <w:t>1.3</w:t>
      </w:r>
      <w:r>
        <w:rPr>
          <w:sz w:val="21"/>
        </w:rPr>
        <w:t>工程技术要求：按相关国家、省、市和行业的法律法规、技术规范进行施工和验收。</w:t>
      </w:r>
    </w:p>
    <w:p>
      <w:pPr>
        <w:ind w:firstLine="420"/>
        <w:jc w:val="both"/>
      </w:pPr>
      <w:r>
        <w:rPr>
          <w:sz w:val="21"/>
        </w:rPr>
        <w:t>1.4</w:t>
      </w:r>
      <w:r>
        <w:rPr>
          <w:sz w:val="21"/>
        </w:rPr>
        <w:t>工程质量要求：确保达到合格工程。承包人在施工中如果存在工程质量不符合国家相关规范和磋商文件的有关规定的情况，建设单位要求停工或返工时，承包人须无条件立即执行，并承担由此产生的各种费用，工期不予顺延。</w:t>
      </w:r>
    </w:p>
    <w:p>
      <w:pPr>
        <w:ind w:firstLine="420"/>
        <w:jc w:val="both"/>
      </w:pPr>
      <w:r>
        <w:rPr>
          <w:sz w:val="21"/>
        </w:rPr>
        <w:t>1.5</w:t>
      </w:r>
      <w:r>
        <w:rPr>
          <w:sz w:val="21"/>
        </w:rPr>
        <w:t>乙方成交后在施工前要向建设单位申报施工方案，经审批后严格执行，每道工序需符合相应的规范要求并申报，经甲方驻现场人员签字确认后才进入下道工序。</w:t>
      </w:r>
    </w:p>
    <w:p>
      <w:pPr>
        <w:ind w:firstLine="420"/>
        <w:jc w:val="both"/>
      </w:pPr>
      <w:r>
        <w:rPr>
          <w:sz w:val="21"/>
        </w:rPr>
        <w:t>2</w:t>
      </w:r>
      <w:r>
        <w:rPr>
          <w:sz w:val="21"/>
        </w:rPr>
        <w:t>、质量验收方式</w:t>
      </w:r>
    </w:p>
    <w:p>
      <w:pPr>
        <w:ind w:firstLine="420"/>
        <w:jc w:val="both"/>
      </w:pPr>
      <w:r>
        <w:rPr>
          <w:sz w:val="21"/>
        </w:rPr>
        <w:t>2.1</w:t>
      </w:r>
      <w:r>
        <w:rPr>
          <w:sz w:val="21"/>
        </w:rPr>
        <w:t>工程项目的隐蔽工程和竣工验收由乙方、甲方、工程监理方共同进行；</w:t>
      </w:r>
    </w:p>
    <w:p>
      <w:pPr>
        <w:ind w:firstLine="420"/>
        <w:jc w:val="both"/>
      </w:pPr>
      <w:r>
        <w:rPr>
          <w:sz w:val="21"/>
        </w:rPr>
        <w:t>2.2</w:t>
      </w:r>
      <w:r>
        <w:rPr>
          <w:sz w:val="21"/>
        </w:rPr>
        <w:t>工程竣工后乙方负责编制施工（竣工）工程量清单及相关资料文件</w:t>
      </w:r>
      <w:r>
        <w:rPr>
          <w:sz w:val="21"/>
        </w:rPr>
        <w:t>(</w:t>
      </w:r>
      <w:r>
        <w:rPr>
          <w:sz w:val="21"/>
        </w:rPr>
        <w:t>此项费用不再向甲方收取，固定总价已包含在内</w:t>
      </w:r>
      <w:r>
        <w:rPr>
          <w:sz w:val="21"/>
        </w:rPr>
        <w:t>)</w:t>
      </w:r>
      <w:r>
        <w:rPr>
          <w:sz w:val="21"/>
        </w:rPr>
        <w:t>，甲方负责审核；</w:t>
      </w:r>
    </w:p>
    <w:p>
      <w:pPr>
        <w:ind w:firstLine="420"/>
        <w:jc w:val="both"/>
      </w:pPr>
      <w:r>
        <w:rPr>
          <w:sz w:val="21"/>
        </w:rPr>
        <w:t>2.3</w:t>
      </w:r>
      <w:r>
        <w:rPr>
          <w:sz w:val="21"/>
        </w:rPr>
        <w:t>验收合格后两方</w:t>
      </w:r>
      <w:r>
        <w:rPr>
          <w:sz w:val="21"/>
        </w:rPr>
        <w:t>（施工方、采购方）</w:t>
      </w:r>
      <w:r>
        <w:rPr>
          <w:sz w:val="21"/>
        </w:rPr>
        <w:t>签署验收合格证书，工程才能交付给甲方使用后，方可办理工程竣工结算及工程款清算工作。</w:t>
      </w:r>
    </w:p>
    <w:p>
      <w:pPr>
        <w:ind w:firstLine="420"/>
        <w:jc w:val="both"/>
      </w:pPr>
      <w:r>
        <w:rPr>
          <w:sz w:val="21"/>
        </w:rPr>
        <w:t>3</w:t>
      </w:r>
      <w:r>
        <w:rPr>
          <w:sz w:val="21"/>
        </w:rPr>
        <w:t>、质量保修期限</w:t>
      </w:r>
    </w:p>
    <w:p>
      <w:pPr>
        <w:ind w:firstLine="420"/>
        <w:jc w:val="both"/>
      </w:pPr>
      <w:r>
        <w:rPr>
          <w:sz w:val="21"/>
        </w:rPr>
        <w:t>3.1</w:t>
      </w:r>
      <w:r>
        <w:rPr>
          <w:sz w:val="21"/>
        </w:rPr>
        <w:t>工程质量保修期，按《建设工程质量管理条例》规定，质量保修期为两年</w:t>
      </w:r>
      <w:r>
        <w:rPr>
          <w:sz w:val="21"/>
        </w:rPr>
        <w:t>(其中卫生间防水质量保修期5年)</w:t>
      </w:r>
      <w:r>
        <w:rPr>
          <w:sz w:val="21"/>
        </w:rPr>
        <w:t>。</w:t>
      </w:r>
    </w:p>
    <w:p>
      <w:pPr>
        <w:ind w:firstLine="420"/>
        <w:jc w:val="both"/>
      </w:pPr>
      <w:r>
        <w:rPr>
          <w:sz w:val="21"/>
        </w:rPr>
        <w:t>3.2</w:t>
      </w:r>
      <w:r>
        <w:rPr>
          <w:sz w:val="21"/>
        </w:rPr>
        <w:t>工程质量保修期从工程竣工验收双方签字确认之日起计算</w:t>
      </w:r>
      <w:r>
        <w:rPr>
          <w:sz w:val="21"/>
        </w:rPr>
        <w:t>,</w:t>
      </w:r>
      <w:r>
        <w:rPr>
          <w:sz w:val="21"/>
        </w:rPr>
        <w:t>单项竣工验收的工程，按单项工程分别计算质量保修期。</w:t>
      </w:r>
    </w:p>
    <w:p>
      <w:pPr>
        <w:ind w:firstLine="420"/>
        <w:jc w:val="both"/>
      </w:pPr>
      <w:r>
        <w:rPr>
          <w:sz w:val="21"/>
        </w:rPr>
        <w:t>4</w:t>
      </w:r>
      <w:r>
        <w:rPr>
          <w:sz w:val="21"/>
        </w:rPr>
        <w:t>、质量保修责任</w:t>
      </w:r>
    </w:p>
    <w:p>
      <w:pPr>
        <w:ind w:firstLine="420"/>
        <w:jc w:val="both"/>
      </w:pPr>
      <w:r>
        <w:rPr>
          <w:sz w:val="21"/>
        </w:rPr>
        <w:t>4.1</w:t>
      </w:r>
      <w:r>
        <w:rPr>
          <w:sz w:val="21"/>
        </w:rPr>
        <w:t>属于保修范围的项目，乙方应在接到甲方通知后</w:t>
      </w:r>
      <w:r>
        <w:rPr>
          <w:sz w:val="21"/>
        </w:rPr>
        <w:t>4</w:t>
      </w:r>
      <w:r>
        <w:rPr>
          <w:sz w:val="21"/>
        </w:rPr>
        <w:t>小时内响应，</w:t>
      </w:r>
      <w:r>
        <w:rPr>
          <w:sz w:val="21"/>
        </w:rPr>
        <w:t>24</w:t>
      </w:r>
      <w:r>
        <w:rPr>
          <w:sz w:val="21"/>
        </w:rPr>
        <w:t>小时内派出技术人员前勘察给出解决方案，一周内完成修复。</w:t>
      </w:r>
    </w:p>
    <w:p>
      <w:pPr>
        <w:ind w:firstLine="420"/>
        <w:jc w:val="both"/>
      </w:pPr>
      <w:r>
        <w:rPr>
          <w:sz w:val="21"/>
        </w:rPr>
        <w:t>4.2</w:t>
      </w:r>
      <w:r>
        <w:rPr>
          <w:sz w:val="21"/>
        </w:rPr>
        <w:t>发生紧急抢修事故的，乙方在接到通知后，应立即赶赴现场进行抢修。</w:t>
      </w:r>
    </w:p>
    <w:p>
      <w:pPr>
        <w:ind w:firstLine="420"/>
        <w:jc w:val="both"/>
      </w:pPr>
      <w:r>
        <w:rPr>
          <w:sz w:val="21"/>
        </w:rPr>
        <w:t>4.3</w:t>
      </w:r>
      <w:r>
        <w:rPr>
          <w:sz w:val="21"/>
        </w:rPr>
        <w:t>在保修期内出现的质量问题，乙方在接到甲方的通知后，一周内完成返修，费用由乙方负责。如乙方接到通知一周后不进行返修</w:t>
      </w:r>
      <w:r>
        <w:rPr>
          <w:sz w:val="21"/>
        </w:rPr>
        <w:t>,</w:t>
      </w:r>
      <w:r>
        <w:rPr>
          <w:sz w:val="21"/>
        </w:rPr>
        <w:t>甲方自行维修</w:t>
      </w:r>
      <w:r>
        <w:rPr>
          <w:sz w:val="21"/>
        </w:rPr>
        <w:t>,</w:t>
      </w:r>
      <w:r>
        <w:rPr>
          <w:sz w:val="21"/>
        </w:rPr>
        <w:t>费用从质量保证金中扣除。</w:t>
      </w:r>
    </w:p>
    <w:p>
      <w:pPr>
        <w:ind w:firstLine="420"/>
        <w:jc w:val="both"/>
      </w:pPr>
      <w:r>
        <w:rPr>
          <w:sz w:val="21"/>
        </w:rPr>
        <w:t>4.4</w:t>
      </w:r>
      <w:r>
        <w:rPr>
          <w:sz w:val="21"/>
        </w:rPr>
        <w:t>乙方于项目竣工应指定质保负责人，其通信工具应保持畅通。</w:t>
      </w:r>
    </w:p>
    <w:p>
      <w:pPr>
        <w:ind w:firstLine="420"/>
        <w:jc w:val="both"/>
      </w:pPr>
      <w:r>
        <w:rPr>
          <w:sz w:val="21"/>
        </w:rPr>
        <w:t>4.5</w:t>
      </w:r>
      <w:r>
        <w:rPr>
          <w:sz w:val="21"/>
        </w:rPr>
        <w:t>建设项目在质保期内出现质量问题乙方需无条件进行修复，不准以任何理由拒绝。</w:t>
      </w:r>
    </w:p>
    <w:p>
      <w:pPr>
        <w:ind w:firstLine="420"/>
        <w:jc w:val="both"/>
      </w:pPr>
      <w:r>
        <w:rPr>
          <w:sz w:val="21"/>
        </w:rPr>
        <w:t>4.6</w:t>
      </w:r>
      <w:r>
        <w:rPr>
          <w:sz w:val="21"/>
        </w:rPr>
        <w:t>乙方需协助甲方了解隐蔽工程的情况，必要时要协助甲方解决施工项目中的疑难问题。</w:t>
      </w:r>
    </w:p>
    <w:p>
      <w:pPr>
        <w:jc w:val="both"/>
      </w:pPr>
      <w:r>
        <w:rPr>
          <w:b/>
          <w:sz w:val="21"/>
        </w:rPr>
        <w:t>第十一条</w:t>
      </w:r>
      <w:r>
        <w:rPr>
          <w:b/>
          <w:sz w:val="21"/>
        </w:rPr>
        <w:t>资料与归档</w:t>
      </w:r>
    </w:p>
    <w:p>
      <w:pPr>
        <w:ind w:firstLine="420"/>
        <w:jc w:val="both"/>
      </w:pPr>
      <w:r>
        <w:rPr>
          <w:sz w:val="21"/>
        </w:rPr>
        <w:t>1</w:t>
      </w:r>
      <w:r>
        <w:rPr>
          <w:sz w:val="21"/>
        </w:rPr>
        <w:t>、</w:t>
      </w:r>
      <w:r>
        <w:rPr>
          <w:sz w:val="21"/>
        </w:rPr>
        <w:t>乙方</w:t>
      </w:r>
      <w:r>
        <w:rPr>
          <w:sz w:val="21"/>
        </w:rPr>
        <w:t>需对施工项目所需的资料和文件进行收集和整理。并加以分析调研选用。</w:t>
      </w:r>
    </w:p>
    <w:p>
      <w:pPr>
        <w:ind w:firstLine="420"/>
        <w:jc w:val="both"/>
      </w:pPr>
      <w:r>
        <w:rPr>
          <w:sz w:val="21"/>
        </w:rPr>
        <w:t>2</w:t>
      </w:r>
      <w:r>
        <w:rPr>
          <w:sz w:val="21"/>
        </w:rPr>
        <w:t>、本项目工程竣工验收后</w:t>
      </w:r>
      <w:r>
        <w:rPr>
          <w:sz w:val="21"/>
        </w:rPr>
        <w:t>30</w:t>
      </w:r>
      <w:r>
        <w:rPr>
          <w:sz w:val="21"/>
        </w:rPr>
        <w:t>个工作日内向甲方提供完整的竣工验收资料、竣工工程量清单及竣工图电子文件光盘，竣工验收资料须按工程档案管理的有关要求编制成册。在完成上述工作后</w:t>
      </w:r>
      <w:r>
        <w:rPr>
          <w:sz w:val="21"/>
        </w:rPr>
        <w:t>20</w:t>
      </w:r>
      <w:r>
        <w:rPr>
          <w:sz w:val="21"/>
        </w:rPr>
        <w:t>天内提供工程竣工结算书及相关资料统一送甲方审核，确认后办理结算手续。</w:t>
      </w:r>
    </w:p>
    <w:p>
      <w:pPr>
        <w:ind w:firstLine="420"/>
        <w:jc w:val="both"/>
      </w:pPr>
      <w:r>
        <w:rPr>
          <w:sz w:val="21"/>
        </w:rPr>
        <w:t>3</w:t>
      </w:r>
      <w:r>
        <w:rPr>
          <w:sz w:val="21"/>
        </w:rPr>
        <w:t>、乙方向甲方提交竣工验收报告时，应当向甲方出具质量保修书；质量保修书应明确甲方工程的保修范围、保修期限和保修责任等。</w:t>
      </w:r>
    </w:p>
    <w:p>
      <w:pPr>
        <w:jc w:val="both"/>
      </w:pPr>
      <w:r>
        <w:rPr>
          <w:b/>
          <w:sz w:val="21"/>
        </w:rPr>
        <w:t>第十二条</w:t>
      </w:r>
      <w:r>
        <w:rPr>
          <w:b/>
          <w:sz w:val="21"/>
        </w:rPr>
        <w:t>项目工期及延期条件及要求</w:t>
      </w:r>
    </w:p>
    <w:p>
      <w:pPr>
        <w:ind w:firstLine="420"/>
        <w:jc w:val="both"/>
      </w:pPr>
      <w:r>
        <w:rPr>
          <w:sz w:val="21"/>
        </w:rPr>
        <w:t>1</w:t>
      </w:r>
      <w:r>
        <w:rPr>
          <w:sz w:val="21"/>
        </w:rPr>
        <w:t>、项目工期为</w:t>
      </w:r>
      <w:r>
        <w:rPr>
          <w:sz w:val="21"/>
          <w:u w:val="single"/>
        </w:rPr>
        <w:t>6</w:t>
      </w:r>
      <w:r>
        <w:rPr>
          <w:sz w:val="21"/>
          <w:u w:val="single"/>
        </w:rPr>
        <w:t>0</w:t>
      </w:r>
      <w:r>
        <w:rPr>
          <w:sz w:val="21"/>
        </w:rPr>
        <w:t>个日历日，工期由甲方（或监理单位）发出的开工令之日起计算，至验收合格之日止。</w:t>
      </w:r>
    </w:p>
    <w:p>
      <w:pPr>
        <w:ind w:firstLine="420"/>
        <w:jc w:val="both"/>
      </w:pPr>
      <w:r>
        <w:rPr>
          <w:sz w:val="21"/>
        </w:rPr>
        <w:t>2</w:t>
      </w:r>
      <w:r>
        <w:rPr>
          <w:sz w:val="21"/>
        </w:rPr>
        <w:t>、甲方末能在规定时间内办理的相关手续，经得甲方同意后，工期可相应延后。</w:t>
      </w:r>
    </w:p>
    <w:p>
      <w:pPr>
        <w:ind w:firstLine="420"/>
        <w:jc w:val="both"/>
      </w:pPr>
      <w:r>
        <w:rPr>
          <w:sz w:val="21"/>
        </w:rPr>
        <w:t>3</w:t>
      </w:r>
      <w:r>
        <w:rPr>
          <w:sz w:val="21"/>
        </w:rPr>
        <w:t>、项目实施过程中</w:t>
      </w:r>
      <w:r>
        <w:rPr>
          <w:sz w:val="21"/>
        </w:rPr>
        <w:t>,</w:t>
      </w:r>
      <w:r>
        <w:rPr>
          <w:sz w:val="21"/>
        </w:rPr>
        <w:t>出现下列情形，经甲方确认，工期可以顺延：</w:t>
      </w:r>
    </w:p>
    <w:p>
      <w:pPr>
        <w:ind w:firstLine="420"/>
        <w:jc w:val="both"/>
      </w:pPr>
      <w:r>
        <w:rPr>
          <w:sz w:val="21"/>
        </w:rPr>
        <w:t>3.1</w:t>
      </w:r>
      <w:r>
        <w:rPr>
          <w:sz w:val="21"/>
        </w:rPr>
        <w:t>不可抗因素</w:t>
      </w:r>
    </w:p>
    <w:p>
      <w:pPr>
        <w:ind w:firstLine="420"/>
        <w:jc w:val="both"/>
      </w:pPr>
      <w:r>
        <w:rPr>
          <w:sz w:val="21"/>
        </w:rPr>
        <w:t>3.2</w:t>
      </w:r>
      <w:r>
        <w:rPr>
          <w:sz w:val="21"/>
        </w:rPr>
        <w:t>由于工程变更，致使工程量重大增加者</w:t>
      </w:r>
      <w:r>
        <w:rPr>
          <w:sz w:val="21"/>
        </w:rPr>
        <w:t>(</w:t>
      </w:r>
      <w:r>
        <w:rPr>
          <w:sz w:val="21"/>
        </w:rPr>
        <w:t>超过总量的</w:t>
      </w:r>
      <w:r>
        <w:rPr>
          <w:sz w:val="21"/>
        </w:rPr>
        <w:t>10%)</w:t>
      </w:r>
      <w:r>
        <w:rPr>
          <w:sz w:val="21"/>
        </w:rPr>
        <w:t>；</w:t>
      </w:r>
    </w:p>
    <w:p>
      <w:pPr>
        <w:ind w:firstLine="420"/>
        <w:jc w:val="both"/>
      </w:pPr>
      <w:r>
        <w:rPr>
          <w:sz w:val="21"/>
        </w:rPr>
        <w:t>3.3</w:t>
      </w:r>
      <w:r>
        <w:rPr>
          <w:sz w:val="21"/>
        </w:rPr>
        <w:t>工程款不能按时或逾期支付者。</w:t>
      </w:r>
    </w:p>
    <w:p>
      <w:pPr>
        <w:ind w:firstLine="420"/>
        <w:jc w:val="both"/>
      </w:pPr>
      <w:r>
        <w:rPr>
          <w:sz w:val="21"/>
        </w:rPr>
        <w:t>4</w:t>
      </w:r>
      <w:r>
        <w:rPr>
          <w:sz w:val="21"/>
        </w:rPr>
        <w:t>、乙方</w:t>
      </w:r>
      <w:r>
        <w:rPr>
          <w:sz w:val="21"/>
        </w:rPr>
        <w:t>可</w:t>
      </w:r>
      <w:r>
        <w:rPr>
          <w:sz w:val="21"/>
        </w:rPr>
        <w:t>根据各企业实际情况提出缩短工期的响应文件。响应因赶工而需要增加的费用应体现在响应价中。</w:t>
      </w:r>
    </w:p>
    <w:p>
      <w:pPr>
        <w:jc w:val="both"/>
      </w:pPr>
      <w:r>
        <w:rPr>
          <w:b/>
          <w:sz w:val="21"/>
        </w:rPr>
        <w:t>第十三条</w:t>
      </w:r>
      <w:r>
        <w:rPr>
          <w:b/>
          <w:sz w:val="21"/>
        </w:rPr>
        <w:t>合同调整方式</w:t>
      </w:r>
    </w:p>
    <w:p>
      <w:pPr>
        <w:ind w:firstLine="420"/>
        <w:jc w:val="both"/>
      </w:pPr>
      <w:r>
        <w:rPr>
          <w:sz w:val="21"/>
        </w:rPr>
        <w:t>1</w:t>
      </w:r>
      <w:r>
        <w:rPr>
          <w:sz w:val="21"/>
        </w:rPr>
        <w:t>、合同调整方式：合同总价与工程最终结算金额可按以下约定执行：</w:t>
      </w:r>
    </w:p>
    <w:p>
      <w:pPr>
        <w:ind w:firstLine="420"/>
        <w:jc w:val="both"/>
      </w:pPr>
      <w:r>
        <w:rPr>
          <w:sz w:val="21"/>
        </w:rPr>
        <w:t>1</w:t>
      </w:r>
      <w:r>
        <w:rPr>
          <w:sz w:val="21"/>
        </w:rPr>
        <w:t>.1</w:t>
      </w:r>
      <w:r>
        <w:rPr>
          <w:sz w:val="21"/>
        </w:rPr>
        <w:t>成交价除甲方要求的工程量清单变更和</w:t>
      </w:r>
      <w:r>
        <w:rPr>
          <w:sz w:val="21"/>
        </w:rPr>
        <w:t>响应</w:t>
      </w:r>
      <w:r>
        <w:rPr>
          <w:sz w:val="21"/>
        </w:rPr>
        <w:t>文件、</w:t>
      </w:r>
      <w:r>
        <w:rPr>
          <w:sz w:val="21"/>
        </w:rPr>
        <w:t>响应</w:t>
      </w:r>
      <w:r>
        <w:rPr>
          <w:sz w:val="21"/>
        </w:rPr>
        <w:t>答疑允许的调整范围外，其余不得以市场价格变化、人员工资福利调整以及其他政策性文件的下达等原因而调整。</w:t>
      </w:r>
    </w:p>
    <w:p>
      <w:pPr>
        <w:ind w:firstLine="420"/>
        <w:jc w:val="both"/>
      </w:pPr>
      <w:r>
        <w:rPr>
          <w:sz w:val="21"/>
        </w:rPr>
        <w:t>1</w:t>
      </w:r>
      <w:r>
        <w:rPr>
          <w:sz w:val="21"/>
        </w:rPr>
        <w:t>.2</w:t>
      </w:r>
      <w:r>
        <w:rPr>
          <w:sz w:val="21"/>
        </w:rPr>
        <w:t>由于乙方原因，导致对工程项目的修改、变更，由乙方负全责和相关费用；由于非乙方原因，由甲方造成的工程项目修改、变更，按以下方式结算：</w:t>
      </w:r>
    </w:p>
    <w:p>
      <w:pPr>
        <w:ind w:firstLine="420"/>
        <w:jc w:val="both"/>
      </w:pPr>
      <w:r>
        <w:rPr>
          <w:sz w:val="21"/>
        </w:rPr>
        <w:t>1</w:t>
      </w:r>
      <w:r>
        <w:rPr>
          <w:sz w:val="21"/>
        </w:rPr>
        <w:t>.2.1</w:t>
      </w:r>
      <w:r>
        <w:rPr>
          <w:sz w:val="21"/>
        </w:rPr>
        <w:t>合同中已有使用于变更工程的单价，按合同已有的单价变更合同价款。</w:t>
      </w:r>
    </w:p>
    <w:p>
      <w:pPr>
        <w:ind w:firstLine="420"/>
        <w:jc w:val="both"/>
      </w:pPr>
      <w:r>
        <w:rPr>
          <w:sz w:val="21"/>
        </w:rPr>
        <w:t>1</w:t>
      </w:r>
      <w:r>
        <w:rPr>
          <w:sz w:val="21"/>
        </w:rPr>
        <w:t>.2.2</w:t>
      </w:r>
      <w:r>
        <w:rPr>
          <w:sz w:val="21"/>
        </w:rPr>
        <w:t>合同中已有类似于变更工程的单价，可参照类似单价变更合同价款。</w:t>
      </w:r>
    </w:p>
    <w:p>
      <w:pPr>
        <w:ind w:firstLine="420"/>
        <w:jc w:val="both"/>
      </w:pPr>
      <w:r>
        <w:rPr>
          <w:sz w:val="21"/>
        </w:rPr>
        <w:t>1</w:t>
      </w:r>
      <w:r>
        <w:rPr>
          <w:sz w:val="21"/>
        </w:rPr>
        <w:t>.2.3</w:t>
      </w:r>
      <w:r>
        <w:rPr>
          <w:sz w:val="21"/>
        </w:rPr>
        <w:t>合同中没有使用或类似变更工程的单价，按照广东省建设工程计价依据、工程所在地造价管理机构有关规定和发布的价格信息，依据工程变更签证，由乙方提出适当的变更价格，按本</w:t>
      </w:r>
      <w:r>
        <w:rPr>
          <w:sz w:val="21"/>
        </w:rPr>
        <w:t>磋商文件中的报价要求</w:t>
      </w:r>
      <w:r>
        <w:rPr>
          <w:sz w:val="21"/>
        </w:rPr>
        <w:t>规定编制预算经甲方审计部门审核后结算。</w:t>
      </w:r>
    </w:p>
    <w:p>
      <w:pPr>
        <w:ind w:firstLine="420"/>
        <w:jc w:val="both"/>
      </w:pPr>
      <w:r>
        <w:rPr>
          <w:sz w:val="21"/>
        </w:rPr>
        <w:t>1</w:t>
      </w:r>
      <w:r>
        <w:rPr>
          <w:sz w:val="21"/>
        </w:rPr>
        <w:t>.3</w:t>
      </w:r>
      <w:r>
        <w:rPr>
          <w:sz w:val="21"/>
        </w:rPr>
        <w:t>所有允许调整造价的工程内容，必须得到现场监理工程师</w:t>
      </w:r>
      <w:r>
        <w:rPr>
          <w:sz w:val="21"/>
        </w:rPr>
        <w:t>/</w:t>
      </w:r>
      <w:r>
        <w:rPr>
          <w:sz w:val="21"/>
        </w:rPr>
        <w:t>甲方的书面确认或签证，由乙方按磋商文件要求编制合同外追加价款，作为合同价外工程款支付的依据。</w:t>
      </w:r>
    </w:p>
    <w:p>
      <w:pPr>
        <w:jc w:val="both"/>
      </w:pPr>
      <w:r>
        <w:rPr>
          <w:b/>
          <w:sz w:val="21"/>
        </w:rPr>
        <w:t>第十四条</w:t>
      </w:r>
      <w:r>
        <w:rPr>
          <w:b/>
          <w:sz w:val="21"/>
        </w:rPr>
        <w:t>付款方式</w:t>
      </w:r>
    </w:p>
    <w:p>
      <w:pPr>
        <w:ind w:firstLine="420"/>
        <w:jc w:val="both"/>
      </w:pPr>
      <w:r>
        <w:rPr>
          <w:sz w:val="21"/>
        </w:rPr>
        <w:t>1</w:t>
      </w:r>
      <w:r>
        <w:rPr>
          <w:sz w:val="21"/>
        </w:rPr>
        <w:t>、</w:t>
      </w:r>
      <w:r>
        <w:rPr>
          <w:sz w:val="21"/>
        </w:rPr>
        <w:t>第一期：合同签订后，甲方收到乙方提供的等额发票凭证资料后</w:t>
      </w:r>
      <w:r>
        <w:rPr>
          <w:sz w:val="21"/>
        </w:rPr>
        <w:t>15</w:t>
      </w:r>
      <w:r>
        <w:rPr>
          <w:sz w:val="21"/>
        </w:rPr>
        <w:t>个工作日内办理合同总价</w:t>
      </w:r>
      <w:r>
        <w:rPr>
          <w:sz w:val="21"/>
        </w:rPr>
        <w:t>30%</w:t>
      </w:r>
      <w:r>
        <w:rPr>
          <w:sz w:val="21"/>
        </w:rPr>
        <w:t>的支付手续。</w:t>
      </w:r>
    </w:p>
    <w:p>
      <w:pPr>
        <w:ind w:firstLine="420"/>
        <w:jc w:val="both"/>
      </w:pPr>
      <w:r>
        <w:rPr>
          <w:sz w:val="21"/>
        </w:rPr>
        <w:t>2</w:t>
      </w:r>
      <w:r>
        <w:rPr>
          <w:sz w:val="21"/>
        </w:rPr>
        <w:t>、第二期：当工程形象进度达到</w:t>
      </w:r>
      <w:r>
        <w:rPr>
          <w:sz w:val="21"/>
        </w:rPr>
        <w:t>80 %</w:t>
      </w:r>
      <w:r>
        <w:rPr>
          <w:sz w:val="21"/>
        </w:rPr>
        <w:t>时，经监理确认，甲方在收到发票凭证资料后</w:t>
      </w:r>
      <w:r>
        <w:rPr>
          <w:sz w:val="21"/>
        </w:rPr>
        <w:t>15</w:t>
      </w:r>
      <w:r>
        <w:rPr>
          <w:sz w:val="21"/>
        </w:rPr>
        <w:t>个工作日内办理合同总价</w:t>
      </w:r>
      <w:r>
        <w:rPr>
          <w:sz w:val="21"/>
        </w:rPr>
        <w:t>30%</w:t>
      </w:r>
      <w:r>
        <w:rPr>
          <w:sz w:val="21"/>
        </w:rPr>
        <w:t>的支付手续。</w:t>
      </w:r>
    </w:p>
    <w:p>
      <w:pPr>
        <w:ind w:firstLine="420"/>
        <w:jc w:val="both"/>
      </w:pPr>
      <w:r>
        <w:rPr>
          <w:sz w:val="21"/>
        </w:rPr>
        <w:t>3</w:t>
      </w:r>
      <w:r>
        <w:rPr>
          <w:sz w:val="21"/>
        </w:rPr>
        <w:t>、第三期：当工程进度达到</w:t>
      </w:r>
      <w:r>
        <w:rPr>
          <w:sz w:val="21"/>
        </w:rPr>
        <w:t>100 %</w:t>
      </w:r>
      <w:r>
        <w:rPr>
          <w:sz w:val="21"/>
        </w:rPr>
        <w:t>时，项目通过验收后，甲方在收到发票凭证资料后</w:t>
      </w:r>
      <w:r>
        <w:rPr>
          <w:sz w:val="21"/>
        </w:rPr>
        <w:t>15</w:t>
      </w:r>
      <w:r>
        <w:rPr>
          <w:sz w:val="21"/>
        </w:rPr>
        <w:t>个工作日内办理合同总价</w:t>
      </w:r>
      <w:r>
        <w:rPr>
          <w:sz w:val="21"/>
        </w:rPr>
        <w:t>25%</w:t>
      </w:r>
      <w:r>
        <w:rPr>
          <w:sz w:val="21"/>
        </w:rPr>
        <w:t>的支付手续。</w:t>
      </w:r>
    </w:p>
    <w:p>
      <w:pPr>
        <w:ind w:firstLine="420"/>
        <w:jc w:val="both"/>
      </w:pPr>
      <w:r>
        <w:rPr>
          <w:sz w:val="21"/>
        </w:rPr>
        <w:t>4</w:t>
      </w:r>
      <w:r>
        <w:rPr>
          <w:sz w:val="21"/>
        </w:rPr>
        <w:t>、</w:t>
      </w:r>
      <w:r>
        <w:rPr>
          <w:sz w:val="21"/>
        </w:rPr>
        <w:t>第四期：项目报财政部门进行结算审核，审核完成后，甲方在收到发票凭证资料后</w:t>
      </w:r>
      <w:r>
        <w:rPr>
          <w:sz w:val="21"/>
        </w:rPr>
        <w:t>15</w:t>
      </w:r>
      <w:r>
        <w:rPr>
          <w:sz w:val="21"/>
        </w:rPr>
        <w:t>个工作日内按结算审核结果办理剩余结算款的支付手续，累计支付至结算价的</w:t>
      </w:r>
      <w:r>
        <w:rPr>
          <w:sz w:val="21"/>
        </w:rPr>
        <w:t>97%</w:t>
      </w:r>
      <w:r>
        <w:rPr>
          <w:sz w:val="21"/>
        </w:rPr>
        <w:t>。甲方扣留结算价的</w:t>
      </w:r>
      <w:r>
        <w:rPr>
          <w:sz w:val="21"/>
        </w:rPr>
        <w:t>3%</w:t>
      </w:r>
      <w:r>
        <w:rPr>
          <w:sz w:val="21"/>
        </w:rPr>
        <w:t>作为质量保证金，待满</w:t>
      </w:r>
      <w:r>
        <w:rPr>
          <w:sz w:val="21"/>
        </w:rPr>
        <w:t>1</w:t>
      </w:r>
      <w:r>
        <w:rPr>
          <w:sz w:val="21"/>
        </w:rPr>
        <w:t>年保修期后再办理相关的支付手续。</w:t>
      </w:r>
    </w:p>
    <w:p>
      <w:pPr>
        <w:ind w:firstLine="420"/>
        <w:jc w:val="both"/>
      </w:pPr>
      <w:r>
        <w:rPr>
          <w:sz w:val="21"/>
        </w:rPr>
        <w:t>4</w:t>
      </w:r>
      <w:r>
        <w:rPr>
          <w:sz w:val="21"/>
        </w:rPr>
        <w:t>、</w:t>
      </w:r>
      <w:r>
        <w:rPr>
          <w:sz w:val="21"/>
        </w:rPr>
        <w:t>乙方</w:t>
      </w:r>
      <w:r>
        <w:rPr>
          <w:sz w:val="21"/>
        </w:rPr>
        <w:t>凭以下有效的文件向甲方申请支付合同价款：</w:t>
      </w:r>
    </w:p>
    <w:p>
      <w:pPr>
        <w:ind w:firstLine="420"/>
        <w:jc w:val="both"/>
      </w:pPr>
      <w:r>
        <w:rPr>
          <w:sz w:val="21"/>
        </w:rPr>
        <w:t>4</w:t>
      </w:r>
      <w:r>
        <w:rPr>
          <w:sz w:val="21"/>
        </w:rPr>
        <w:t>.1</w:t>
      </w:r>
      <w:r>
        <w:rPr>
          <w:sz w:val="21"/>
        </w:rPr>
        <w:t>合同复印件；</w:t>
      </w:r>
    </w:p>
    <w:p>
      <w:pPr>
        <w:ind w:firstLine="420"/>
        <w:jc w:val="both"/>
      </w:pPr>
      <w:r>
        <w:rPr>
          <w:sz w:val="21"/>
        </w:rPr>
        <w:t>4</w:t>
      </w:r>
      <w:r>
        <w:rPr>
          <w:sz w:val="21"/>
        </w:rPr>
        <w:t>.2</w:t>
      </w:r>
      <w:r>
        <w:rPr>
          <w:sz w:val="21"/>
        </w:rPr>
        <w:t>乙方</w:t>
      </w:r>
      <w:r>
        <w:rPr>
          <w:sz w:val="21"/>
        </w:rPr>
        <w:t>开具的正式等额发票；</w:t>
      </w:r>
    </w:p>
    <w:p>
      <w:pPr>
        <w:ind w:firstLine="420"/>
        <w:jc w:val="both"/>
      </w:pPr>
      <w:r>
        <w:rPr>
          <w:sz w:val="21"/>
        </w:rPr>
        <w:t>4</w:t>
      </w:r>
      <w:r>
        <w:rPr>
          <w:sz w:val="21"/>
        </w:rPr>
        <w:t>.3</w:t>
      </w:r>
      <w:r>
        <w:rPr>
          <w:sz w:val="21"/>
        </w:rPr>
        <w:t>进场通知单或工程进度报告或验收报告及第三方工程竣工结算审核报告（加盖甲方公章）；</w:t>
      </w:r>
    </w:p>
    <w:p>
      <w:pPr>
        <w:ind w:firstLine="420"/>
        <w:jc w:val="both"/>
      </w:pPr>
      <w:r>
        <w:rPr>
          <w:sz w:val="21"/>
        </w:rPr>
        <w:t>4</w:t>
      </w:r>
      <w:r>
        <w:rPr>
          <w:sz w:val="21"/>
        </w:rPr>
        <w:t>.4</w:t>
      </w:r>
      <w:r>
        <w:rPr>
          <w:sz w:val="21"/>
        </w:rPr>
        <w:t>成交通知书。</w:t>
      </w:r>
    </w:p>
    <w:p>
      <w:pPr>
        <w:jc w:val="both"/>
      </w:pPr>
      <w:r>
        <w:rPr>
          <w:b/>
          <w:sz w:val="21"/>
        </w:rPr>
        <w:t>第十五条</w:t>
      </w:r>
      <w:r>
        <w:rPr>
          <w:b/>
          <w:sz w:val="21"/>
        </w:rPr>
        <w:t>违约责任</w:t>
      </w:r>
    </w:p>
    <w:p>
      <w:pPr>
        <w:ind w:firstLine="420"/>
        <w:jc w:val="both"/>
      </w:pPr>
      <w:r>
        <w:rPr>
          <w:sz w:val="21"/>
        </w:rPr>
        <w:t>1、任何一方终止合同，按工程造价的10%向对方偿付违约金。但如果一方严重违反合同，并在收到对方违约通知书后在30天内仍未能改正违约的，另一方可立即终止本合同。</w:t>
      </w:r>
    </w:p>
    <w:p>
      <w:pPr>
        <w:ind w:firstLine="420"/>
        <w:jc w:val="both"/>
      </w:pPr>
      <w:r>
        <w:rPr>
          <w:sz w:val="21"/>
        </w:rPr>
        <w:t>2、甲方出现以下情形的，其损失由甲方承担，工期顺延。（1）不按期支付工程款；（2）因工程量清单变更，使已完成的工程拆改；（3）逾期验收；（4）其他甲方原因造成的。</w:t>
      </w:r>
    </w:p>
    <w:p>
      <w:pPr>
        <w:ind w:firstLine="420"/>
        <w:jc w:val="both"/>
      </w:pPr>
      <w:r>
        <w:rPr>
          <w:sz w:val="21"/>
        </w:rPr>
        <w:t>3、乙方责任造成的停工、返工，材料、器材损失均由乙方承担。因乙方原因逾期竣工的，从逾期次日起，每逾期一天，乙方需按合同金额的_2%_向甲方偿付违约金。</w:t>
      </w:r>
    </w:p>
    <w:p>
      <w:pPr>
        <w:ind w:firstLine="420"/>
        <w:jc w:val="both"/>
      </w:pPr>
      <w:r>
        <w:rPr>
          <w:sz w:val="21"/>
        </w:rPr>
        <w:t>4、遇不可抗力，双方需在尽可能的情况下采取保全措施，并及时通知对方。</w:t>
      </w:r>
    </w:p>
    <w:p>
      <w:pPr>
        <w:jc w:val="both"/>
      </w:pPr>
      <w:r>
        <w:rPr>
          <w:b/>
          <w:sz w:val="21"/>
        </w:rPr>
        <w:t>第十六条</w:t>
      </w:r>
      <w:r>
        <w:rPr>
          <w:b/>
          <w:sz w:val="21"/>
        </w:rPr>
        <w:t>其他约定条款</w:t>
      </w:r>
    </w:p>
    <w:p>
      <w:pPr>
        <w:ind w:firstLine="420"/>
        <w:jc w:val="both"/>
      </w:pPr>
      <w:r>
        <w:rPr>
          <w:sz w:val="21"/>
        </w:rPr>
        <w:t>1、本工程的磋商文件、乙方的响应文件是合同的组成部分。</w:t>
      </w:r>
    </w:p>
    <w:p>
      <w:pPr>
        <w:ind w:firstLine="420"/>
        <w:jc w:val="both"/>
      </w:pPr>
      <w:r>
        <w:rPr>
          <w:sz w:val="21"/>
        </w:rPr>
        <w:t>2、乙方应按有关规定，采取严格的安全防护措施，并承担由于自身安全措施不力造成事故的责任和因此发生的费用。</w:t>
      </w:r>
    </w:p>
    <w:p>
      <w:pPr>
        <w:ind w:firstLine="420"/>
        <w:jc w:val="both"/>
      </w:pPr>
      <w:r>
        <w:rPr>
          <w:sz w:val="21"/>
        </w:rPr>
        <w:t>3、乙方因其材料设备、机械损坏及停工等事项造成损失的，损失费用由乙方承担。</w:t>
      </w:r>
    </w:p>
    <w:p>
      <w:pPr>
        <w:ind w:firstLine="420"/>
        <w:jc w:val="both"/>
      </w:pPr>
      <w:r>
        <w:rPr>
          <w:sz w:val="21"/>
        </w:rPr>
        <w:t>4、未经甲方同意，乙方擅自拆改原建筑物结构或设备、管线和其他附着物，由此发生的事故或造成的损失（包括罚款），由乙方承担责任并赔偿损失。</w:t>
      </w:r>
    </w:p>
    <w:p>
      <w:pPr>
        <w:ind w:firstLine="420"/>
        <w:jc w:val="both"/>
      </w:pPr>
      <w:r>
        <w:rPr>
          <w:sz w:val="21"/>
        </w:rPr>
        <w:t>5、每日施工后，乙方要收整现场，并清理余泥杂物。</w:t>
      </w:r>
    </w:p>
    <w:p>
      <w:pPr>
        <w:ind w:firstLine="420"/>
        <w:jc w:val="both"/>
      </w:pPr>
      <w:r>
        <w:rPr>
          <w:sz w:val="21"/>
        </w:rPr>
        <w:t>6、乙方应做好文明施工工作及安全保卫工作，所有施工人员进场作业，必须办理出入证件等。</w:t>
      </w:r>
    </w:p>
    <w:p>
      <w:pPr>
        <w:jc w:val="both"/>
      </w:pPr>
      <w:r>
        <w:rPr>
          <w:b/>
          <w:sz w:val="21"/>
        </w:rPr>
        <w:t>第十七条</w:t>
      </w:r>
      <w:r>
        <w:rPr>
          <w:b/>
          <w:sz w:val="21"/>
        </w:rPr>
        <w:t>争议及解决办法；</w:t>
      </w:r>
    </w:p>
    <w:p>
      <w:pPr>
        <w:ind w:firstLine="420"/>
        <w:jc w:val="both"/>
      </w:pPr>
      <w:r>
        <w:rPr>
          <w:sz w:val="21"/>
        </w:rPr>
        <w:t>1、本合同适用法律为中华人民共和国法律、法规。</w:t>
      </w:r>
    </w:p>
    <w:p>
      <w:pPr>
        <w:ind w:firstLine="420"/>
        <w:jc w:val="both"/>
      </w:pPr>
      <w:r>
        <w:rPr>
          <w:sz w:val="21"/>
        </w:rPr>
        <w:t>2、如履行本合同过程中发生争议的，由双方当事人协商解决。协商不成时，任何一方有权向甲方所在地人民法院提起诉讼。</w:t>
      </w:r>
    </w:p>
    <w:p>
      <w:pPr>
        <w:ind w:firstLine="420"/>
        <w:jc w:val="both"/>
      </w:pPr>
      <w:r>
        <w:rPr>
          <w:sz w:val="21"/>
        </w:rPr>
        <w:t>3、合同履行时发生争议，双方都应继续履行合同，保持施工连续，并保护好已完工程，否则违约方应承担违约责任。</w:t>
      </w:r>
    </w:p>
    <w:p>
      <w:pPr>
        <w:jc w:val="both"/>
      </w:pPr>
      <w:r>
        <w:rPr>
          <w:b/>
          <w:sz w:val="21"/>
        </w:rPr>
        <w:t>第十八条</w:t>
      </w:r>
      <w:r>
        <w:rPr>
          <w:b/>
          <w:sz w:val="21"/>
        </w:rPr>
        <w:t>合同有效期</w:t>
      </w:r>
    </w:p>
    <w:p>
      <w:pPr>
        <w:ind w:firstLine="420"/>
        <w:jc w:val="both"/>
      </w:pPr>
      <w:r>
        <w:rPr>
          <w:sz w:val="21"/>
        </w:rPr>
        <w:t>1、本合同经甲方盖章，乙方签字盖章后生效，至工程竣工验收合格，保修期满并结清款项后失效。</w:t>
      </w:r>
    </w:p>
    <w:p>
      <w:pPr>
        <w:ind w:firstLine="420"/>
        <w:jc w:val="both"/>
      </w:pPr>
      <w:r>
        <w:rPr>
          <w:sz w:val="21"/>
        </w:rPr>
        <w:t>2、合同一式陆份，甲乙双方各执叁份，均具有同等法律效力。</w:t>
      </w: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1186"/>
        <w:gridCol w:w="2224"/>
        <w:gridCol w:w="1335"/>
        <w:gridCol w:w="1335"/>
        <w:gridCol w:w="890"/>
        <w:gridCol w:w="1335"/>
      </w:tblGrid>
      <w:tr>
        <w:tc>
          <w:tcPr>
            <w:tcW w:type="dxa" w:w="1186"/>
            <w:tcBorders>
              <w:top w:val="single" w:color="000000" w:sz="4"/>
              <w:left w:val="single" w:color="000000" w:sz="4"/>
              <w:bottom w:val="single" w:color="000000" w:sz="4"/>
              <w:right w:val="single" w:color="000000" w:sz="4"/>
            </w:tcBorders>
            <w:vAlign w:val="top"/>
          </w:tcPr>
          <w:p>
            <w:pPr>
              <w:jc w:val="center"/>
            </w:pPr>
            <w:r>
              <w:rPr>
                <w:color w:val="000000"/>
                <w:sz w:val="21"/>
              </w:rPr>
              <w:t>甲方（章）</w:t>
            </w:r>
          </w:p>
        </w:tc>
        <w:tc>
          <w:tcPr>
            <w:tcW w:type="dxa" w:w="2224"/>
            <w:tcBorders>
              <w:top w:val="single" w:color="000000" w:sz="4"/>
              <w:left w:val="single" w:color="000000" w:sz="4"/>
              <w:bottom w:val="single" w:color="000000" w:sz="4"/>
              <w:right w:val="single" w:color="000000" w:sz="4"/>
            </w:tcBorders>
            <w:vAlign w:val="top"/>
          </w:tcPr>
          <w:p>
            <w:pPr>
              <w:jc w:val="center"/>
            </w:pPr>
          </w:p>
        </w:tc>
        <w:tc>
          <w:tcPr>
            <w:tcW w:type="dxa" w:w="1335"/>
            <w:tcBorders>
              <w:top w:val="single" w:color="000000" w:sz="4"/>
              <w:left w:val="single" w:color="000000" w:sz="4"/>
              <w:bottom w:val="single" w:color="000000" w:sz="4"/>
              <w:right w:val="single" w:color="000000" w:sz="4"/>
            </w:tcBorders>
            <w:vAlign w:val="top"/>
          </w:tcPr>
          <w:p>
            <w:pPr>
              <w:jc w:val="center"/>
            </w:pPr>
            <w:r>
              <w:rPr>
                <w:color w:val="000000"/>
                <w:sz w:val="21"/>
              </w:rPr>
              <w:t>乙方（章）</w:t>
            </w:r>
          </w:p>
        </w:tc>
        <w:tc>
          <w:tcPr>
            <w:tcW w:type="dxa" w:w="3560"/>
            <w:gridSpan w:val="3"/>
            <w:tcBorders>
              <w:top w:val="single" w:color="000000" w:sz="4"/>
              <w:left w:val="single" w:color="000000" w:sz="4"/>
              <w:bottom w:val="single" w:color="000000" w:sz="4"/>
              <w:right w:val="single" w:color="000000" w:sz="4"/>
            </w:tcBorders>
            <w:vAlign w:val="top"/>
          </w:tcPr>
          <w:p>
            <w:pPr>
              <w:jc w:val="center"/>
            </w:pPr>
          </w:p>
        </w:tc>
      </w:tr>
      <w:tr>
        <w:tc>
          <w:tcPr>
            <w:tcW w:type="dxa" w:w="3410"/>
            <w:gridSpan w:val="2"/>
            <w:tcBorders>
              <w:top w:val="none" w:color="000000" w:sz="4"/>
              <w:left w:val="single" w:color="000000" w:sz="4"/>
              <w:bottom w:val="single" w:color="000000" w:sz="4"/>
              <w:right w:val="single" w:color="000000" w:sz="4"/>
            </w:tcBorders>
            <w:vAlign w:val="top"/>
          </w:tcPr>
          <w:p>
            <w:pPr>
              <w:jc w:val="center"/>
            </w:pPr>
          </w:p>
        </w:tc>
        <w:tc>
          <w:tcPr>
            <w:tcW w:type="dxa" w:w="1335"/>
            <w:tcBorders>
              <w:top w:val="none" w:color="000000" w:sz="4"/>
              <w:left w:val="single" w:color="000000" w:sz="4"/>
              <w:bottom w:val="single" w:color="000000" w:sz="4"/>
              <w:right w:val="single" w:color="000000" w:sz="4"/>
            </w:tcBorders>
            <w:vAlign w:val="top"/>
          </w:tcPr>
          <w:p>
            <w:pPr>
              <w:jc w:val="center"/>
            </w:pPr>
            <w:r>
              <w:rPr>
                <w:color w:val="000000"/>
                <w:sz w:val="21"/>
              </w:rPr>
              <w:t>法定代表人</w:t>
            </w:r>
          </w:p>
        </w:tc>
        <w:tc>
          <w:tcPr>
            <w:tcW w:type="dxa" w:w="1335"/>
            <w:tcBorders>
              <w:top w:val="none" w:color="000000" w:sz="4"/>
              <w:left w:val="single" w:color="000000" w:sz="4"/>
              <w:bottom w:val="single" w:color="000000" w:sz="4"/>
              <w:right w:val="single" w:color="000000" w:sz="4"/>
            </w:tcBorders>
            <w:vAlign w:val="top"/>
          </w:tcPr>
          <w:p>
            <w:pPr>
              <w:jc w:val="center"/>
            </w:pPr>
          </w:p>
        </w:tc>
        <w:tc>
          <w:tcPr>
            <w:tcW w:type="dxa" w:w="890"/>
            <w:tcBorders>
              <w:top w:val="none" w:color="000000" w:sz="4"/>
              <w:left w:val="single" w:color="000000" w:sz="4"/>
              <w:bottom w:val="single" w:color="000000" w:sz="4"/>
              <w:right w:val="single" w:color="000000" w:sz="4"/>
            </w:tcBorders>
            <w:vAlign w:val="top"/>
          </w:tcPr>
          <w:p>
            <w:pPr>
              <w:jc w:val="center"/>
            </w:pPr>
            <w:r>
              <w:rPr>
                <w:color w:val="000000"/>
                <w:sz w:val="21"/>
              </w:rPr>
              <w:t>签约人</w:t>
            </w:r>
          </w:p>
        </w:tc>
        <w:tc>
          <w:tcPr>
            <w:tcW w:type="dxa" w:w="1335"/>
            <w:tcBorders>
              <w:top w:val="single" w:color="000000" w:sz="4"/>
              <w:left w:val="single" w:color="000000" w:sz="4"/>
              <w:bottom w:val="single" w:color="000000" w:sz="4"/>
              <w:right w:val="single" w:color="000000" w:sz="4"/>
            </w:tcBorders>
            <w:vAlign w:val="top"/>
          </w:tcPr>
          <w:p>
            <w:pPr>
              <w:jc w:val="center"/>
            </w:pPr>
          </w:p>
        </w:tc>
      </w:tr>
      <w:tr>
        <w:tc>
          <w:tcPr>
            <w:tcW w:type="dxa" w:w="1186"/>
            <w:tcBorders>
              <w:top w:val="none" w:color="000000" w:sz="4"/>
              <w:left w:val="single" w:color="000000" w:sz="4"/>
              <w:bottom w:val="single" w:color="000000" w:sz="4"/>
              <w:right w:val="single" w:color="000000" w:sz="4"/>
            </w:tcBorders>
            <w:vAlign w:val="top"/>
          </w:tcPr>
          <w:p>
            <w:pPr>
              <w:jc w:val="center"/>
            </w:pPr>
            <w:r>
              <w:rPr>
                <w:color w:val="000000"/>
                <w:sz w:val="21"/>
              </w:rPr>
              <w:t>地址</w:t>
            </w:r>
          </w:p>
        </w:tc>
        <w:tc>
          <w:tcPr>
            <w:tcW w:type="dxa" w:w="2224"/>
            <w:tcBorders>
              <w:top w:val="none" w:color="000000" w:sz="4"/>
              <w:left w:val="single" w:color="000000" w:sz="4"/>
              <w:bottom w:val="single" w:color="000000" w:sz="4"/>
              <w:right w:val="single" w:color="000000" w:sz="4"/>
            </w:tcBorders>
            <w:vAlign w:val="top"/>
          </w:tcPr>
          <w:p>
            <w:pPr>
              <w:jc w:val="center"/>
            </w:pPr>
          </w:p>
        </w:tc>
        <w:tc>
          <w:tcPr>
            <w:tcW w:type="dxa" w:w="1335"/>
            <w:tcBorders>
              <w:top w:val="none" w:color="000000" w:sz="4"/>
              <w:left w:val="single" w:color="000000" w:sz="4"/>
              <w:bottom w:val="single" w:color="000000" w:sz="4"/>
              <w:right w:val="single" w:color="000000" w:sz="4"/>
            </w:tcBorders>
            <w:vAlign w:val="top"/>
          </w:tcPr>
          <w:p>
            <w:pPr>
              <w:jc w:val="center"/>
            </w:pPr>
            <w:r>
              <w:rPr>
                <w:color w:val="000000"/>
                <w:sz w:val="21"/>
              </w:rPr>
              <w:t>地址</w:t>
            </w:r>
          </w:p>
        </w:tc>
        <w:tc>
          <w:tcPr>
            <w:tcW w:type="dxa" w:w="3560"/>
            <w:gridSpan w:val="3"/>
            <w:tcBorders>
              <w:top w:val="none" w:color="000000" w:sz="4"/>
              <w:left w:val="single" w:color="000000" w:sz="4"/>
              <w:bottom w:val="single" w:color="000000" w:sz="4"/>
              <w:right w:val="single" w:color="000000" w:sz="4"/>
            </w:tcBorders>
            <w:vAlign w:val="top"/>
          </w:tcPr>
          <w:p>
            <w:pPr>
              <w:jc w:val="center"/>
            </w:pPr>
          </w:p>
        </w:tc>
      </w:tr>
      <w:tr>
        <w:tc>
          <w:tcPr>
            <w:tcW w:type="dxa" w:w="1186"/>
            <w:tcBorders>
              <w:top w:val="none" w:color="000000" w:sz="4"/>
              <w:left w:val="single" w:color="000000" w:sz="4"/>
              <w:bottom w:val="single" w:color="000000" w:sz="4"/>
              <w:right w:val="single" w:color="000000" w:sz="4"/>
            </w:tcBorders>
            <w:vAlign w:val="top"/>
          </w:tcPr>
          <w:p>
            <w:pPr>
              <w:jc w:val="center"/>
            </w:pPr>
            <w:r>
              <w:rPr>
                <w:color w:val="000000"/>
                <w:sz w:val="21"/>
              </w:rPr>
              <w:t>电</w:t>
            </w:r>
            <w:r>
              <w:rPr>
                <w:color w:val="000000"/>
                <w:sz w:val="21"/>
              </w:rPr>
              <w:t xml:space="preserve">  </w:t>
            </w:r>
            <w:r>
              <w:rPr>
                <w:color w:val="000000"/>
                <w:sz w:val="21"/>
              </w:rPr>
              <w:t>话</w:t>
            </w:r>
          </w:p>
        </w:tc>
        <w:tc>
          <w:tcPr>
            <w:tcW w:type="dxa" w:w="2224"/>
            <w:tcBorders>
              <w:top w:val="none" w:color="000000" w:sz="4"/>
              <w:left w:val="single" w:color="000000" w:sz="4"/>
              <w:bottom w:val="single" w:color="000000" w:sz="4"/>
              <w:right w:val="single" w:color="000000" w:sz="4"/>
            </w:tcBorders>
            <w:vAlign w:val="top"/>
          </w:tcPr>
          <w:p>
            <w:pPr>
              <w:jc w:val="center"/>
            </w:pPr>
          </w:p>
        </w:tc>
        <w:tc>
          <w:tcPr>
            <w:tcW w:type="dxa" w:w="1335"/>
            <w:tcBorders>
              <w:top w:val="none" w:color="000000" w:sz="4"/>
              <w:left w:val="single" w:color="000000" w:sz="4"/>
              <w:bottom w:val="single" w:color="000000" w:sz="4"/>
              <w:right w:val="single" w:color="000000" w:sz="4"/>
            </w:tcBorders>
            <w:vAlign w:val="top"/>
          </w:tcPr>
          <w:p>
            <w:pPr>
              <w:jc w:val="center"/>
            </w:pPr>
            <w:r>
              <w:rPr>
                <w:color w:val="000000"/>
                <w:sz w:val="21"/>
              </w:rPr>
              <w:t>电</w:t>
            </w:r>
            <w:r>
              <w:rPr>
                <w:color w:val="000000"/>
                <w:sz w:val="21"/>
              </w:rPr>
              <w:t xml:space="preserve">   </w:t>
            </w:r>
            <w:r>
              <w:rPr>
                <w:color w:val="000000"/>
                <w:sz w:val="21"/>
              </w:rPr>
              <w:t>话</w:t>
            </w:r>
          </w:p>
        </w:tc>
        <w:tc>
          <w:tcPr>
            <w:tcW w:type="dxa" w:w="3560"/>
            <w:gridSpan w:val="3"/>
            <w:tcBorders>
              <w:top w:val="none" w:color="000000" w:sz="4"/>
              <w:left w:val="single" w:color="000000" w:sz="4"/>
              <w:bottom w:val="single" w:color="000000" w:sz="4"/>
              <w:right w:val="single" w:color="000000" w:sz="4"/>
            </w:tcBorders>
            <w:vAlign w:val="top"/>
          </w:tcPr>
          <w:p>
            <w:pPr>
              <w:jc w:val="center"/>
            </w:pPr>
          </w:p>
        </w:tc>
      </w:tr>
      <w:tr>
        <w:tc>
          <w:tcPr>
            <w:tcW w:type="dxa" w:w="3410"/>
            <w:gridSpan w:val="2"/>
            <w:vMerge w:val="restart"/>
            <w:tcBorders>
              <w:top w:val="none" w:color="000000" w:sz="4"/>
              <w:left w:val="single" w:color="000000" w:sz="4"/>
              <w:bottom w:val="single" w:color="000000" w:sz="4"/>
              <w:right w:val="single" w:color="000000" w:sz="4"/>
            </w:tcBorders>
            <w:vAlign w:val="top"/>
          </w:tcPr>
          <w:p>
            <w:pPr>
              <w:jc w:val="center"/>
            </w:pPr>
          </w:p>
          <w:p>
            <w:pPr>
              <w:jc w:val="center"/>
            </w:pPr>
          </w:p>
        </w:tc>
        <w:tc>
          <w:tcPr>
            <w:tcW w:type="dxa" w:w="1335"/>
            <w:tcBorders>
              <w:top w:val="none" w:color="000000" w:sz="4"/>
              <w:left w:val="single" w:color="000000" w:sz="4"/>
              <w:bottom w:val="single" w:color="000000" w:sz="4"/>
              <w:right w:val="single" w:color="000000" w:sz="4"/>
            </w:tcBorders>
            <w:vAlign w:val="top"/>
          </w:tcPr>
          <w:p>
            <w:pPr>
              <w:jc w:val="center"/>
            </w:pPr>
            <w:r>
              <w:rPr>
                <w:color w:val="000000"/>
                <w:sz w:val="21"/>
              </w:rPr>
              <w:t>开户银行</w:t>
            </w:r>
          </w:p>
          <w:p>
            <w:pPr>
              <w:jc w:val="center"/>
            </w:pPr>
            <w:r>
              <w:rPr>
                <w:color w:val="000000"/>
                <w:sz w:val="21"/>
              </w:rPr>
              <w:t>及账号</w:t>
            </w:r>
          </w:p>
        </w:tc>
        <w:tc>
          <w:tcPr>
            <w:tcW w:type="dxa" w:w="3560"/>
            <w:gridSpan w:val="3"/>
            <w:tcBorders>
              <w:top w:val="none" w:color="000000" w:sz="4"/>
              <w:left w:val="single" w:color="000000" w:sz="4"/>
              <w:bottom w:val="single" w:color="000000" w:sz="4"/>
              <w:right w:val="single" w:color="000000" w:sz="4"/>
            </w:tcBorders>
            <w:vAlign w:val="top"/>
          </w:tcPr>
          <w:p>
            <w:pPr>
              <w:jc w:val="center"/>
            </w:pPr>
          </w:p>
        </w:tc>
      </w:tr>
      <w:tr>
        <w:tc>
          <w:tcPr>
            <w:tcW w:type="dxa" w:w="3410"/>
            <w:gridSpan w:val="2"/>
            <w:vMerge/>
            <w:tcBorders>
              <w:top w:val="none" w:color="000000" w:sz="4"/>
              <w:left w:val="single" w:color="000000" w:sz="4"/>
              <w:bottom w:val="single" w:color="000000" w:sz="4"/>
              <w:right w:val="single" w:color="000000" w:sz="4"/>
            </w:tcBorders>
          </w:tcPr>
          <w:p/>
        </w:tc>
        <w:tc>
          <w:tcPr>
            <w:tcW w:type="dxa" w:w="1335"/>
            <w:tcBorders>
              <w:top w:val="none" w:color="000000" w:sz="4"/>
              <w:left w:val="single" w:color="000000" w:sz="4"/>
              <w:bottom w:val="single" w:color="000000" w:sz="4"/>
              <w:right w:val="single" w:color="000000" w:sz="4"/>
            </w:tcBorders>
            <w:vAlign w:val="top"/>
          </w:tcPr>
          <w:p>
            <w:pPr>
              <w:jc w:val="center"/>
            </w:pPr>
            <w:r>
              <w:rPr>
                <w:color w:val="000000"/>
                <w:sz w:val="21"/>
              </w:rPr>
              <w:t>税务编号</w:t>
            </w:r>
          </w:p>
        </w:tc>
        <w:tc>
          <w:tcPr>
            <w:tcW w:type="dxa" w:w="3560"/>
            <w:gridSpan w:val="3"/>
            <w:tcBorders>
              <w:top w:val="none" w:color="000000" w:sz="4"/>
              <w:left w:val="single" w:color="000000" w:sz="4"/>
              <w:bottom w:val="single" w:color="000000" w:sz="4"/>
              <w:right w:val="single" w:color="000000" w:sz="4"/>
            </w:tcBorders>
            <w:vAlign w:val="top"/>
          </w:tcPr>
          <w:p>
            <w:pPr>
              <w:jc w:val="center"/>
            </w:pPr>
          </w:p>
        </w:tc>
      </w:tr>
      <w:tr>
        <w:tc>
          <w:tcPr>
            <w:tcW w:type="dxa" w:w="1186"/>
            <w:tcBorders>
              <w:top w:val="none" w:color="000000" w:sz="4"/>
              <w:left w:val="single" w:color="000000" w:sz="4"/>
              <w:bottom w:val="single" w:color="000000" w:sz="4"/>
              <w:right w:val="single" w:color="000000" w:sz="4"/>
            </w:tcBorders>
            <w:vAlign w:val="top"/>
          </w:tcPr>
          <w:p>
            <w:pPr>
              <w:jc w:val="center"/>
            </w:pPr>
            <w:r>
              <w:rPr>
                <w:color w:val="000000"/>
                <w:sz w:val="21"/>
              </w:rPr>
              <w:t>签约日期</w:t>
            </w:r>
          </w:p>
        </w:tc>
        <w:tc>
          <w:tcPr>
            <w:tcW w:type="dxa" w:w="7119"/>
            <w:gridSpan w:val="5"/>
            <w:tcBorders>
              <w:top w:val="none" w:color="000000" w:sz="4"/>
              <w:left w:val="single" w:color="000000" w:sz="4"/>
              <w:bottom w:val="single" w:color="000000" w:sz="4"/>
              <w:right w:val="single" w:color="000000" w:sz="4"/>
            </w:tcBorders>
            <w:vAlign w:val="top"/>
          </w:tcPr>
          <w:p>
            <w:pPr>
              <w:jc w:val="center"/>
            </w:pPr>
          </w:p>
        </w:tc>
      </w:tr>
    </w:tbl>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440101-2023-13628</w:t>
      </w:r>
    </w:p>
    <w:p>
      <w:pPr>
        <w:jc w:val="center"/>
      </w:pPr>
      <w:r>
        <w:rPr>
          <w:b/>
          <w:sz w:val="24"/>
        </w:rPr>
        <w:t>采购项目编号：</w:t>
      </w:r>
      <w:r>
        <w:rPr>
          <w:b/>
          <w:sz w:val="24"/>
        </w:rPr>
        <w:t>GZGK23D133B0381C</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十三、联合体共同响应协议书</w:t>
      </w:r>
    </w:p>
    <w:p>
      <w:pPr>
        <w:ind w:firstLine="480"/>
      </w:pPr>
      <w:r>
        <w:rPr/>
        <w:t>十四、供应商业绩情况表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r>
        <w:rPr/>
        <w:t>二十三、政府采购履约担保函、采购合同履约保险凭证</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广州市国科招标代理有限公司</w:t>
      </w:r>
    </w:p>
    <w:p>
      <w:pPr>
        <w:ind w:firstLine="480"/>
      </w:pPr>
      <w:r>
        <w:rPr/>
        <w:t>你方组织的</w:t>
      </w:r>
      <w:r>
        <w:rPr>
          <w:u w:val="single"/>
        </w:rPr>
        <w:t>“</w:t>
      </w:r>
      <w:r>
        <w:rPr>
          <w:u w:val="single"/>
        </w:rPr>
        <w:t>广州市机电技师学院校园维护维修项目(二次)</w:t>
      </w:r>
      <w:r>
        <w:rPr>
          <w:u w:val="single"/>
        </w:rPr>
        <w:t>”</w:t>
      </w:r>
      <w:r>
        <w:rPr/>
        <w:t>项目的竞争性磋商[采购项目编号为：</w:t>
      </w:r>
      <w:r>
        <w:rPr>
          <w:u w:val="single"/>
        </w:rPr>
        <w:t>GZGK23D133B0381C</w:t>
      </w:r>
      <w:r>
        <w:rPr/>
        <w:t>]，我方愿参与响应。</w:t>
      </w:r>
    </w:p>
    <w:p>
      <w:pPr>
        <w:ind w:firstLine="480"/>
      </w:pPr>
      <w:r>
        <w:rPr/>
        <w:t>我方确认收到贵方提供的</w:t>
      </w:r>
      <w:r>
        <w:rPr>
          <w:u w:val="single"/>
        </w:rPr>
        <w:t>“</w:t>
      </w:r>
      <w:r>
        <w:rPr>
          <w:u w:val="single"/>
        </w:rPr>
        <w:t>广州市机电技师学院校园维护维修项目(二次)</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（四）我方理解贵方不一定接受最低磋商价或任何贵方可能收到的响应。</w:t>
      </w:r>
    </w:p>
    <w:p>
      <w:pPr>
        <w:ind w:firstLine="480"/>
      </w:pPr>
      <w:r>
        <w:rPr/>
        <w:t>（五）我方如果成交，将保证履行磋商文件及其澄清、修改文件（如果有）中的全部责任和义务，按质、按量、按期完成《采购需求》及《合同书》中的全部任务。</w:t>
      </w:r>
    </w:p>
    <w:p>
      <w:pPr>
        <w:ind w:firstLine="480"/>
      </w:pPr>
      <w:r>
        <w:rPr/>
        <w:t>（六）我方作为法律、财务和运作上独立于采购人、采购代理机构的供应商，在此保证所提交的所有文件和全部说明是真实的和正确的。</w:t>
      </w:r>
    </w:p>
    <w:p>
      <w:pPr>
        <w:ind w:firstLine="480"/>
      </w:pPr>
      <w:r>
        <w:rPr/>
        <w:t>（七）我方磋商报价已包含应向知识产权所有权人支付的所有相关税费，并保证采购人在中国使用我方提供的货物或服务时，如有第三方提出侵犯其知识产权主张的，责任由我方承担。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（八）我方接受采购人委托向贵方支付代理服务费，项目总报价已包含代理服务费，如果被确定为成交供应商，承诺向贵方足额支付。（若采购人支付代理服务费，则此条不适用）</w:t>
      </w:r>
    </w:p>
    <w:p>
      <w:pPr>
        <w:ind w:firstLine="480"/>
      </w:pPr>
      <w:r>
        <w:rPr/>
        <w:t>（九）我方与其他供应商不存在法定代表人或单位负责人为同一人或者存在直接控股、管理关系。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（十三）我方对在本函及响应文件中所作的所有承诺承担法律责任。</w:t>
      </w:r>
    </w:p>
    <w:p>
      <w:pPr>
        <w:ind w:firstLine="480"/>
      </w:pPr>
      <w:r>
        <w:rPr/>
        <w:t>（十四）所有与本磋商有关的函件请发往下列地址：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jc w:val="center"/>
      </w:pPr>
      <w:r>
        <w:rPr>
          <w:b/>
          <w:sz w:val="15"/>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现任我单位_____________职务_____________为法定代表人，特此证明。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广州市机电技师学院校园维护维修项目(二次)</w:t>
      </w:r>
      <w:r>
        <w:rPr/>
        <w:t>”项目采购[采购项目编号为</w:t>
      </w:r>
      <w:r>
        <w:rPr/>
        <w:t>GZGK23D133B0381C</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一、提供以下相关证照的扫描件之一：1.企业法人提供企业法人营业执照；2.事业法人提供事业法人登记证；3.其他组织提供其他组织的营业执照或执业许可证；4.自然人提供居民身份证等；</w:t>
      </w:r>
    </w:p>
    <w:p>
      <w:pPr>
        <w:ind w:firstLine="480"/>
      </w:pPr>
      <w:r>
        <w:rPr/>
        <w:t>二、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投标的，还须提供分公司或中心支公司的保险机构的营业执照。）</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广州市机电技师学院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细则（试行）》的通知》的精神，投标人需根据以下要求对其出具的《中小企业声明函》的信息进行完善和规范。</w:t>
      </w:r>
    </w:p>
    <w:p>
      <w:pPr>
        <w:ind w:firstLine="480"/>
      </w:pPr>
      <w:r>
        <w:rPr/>
        <w:t>（一）对于已纳入统计部门统计范围的企业，所属行业、从业人员、营业收入、资产总额、规模类型应与统计部门报表保持一致。</w:t>
      </w:r>
    </w:p>
    <w:p>
      <w:pPr>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ind w:firstLine="480"/>
      </w:pPr>
      <w:r>
        <w:rPr/>
        <w:t>（六）经调查发现供应商提供《中小企业声明函》内容与实际不符的，政府采购监管部门有权根据《中小企业声明函》与实际情况的差异视情形认定其是否属于虚假材料谋取中标。</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或照搬照抄采购文件参数、不注明实际数值者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格式十九：</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广州市国科招标代理有限公司</w:t>
      </w:r>
    </w:p>
    <w:p>
      <w:pPr>
        <w:ind w:firstLine="480"/>
      </w:pPr>
      <w:r>
        <w:rPr/>
        <w:t>我单位参加贵公司组织的</w:t>
      </w:r>
      <w:r>
        <w:rPr/>
        <w:t>广州市机电技师学院校园维护维修项目(二次)</w:t>
      </w:r>
      <w:r>
        <w:rPr/>
        <w:t>（采购项目编号：</w:t>
      </w:r>
      <w:r>
        <w:rPr/>
        <w:t>GZGK23D133B0381C</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格式二十一：</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ind w:firstLine="480"/>
      </w:pPr>
    </w:p>
    <w:p>
      <w:r>
        <w:rPr/>
        <w:t xml:space="preserve"> </w:t>
      </w:r>
    </w:p>
    <w:p/>
    <w:p>
      <w:r>
        <w:rPr>
          <w:b/>
          <w:sz w:val="28"/>
        </w:rPr>
        <w:t>格式二十三：</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