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440001-2023-49542</w:t>
      </w:r>
    </w:p>
    <w:p>
      <w:pPr>
        <w:jc w:val="center"/>
      </w:pPr>
      <w:r>
        <w:rPr>
          <w:b/>
          <w:sz w:val="24"/>
        </w:rPr>
        <w:t>采购项目编号：</w:t>
      </w:r>
      <w:r>
        <w:rPr>
          <w:b/>
          <w:sz w:val="24"/>
        </w:rPr>
        <w:t>GZGK23P253A0836Z</w:t>
      </w:r>
    </w:p>
    <w:p>
      <w:pPr>
        <w:jc w:val="center"/>
      </w:pPr>
      <w:r>
        <w:rPr>
          <w:b/>
          <w:sz w:val="24"/>
        </w:rPr>
        <w:t>项目名称：</w:t>
      </w:r>
      <w:r>
        <w:rPr>
          <w:b/>
          <w:sz w:val="24"/>
        </w:rPr>
        <w:t>广东省科学院半导体研究所电子束曝光系统设备采购项目</w:t>
      </w:r>
    </w:p>
    <w:p>
      <w:pPr>
        <w:jc w:val="center"/>
      </w:pPr>
      <w:r>
        <w:rPr>
          <w:b/>
          <w:sz w:val="24"/>
        </w:rPr>
        <w:t>采购人：</w:t>
      </w:r>
      <w:r>
        <w:rPr>
          <w:b/>
          <w:sz w:val="24"/>
        </w:rPr>
        <w:t>广东省科学院半导体研究所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广东省科学院半导体研究所</w:t>
      </w:r>
      <w:r>
        <w:rPr/>
        <w:t>的委托，采用</w:t>
      </w:r>
      <w:r>
        <w:rPr/>
        <w:t>公开招标</w:t>
      </w:r>
      <w:r>
        <w:rPr/>
        <w:t>方式组织采购</w:t>
      </w:r>
      <w:r>
        <w:rPr/>
        <w:t>广东省科学院半导体研究所电子束曝光系统设备采购项目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广东省科学院半导体研究所电子束曝光系统设备采购项目</w:t>
      </w:r>
    </w:p>
    <w:p>
      <w:pPr>
        <w:ind w:firstLine="480"/>
      </w:pPr>
      <w:r>
        <w:rPr/>
        <w:t>采购计划编号：</w:t>
      </w:r>
      <w:r>
        <w:rPr/>
        <w:t>440001-2023-49542</w:t>
      </w:r>
    </w:p>
    <w:p>
      <w:pPr>
        <w:ind w:firstLine="480"/>
      </w:pPr>
      <w:r>
        <w:rPr/>
        <w:t>采购项目编号：</w:t>
      </w:r>
      <w:r>
        <w:rPr/>
        <w:t>GZGK23P253A0836Z</w:t>
      </w:r>
    </w:p>
    <w:p>
      <w:pPr>
        <w:ind w:firstLine="480"/>
      </w:pPr>
      <w:r>
        <w:rPr/>
        <w:t>采购方式：</w:t>
      </w:r>
      <w:r>
        <w:rPr/>
        <w:t>公开招标</w:t>
      </w:r>
    </w:p>
    <w:p>
      <w:pPr>
        <w:ind w:firstLine="480"/>
      </w:pPr>
      <w:r>
        <w:rPr/>
        <w:t>预算金额：</w:t>
      </w:r>
      <w:r>
        <w:rPr/>
        <w:t>12,000,000.00</w:t>
      </w:r>
      <w:r>
        <w:rPr/>
        <w:t>元</w:t>
      </w:r>
    </w:p>
    <w:p>
      <w:r>
        <w:rPr>
          <w:b/>
          <w:sz w:val="24"/>
        </w:rPr>
        <w:t>2.项目内容及需求情况（采购项目技术规格、参数及要求）</w:t>
      </w:r>
    </w:p>
    <w:p>
      <w:pPr>
        <w:ind w:firstLine="480"/>
      </w:pPr>
    </w:p>
    <w:p/>
    <w:p>
      <w:r>
        <w:rPr/>
        <w:t>采购包1(电子束曝光系统):</w:t>
      </w:r>
    </w:p>
    <w:p>
      <w:r>
        <w:rPr/>
        <w:t>采购包预算金额：12,000,000.00元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电子工业生产设备</w:t>
            </w:r>
          </w:p>
        </w:tc>
        <w:tc>
          <w:tcPr>
            <w:tcW w:type="dxa" w:w="2136"/>
          </w:tcPr>
          <w:p>
            <w:r>
              <w:rPr/>
              <w:t>电子束曝光系统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采购包1（电子束曝光系统）：</w:t>
      </w:r>
      <w:r>
        <w:rPr/>
        <w:t>本采购包不属于专门面向中小企业采购的项目。</w:t>
      </w:r>
    </w:p>
    <w:p/>
    <w:p>
      <w:r>
        <w:rPr>
          <w:b/>
          <w:sz w:val="24"/>
        </w:rPr>
        <w:t>3.本项目特定的资格要求：</w:t>
      </w:r>
    </w:p>
    <w:p>
      <w:pPr>
        <w:ind w:firstLine="480"/>
      </w:pPr>
    </w:p>
    <w:p/>
    <w:p>
      <w:r>
        <w:rPr/>
        <w:t>采购包1（电子束曝光系统）：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广东省科学院半导体研究所</w:t>
      </w:r>
    </w:p>
    <w:p>
      <w:pPr>
        <w:ind w:firstLine="480"/>
      </w:pPr>
      <w:r>
        <w:rPr/>
        <w:t>地址：</w:t>
      </w:r>
      <w:r>
        <w:rPr/>
        <w:t>广州市天河区长兴路363号</w:t>
      </w:r>
    </w:p>
    <w:p>
      <w:pPr>
        <w:ind w:firstLine="480"/>
      </w:pPr>
      <w:r>
        <w:rPr/>
        <w:t>联系方式：</w:t>
      </w:r>
      <w:r>
        <w:rPr/>
        <w:t>020- 87716086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020-38364802、020-87687651</w:t>
      </w:r>
    </w:p>
    <w:p>
      <w:r>
        <w:rPr>
          <w:b/>
          <w:sz w:val="24"/>
        </w:rPr>
        <w:t>3.项目联系方式</w:t>
      </w:r>
    </w:p>
    <w:p>
      <w:pPr>
        <w:ind w:firstLine="480"/>
      </w:pPr>
      <w:r>
        <w:rPr/>
        <w:t>项目联系人：</w:t>
      </w:r>
      <w:r>
        <w:rPr/>
        <w:t>钟平、苏启立</w:t>
      </w:r>
    </w:p>
    <w:p>
      <w:pPr>
        <w:ind w:firstLine="480"/>
      </w:pPr>
      <w:r>
        <w:rPr/>
        <w:t>电话：</w:t>
      </w:r>
      <w:r>
        <w:rPr/>
        <w:t>020-38364802、020-87687651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GZGK23P253A0836Z</w:t>
      </w:r>
    </w:p>
    <w:p>
      <w:pPr>
        <w:jc w:val="both"/>
      </w:pPr>
      <w:r>
        <w:rPr>
          <w:b/>
          <w:sz w:val="21"/>
        </w:rPr>
        <w:t>（二）</w:t>
      </w:r>
      <w:r>
        <w:rPr>
          <w:b/>
          <w:sz w:val="21"/>
        </w:rPr>
        <w:t>项目名称：</w:t>
      </w:r>
      <w:r>
        <w:rPr>
          <w:sz w:val="21"/>
        </w:rPr>
        <w:t>广东省科学院半导体研究所电子束曝光系统设备采购项目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小型和微型企业、监狱企业和残疾人福利性单位必须按照招标（采购）文件第三章内容提供相应的资料。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p>
    <w:p>
      <w:pPr>
        <w:ind w:firstLine="420"/>
        <w:jc w:val="both"/>
      </w:pPr>
      <w:r>
        <w:rPr>
          <w:sz w:val="21"/>
        </w:rPr>
        <w:t>（二）报价方式：</w:t>
      </w:r>
    </w:p>
    <w:p>
      <w:pPr>
        <w:ind w:firstLine="211"/>
        <w:jc w:val="both"/>
      </w:pPr>
      <w:r>
        <w:rPr>
          <w:b/>
          <w:sz w:val="21"/>
        </w:rPr>
        <w:t>1、</w:t>
      </w:r>
      <w:r>
        <w:rPr>
          <w:b/>
          <w:sz w:val="21"/>
        </w:rPr>
        <w:t>中华人民共和国关境内提供的货物</w:t>
      </w:r>
      <w:r>
        <w:rPr>
          <w:b/>
          <w:sz w:val="21"/>
        </w:rPr>
        <w:t>以</w:t>
      </w:r>
      <w:r>
        <w:rPr>
          <w:b/>
          <w:sz w:val="21"/>
          <w:u w:val="single"/>
        </w:rPr>
        <w:t>人民币</w:t>
      </w:r>
      <w:r>
        <w:rPr>
          <w:b/>
          <w:sz w:val="21"/>
        </w:rPr>
        <w:t>报价。</w:t>
      </w:r>
    </w:p>
    <w:p>
      <w:pPr>
        <w:ind w:firstLine="420"/>
        <w:jc w:val="both"/>
      </w:pPr>
      <w:r>
        <w:rPr>
          <w:sz w:val="21"/>
        </w:rPr>
        <w:t>价格包括：货款、设计、安装、随机零配件、标配</w:t>
      </w:r>
      <w:r>
        <w:rPr>
          <w:sz w:val="21"/>
        </w:rPr>
        <w:t>工具（</w:t>
      </w:r>
      <w:r>
        <w:rPr>
          <w:sz w:val="21"/>
        </w:rPr>
        <w:t>不含耗材）</w:t>
      </w:r>
      <w:r>
        <w:rPr>
          <w:sz w:val="21"/>
        </w:rPr>
        <w:t>、运输保险、调</w:t>
      </w:r>
      <w:r>
        <w:rPr>
          <w:sz w:val="21"/>
        </w:rPr>
        <w:t>试、培训、质保期服务、各项税费及合同实施过程中不可预见费用等。</w:t>
      </w:r>
    </w:p>
    <w:p>
      <w:pPr>
        <w:ind w:firstLine="211"/>
        <w:jc w:val="both"/>
      </w:pPr>
      <w:r>
        <w:rPr>
          <w:b/>
          <w:sz w:val="21"/>
        </w:rPr>
        <w:t>2、中华人民共和国关境外提供的货物以</w:t>
      </w:r>
      <w:r>
        <w:rPr>
          <w:b/>
          <w:sz w:val="21"/>
          <w:u w:val="single"/>
        </w:rPr>
        <w:t>人民币</w:t>
      </w:r>
      <w:r>
        <w:rPr>
          <w:b/>
          <w:sz w:val="21"/>
        </w:rPr>
        <w:t>报价。</w:t>
      </w:r>
    </w:p>
    <w:p>
      <w:pPr>
        <w:ind w:firstLine="420"/>
        <w:jc w:val="both"/>
      </w:pPr>
      <w:r>
        <w:rPr>
          <w:sz w:val="21"/>
        </w:rPr>
        <w:t>价格包括：</w:t>
      </w:r>
    </w:p>
    <w:p>
      <w:pPr>
        <w:ind w:firstLine="630"/>
        <w:jc w:val="both"/>
      </w:pPr>
      <w:r>
        <w:rPr>
          <w:sz w:val="21"/>
        </w:rPr>
        <w:t>（</w:t>
      </w:r>
      <w:r>
        <w:rPr>
          <w:sz w:val="21"/>
        </w:rPr>
        <w:t>1）DAP采购人指定地点。</w:t>
      </w:r>
    </w:p>
    <w:p>
      <w:pPr>
        <w:ind w:firstLine="210"/>
        <w:jc w:val="both"/>
      </w:pPr>
      <w:r>
        <w:rPr>
          <w:sz w:val="21"/>
        </w:rPr>
        <w:t>（</w:t>
      </w:r>
      <w:r>
        <w:rPr>
          <w:sz w:val="21"/>
        </w:rPr>
        <w:t>2）其他伴随服务费用：</w:t>
      </w:r>
    </w:p>
    <w:p>
      <w:pPr>
        <w:ind w:firstLine="420"/>
        <w:jc w:val="both"/>
      </w:pPr>
      <w:r>
        <w:rPr>
          <w:sz w:val="21"/>
        </w:rPr>
        <w:t>1）货物从进口口岸至最终目的地的关境内运输、保险和其他当地发生的伴随费用。</w:t>
      </w:r>
    </w:p>
    <w:p>
      <w:pPr>
        <w:ind w:firstLine="420"/>
        <w:jc w:val="both"/>
      </w:pPr>
      <w:r>
        <w:rPr>
          <w:sz w:val="21"/>
        </w:rPr>
        <w:t>2）安装与调试、验收、检验、培训、技术文件的移交、质量保证期服务、技术服务、卸货费及招标文件要求提供的其它服务。</w:t>
      </w:r>
    </w:p>
    <w:p>
      <w:pPr>
        <w:ind w:firstLine="420"/>
        <w:jc w:val="both"/>
      </w:pPr>
      <w:r>
        <w:rPr>
          <w:sz w:val="21"/>
        </w:rPr>
        <w:t>3）外贸进口有关的一切费用（如外贸公司代理费用、清关费用、银行手续费、海关监管手续费、报关费用、商检费用、申办机电批文费用、机场码头费等）。</w:t>
      </w:r>
    </w:p>
    <w:p>
      <w:r>
        <w:rPr>
          <w:sz w:val="21"/>
        </w:rPr>
        <w:t>4）</w:t>
      </w:r>
      <w:r>
        <w:rPr>
          <w:sz w:val="21"/>
        </w:rPr>
        <w:t>按照用户需求书要求的除以上费用外的其他相关费用。</w:t>
      </w:r>
    </w:p>
    <w:p>
      <w:pPr>
        <w:ind w:firstLine="420"/>
        <w:jc w:val="both"/>
      </w:pPr>
      <w:r>
        <w:rPr>
          <w:sz w:val="21"/>
        </w:rPr>
        <w:t>注：</w:t>
      </w:r>
    </w:p>
    <w:p>
      <w:pPr>
        <w:ind w:firstLine="420"/>
        <w:jc w:val="both"/>
      </w:pPr>
      <w:r>
        <w:rPr>
          <w:sz w:val="21"/>
        </w:rPr>
        <w:t>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r>
        <w:rPr>
          <w:b/>
          <w:sz w:val="21"/>
        </w:rPr>
        <w:t>（六）</w:t>
      </w:r>
      <w:r>
        <w:rPr>
          <w:b/>
          <w:sz w:val="21"/>
        </w:rPr>
        <w:t>实现的功能</w:t>
      </w:r>
    </w:p>
    <w:p>
      <w:pPr>
        <w:ind w:firstLine="420"/>
        <w:jc w:val="both"/>
      </w:pPr>
      <w:r>
        <w:rPr>
          <w:sz w:val="21"/>
        </w:rPr>
        <w:t>本项目拟采购的电子束曝光系统设备可实现</w:t>
      </w:r>
      <w:r>
        <w:rPr>
          <w:sz w:val="21"/>
        </w:rPr>
        <w:t>≤50nm级微纳结构材料与器件的精细制样，主要功能指标包括：适用于6英寸，兼容4、2英寸以及碎片；最大加速电压≥50kV；扫描频率≥50MHz；电子束流≥10nA；束流稳定性优于±0.5%/hr；最小线宽≤50nm；套刻精度≤50nm；拼接精度≤50nm；最大写场≥500um等。可用于实现微纳透镜阵列、精细斜线、精细光栅、精细螺旋线、六角阵列、圆点阵等多种纳米图形的生成及制样。</w:t>
      </w:r>
    </w:p>
    <w:p>
      <w:pPr>
        <w:jc w:val="both"/>
      </w:pPr>
      <w:r>
        <w:rPr>
          <w:b/>
          <w:sz w:val="21"/>
        </w:rPr>
        <w:t>（七）</w:t>
      </w:r>
      <w:r>
        <w:rPr>
          <w:b/>
          <w:sz w:val="21"/>
        </w:rPr>
        <w:t>需执行国家相关标准、行业标准、地方标准或者其他标准、规范</w:t>
      </w:r>
    </w:p>
    <w:p/>
    <w:p>
      <w:pPr>
        <w:ind w:firstLine="480"/>
      </w:pPr>
    </w:p>
    <w:p/>
    <w:p>
      <w:r>
        <w:rPr/>
        <w:t>采购包1（电子束曝光系统）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合同签订之日起14个月内完成供货、安装调试、验收合格并交付使用。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1期：支付比例55%,合同签署生效后30个日历日内（如中标供应商属于中小企业【投标文件提交《中小企业声明函》作为判断的依据】，则付款时限调整为合同签订后5个工作日内），支付合同总价的55％</w:t>
            </w:r>
          </w:p>
          <w:p/>
          <w:p>
            <w:r>
              <w:rPr/>
              <w:t>2期：支付比例35%,在发货前30个日历日内，采购人支付合同总金额的35%；</w:t>
            </w:r>
          </w:p>
          <w:p/>
          <w:p>
            <w:r>
              <w:rPr/>
              <w:t>3期：支付比例10%,货物安装、调试、培训、和完成验收后，采购人在10个工作日内支付合同总价的10%。 备注：1）支付方式包括支票、银行汇付（含电汇）、银行信用证（如中标产品为中华人民共和国关境外提供的货物）等形式；  2）如中标产品为中华人民共和国关境内货物每笔款项支付前15天内中标供应商须向采购人提供等额增值税发票，如中标产品为中华人民共和国关境外货物则须每笔款项支付前15天内中标供应商须向采购人提供等额形式发票。</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4、中标供应商将货物的用户手册、有关单证资料及备品备件、随机工具等交付给采购人，使用操作及安全须知等重要资料应附有中文说明。 5、设备到货并经中标供应商技术人员安装后，采购人有权委托中国有资格的单位对上述设备进行校准或检验，设备校准或检定所需的费用由中标供应商负担。 6、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7、当出现不合格产品时，中标供应商要无条件更换合格产品。除采购人认可，否则不接受任何形式的降格处理。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（一）包装与运输，1.中标供应商负责包装、运输。 2.包装箱应用坚固的材料制造，适用长途运输、防潮、防锈、防震、防粗暴装卸，适于空运和整体吊装，并注明起吊位置，起吊重量及重心位置。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负责为采购人提供不少于4人次3天的技术培训，中标供应商应提供完整的培训计划和方案，列明培训人员数量、达到的水平等，培训内容包括设备的操作、日常维修、简单故障的识别及排除等。培训所需全部费用均由中标（成交）供应商支付，包括但不限于： （1）系统的操作； （2）系统故障排除； （3）系统的参数设置。 2.所需费用（包括但不限于交通费、住宿费、餐费和翻译）包含在投标报价中。 3.中标（成交）供应商每台设备提供现场安装调试和培训。 4.应提供完整的培训计划和方案，列明培训人员数量、达到的水平等，培训内容包括设备的操作、日常维修、简单故障的识别及排除等。培训所需全部费用均由中标（成交）供应商支付。</w:t>
            </w:r>
          </w:p>
          <w:p/>
          <w:p>
            <w:r>
              <w:rPr/>
              <w:t>（五）质量保证期，1、质量保证期1年。质量保证期内，所有服务及配件（不含耗材）全部包含在报价中。“技术标准与要求”中另有要求的，以其中的要求为准。 2、质量保证期自采购人和中标（成交）供应商代表在货物安装调试验收后的验收书上签字之日起或自货到之日起15个月计算，两者先到者为质量保证期开始计算依据。质量保证期内中标（成交）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4、在质量保证期内，如货品非因采购人的人为原因而出现的问题由中标（成交）供应商负责保修、包换或包退，并承担修理、调换或退货的实际费用。 5、质量保证期内，中标（成交）供应商负责对其提供的货物整机进行维修和系统维护，不再收取任何费用，但非中标（成交）供应商责任的人为因素、自然因素（如火灾、雷击等）造成的故障除外。 6、质量保证期间，同一硬件一个月内连续2次出现同一故障，中标（成交）供应商须无偿更换同一档次货物。</w:t>
            </w:r>
          </w:p>
          <w:p/>
          <w:p>
            <w:r>
              <w:rPr/>
              <w:t>（六）售后服务，质量保证期内，除法定节假日之外，一旦发生质量问题，投标人在接到通知24-48小时内响应（通过电话或邮件），如无法远程排除故障，须在合理的情况下（特别是必要的备件已经到达用户现场的情况下），5个工作日内须赶到现场进行修理或更换。 设备质保期内因设备自身原因出现故障的，投标人须负责免费维修、免费更换零部件（不包含易损件）。故障情况特别严重造成重大损失的，双方协商解决。</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电子工业生产设备</w:t>
            </w:r>
          </w:p>
        </w:tc>
        <w:tc>
          <w:tcPr>
            <w:tcW w:type="dxa" w:w="831"/>
          </w:tcPr>
          <w:p>
            <w:pPr>
              <w:jc w:val="left"/>
            </w:pPr>
            <w:r>
              <w:rPr/>
              <w:t>电子束曝光系统</w:t>
            </w:r>
          </w:p>
        </w:tc>
        <w:tc>
          <w:tcPr>
            <w:tcW w:type="dxa" w:w="831"/>
          </w:tcPr>
          <w:p>
            <w:pPr>
              <w:jc w:val="left"/>
            </w:pPr>
            <w:r>
              <w:rPr/>
              <w:t>套</w:t>
            </w:r>
          </w:p>
        </w:tc>
        <w:tc>
          <w:tcPr>
            <w:tcW w:type="dxa" w:w="831"/>
          </w:tcPr>
          <w:p>
            <w:pPr>
              <w:jc w:val="right"/>
            </w:pPr>
            <w:r>
              <w:rPr/>
              <w:t>1.00</w:t>
            </w:r>
          </w:p>
        </w:tc>
        <w:tc>
          <w:tcPr>
            <w:tcW w:type="dxa" w:w="831"/>
          </w:tcPr>
          <w:p>
            <w:pPr>
              <w:jc w:val="right"/>
            </w:pPr>
            <w:r>
              <w:rPr/>
              <w:t>12,000,000.00</w:t>
            </w:r>
          </w:p>
        </w:tc>
        <w:tc>
          <w:tcPr>
            <w:tcW w:type="dxa" w:w="831"/>
          </w:tcPr>
          <w:p>
            <w:pPr>
              <w:jc w:val="right"/>
            </w:pPr>
            <w:r>
              <w:rPr/>
              <w:t>12,000,000.00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电子束曝光系统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210"/>
              <w:jc w:val="both"/>
            </w:pPr>
            <w:r>
              <w:rPr>
                <w:sz w:val="21"/>
              </w:rPr>
              <w:t>1、采用肖特基热场发射电子束源，加速电压不低于50kV；</w:t>
            </w:r>
          </w:p>
          <w:p>
            <w:pPr>
              <w:ind w:firstLine="210"/>
              <w:jc w:val="both"/>
            </w:pPr>
            <w:r>
              <w:rPr>
                <w:sz w:val="21"/>
              </w:rPr>
              <w:t>2、束电流范围为</w:t>
            </w:r>
            <w:r>
              <w:rPr>
                <w:sz w:val="21"/>
              </w:rPr>
              <w:t>：</w:t>
            </w:r>
            <w:r>
              <w:rPr>
                <w:sz w:val="21"/>
              </w:rPr>
              <w:t>300 pA到40 nA</w:t>
            </w:r>
            <w:r>
              <w:rPr>
                <w:sz w:val="21"/>
              </w:rPr>
              <w:t>；</w:t>
            </w:r>
          </w:p>
          <w:p>
            <w:pPr>
              <w:ind w:firstLine="210"/>
              <w:jc w:val="both"/>
            </w:pPr>
            <w:r>
              <w:rPr>
                <w:sz w:val="21"/>
              </w:rPr>
              <w:t>3、</w:t>
            </w:r>
            <w:r>
              <w:rPr>
                <w:sz w:val="21"/>
              </w:rPr>
              <w:t>图像发生器扫描频率为</w:t>
            </w:r>
            <w:r>
              <w:rPr>
                <w:sz w:val="21"/>
              </w:rPr>
              <w:t>50MHz，20bit分辨率</w:t>
            </w:r>
            <w:r>
              <w:rPr>
                <w:sz w:val="21"/>
              </w:rPr>
              <w:t>；</w:t>
            </w:r>
          </w:p>
          <w:p>
            <w:pPr>
              <w:ind w:firstLine="210"/>
              <w:jc w:val="both"/>
            </w:pPr>
            <w:r>
              <w:rPr>
                <w:sz w:val="21"/>
              </w:rPr>
              <w:t>4、</w:t>
            </w:r>
            <w:r>
              <w:rPr>
                <w:sz w:val="21"/>
              </w:rPr>
              <w:t>设备最大写场不小于</w:t>
            </w:r>
            <w:r>
              <w:rPr>
                <w:sz w:val="21"/>
              </w:rPr>
              <w:t>1000µm</w:t>
            </w:r>
            <w:r>
              <w:rPr>
                <w:sz w:val="21"/>
              </w:rPr>
              <w:t>；</w:t>
            </w:r>
          </w:p>
          <w:p>
            <w:pPr>
              <w:jc w:val="both"/>
            </w:pPr>
            <w:r>
              <w:rPr>
                <w:sz w:val="21"/>
              </w:rPr>
              <w:t>▲</w:t>
            </w:r>
            <w:r>
              <w:rPr>
                <w:sz w:val="21"/>
              </w:rPr>
              <w:t>5、设备可实现自动聚焦、象散、写场畸变等校准功能，实现自动套刻对准操作；</w:t>
            </w:r>
          </w:p>
          <w:p>
            <w:pPr>
              <w:jc w:val="both"/>
            </w:pPr>
            <w:r>
              <w:rPr>
                <w:sz w:val="21"/>
              </w:rPr>
              <w:t>▲</w:t>
            </w:r>
            <w:r>
              <w:rPr>
                <w:sz w:val="21"/>
              </w:rPr>
              <w:t>6、配备激光干涉工作台，</w:t>
            </w:r>
            <w:r>
              <w:rPr>
                <w:sz w:val="21"/>
              </w:rPr>
              <w:t>激光干涉仪测量分辨率不大于</w:t>
            </w:r>
            <w:r>
              <w:rPr>
                <w:sz w:val="21"/>
              </w:rPr>
              <w:t>1nm</w:t>
            </w:r>
            <w:r>
              <w:rPr>
                <w:sz w:val="21"/>
              </w:rPr>
              <w:t>，工作台</w:t>
            </w:r>
            <w:r>
              <w:rPr>
                <w:sz w:val="21"/>
              </w:rPr>
              <w:t>XY方向运动行程不小于150 mm×150 mm</w:t>
            </w:r>
            <w:r>
              <w:rPr>
                <w:sz w:val="21"/>
              </w:rPr>
              <w:t>；</w:t>
            </w:r>
          </w:p>
          <w:p>
            <w:pPr>
              <w:jc w:val="both"/>
            </w:pPr>
            <w:r>
              <w:rPr>
                <w:sz w:val="21"/>
              </w:rPr>
              <w:t>▲</w:t>
            </w:r>
            <w:r>
              <w:rPr>
                <w:sz w:val="21"/>
              </w:rPr>
              <w:t>7、通过精密控制样品台连续运动，实现无写场拼接曝光模式，适合于长线条及周期性结构的曝光；</w:t>
            </w:r>
          </w:p>
          <w:p>
            <w:pPr>
              <w:jc w:val="both"/>
            </w:pPr>
            <w:r>
              <w:rPr>
                <w:sz w:val="21"/>
              </w:rPr>
              <w:t>▲</w:t>
            </w:r>
            <w:r>
              <w:rPr>
                <w:sz w:val="21"/>
              </w:rPr>
              <w:t>8、设备配备自动高度传感器，实现样品表面高度的自动探测和聚焦；</w:t>
            </w:r>
          </w:p>
          <w:p>
            <w:pPr>
              <w:ind w:firstLine="210"/>
              <w:jc w:val="both"/>
            </w:pPr>
            <w:r>
              <w:rPr>
                <w:sz w:val="21"/>
              </w:rPr>
              <w:t>9、设备配备二次电子探测器，可实现对准标记识别、电子束成像的功能；</w:t>
            </w:r>
          </w:p>
          <w:p>
            <w:pPr>
              <w:ind w:firstLine="210"/>
              <w:jc w:val="both"/>
            </w:pPr>
            <w:r>
              <w:rPr>
                <w:sz w:val="21"/>
              </w:rPr>
              <w:t>10、应配备不少于</w:t>
            </w:r>
            <w:r>
              <w:rPr>
                <w:sz w:val="21"/>
              </w:rPr>
              <w:t>6</w:t>
            </w:r>
            <w:r>
              <w:rPr>
                <w:sz w:val="21"/>
              </w:rPr>
              <w:t>个样品架，包括：通用样品架</w:t>
            </w:r>
            <w:r>
              <w:rPr>
                <w:sz w:val="21"/>
              </w:rPr>
              <w:t>1个（适用于散片或</w:t>
            </w:r>
            <w:r>
              <w:rPr>
                <w:sz w:val="21"/>
              </w:rPr>
              <w:t>4英寸及以下的样片）</w:t>
            </w:r>
            <w:r>
              <w:rPr>
                <w:sz w:val="21"/>
              </w:rPr>
              <w:t>，适用于多样品的样品架</w:t>
            </w:r>
            <w:r>
              <w:rPr>
                <w:sz w:val="21"/>
              </w:rPr>
              <w:t>1个， 3英寸晶圆的样品架1个，</w:t>
            </w:r>
            <w:r>
              <w:rPr>
                <w:sz w:val="21"/>
              </w:rPr>
              <w:t>4</w:t>
            </w:r>
            <w:r>
              <w:rPr>
                <w:sz w:val="21"/>
              </w:rPr>
              <w:t>英寸晶圆的样品架</w:t>
            </w:r>
            <w:r>
              <w:rPr>
                <w:sz w:val="21"/>
              </w:rPr>
              <w:t>1个，</w:t>
            </w:r>
            <w:r>
              <w:rPr>
                <w:sz w:val="21"/>
              </w:rPr>
              <w:t>6</w:t>
            </w:r>
            <w:r>
              <w:rPr>
                <w:sz w:val="21"/>
              </w:rPr>
              <w:t>英寸晶圆的样品架</w:t>
            </w:r>
            <w:r>
              <w:rPr>
                <w:sz w:val="21"/>
              </w:rPr>
              <w:t>1个，</w:t>
            </w:r>
            <w:r>
              <w:rPr>
                <w:sz w:val="21"/>
              </w:rPr>
              <w:t>8</w:t>
            </w:r>
            <w:r>
              <w:rPr>
                <w:sz w:val="21"/>
              </w:rPr>
              <w:t>英寸晶圆的样品架</w:t>
            </w:r>
            <w:r>
              <w:rPr>
                <w:sz w:val="21"/>
              </w:rPr>
              <w:t>1个；</w:t>
            </w:r>
          </w:p>
          <w:p>
            <w:pPr>
              <w:jc w:val="both"/>
            </w:pPr>
            <w:r>
              <w:rPr>
                <w:sz w:val="21"/>
              </w:rPr>
              <w:t>▲</w:t>
            </w:r>
            <w:r>
              <w:rPr>
                <w:sz w:val="21"/>
              </w:rPr>
              <w:t>11、配备温度屏蔽罩，实验室温度波动小于±</w:t>
            </w:r>
            <w:r>
              <w:rPr>
                <w:sz w:val="21"/>
              </w:rPr>
              <w:t xml:space="preserve"> 2℃（短时间波动小于± 0.5℃/h）的情况下设备可长时间稳定运行</w:t>
            </w:r>
            <w:r>
              <w:rPr>
                <w:sz w:val="21"/>
              </w:rPr>
              <w:t>；</w:t>
            </w:r>
          </w:p>
          <w:p>
            <w:pPr>
              <w:ind w:firstLine="210"/>
              <w:jc w:val="both"/>
            </w:pPr>
            <w:r>
              <w:rPr>
                <w:sz w:val="21"/>
              </w:rPr>
              <w:t>12、</w:t>
            </w:r>
            <w:r>
              <w:rPr>
                <w:sz w:val="21"/>
              </w:rPr>
              <w:t>系统软件基于</w:t>
            </w:r>
            <w:r>
              <w:rPr>
                <w:sz w:val="21"/>
              </w:rPr>
              <w:t>Windows操作系统，采用界面友好界面，多用户管理的模式，设计人性化，操作简单。无需格式转换，系统即可接受GDSII格式</w:t>
            </w:r>
            <w:r>
              <w:rPr>
                <w:sz w:val="21"/>
              </w:rPr>
              <w:t>；</w:t>
            </w:r>
          </w:p>
          <w:p>
            <w:pPr>
              <w:jc w:val="both"/>
            </w:pPr>
            <w:r>
              <w:rPr>
                <w:sz w:val="21"/>
              </w:rPr>
              <w:t>▲</w:t>
            </w:r>
            <w:r>
              <w:rPr>
                <w:sz w:val="21"/>
              </w:rPr>
              <w:t>13、电子束扫描方式多种多样，如矢量扫描模式、单像素点</w:t>
            </w:r>
            <w:r>
              <w:rPr>
                <w:sz w:val="21"/>
              </w:rPr>
              <w:t>/线扫描模式、无需对圆或环进行分割的圆形扫描模式等，用户可根据实际需要灵活选择</w:t>
            </w:r>
            <w:r>
              <w:rPr>
                <w:sz w:val="21"/>
              </w:rPr>
              <w:t>；</w:t>
            </w:r>
          </w:p>
          <w:p>
            <w:pPr>
              <w:jc w:val="both"/>
            </w:pPr>
            <w:r>
              <w:rPr>
                <w:sz w:val="21"/>
              </w:rPr>
              <w:t>▲</w:t>
            </w:r>
            <w:r>
              <w:rPr>
                <w:sz w:val="21"/>
              </w:rPr>
              <w:t>14、配备专业的邻近效应修正软件</w:t>
            </w:r>
            <w:r>
              <w:rPr>
                <w:sz w:val="21"/>
              </w:rPr>
              <w:t>, 用于修正电子束曝光过程中的邻近效应</w:t>
            </w:r>
            <w:r>
              <w:rPr>
                <w:sz w:val="21"/>
              </w:rPr>
              <w:t>；</w:t>
            </w:r>
          </w:p>
          <w:p>
            <w:pPr>
              <w:jc w:val="both"/>
            </w:pPr>
            <w:r>
              <w:rPr>
                <w:sz w:val="21"/>
              </w:rPr>
              <w:t>▲</w:t>
            </w:r>
            <w:r>
              <w:rPr>
                <w:sz w:val="21"/>
              </w:rPr>
              <w:t>15、束流稳定性</w:t>
            </w:r>
            <w:r>
              <w:rPr>
                <w:sz w:val="21"/>
              </w:rPr>
              <w:t>: &lt; ±0.2%/h</w:t>
            </w:r>
            <w:r>
              <w:rPr>
                <w:sz w:val="21"/>
              </w:rPr>
              <w:t>；</w:t>
            </w:r>
          </w:p>
          <w:p>
            <w:pPr>
              <w:jc w:val="both"/>
            </w:pPr>
            <w:r>
              <w:rPr>
                <w:sz w:val="21"/>
              </w:rPr>
              <w:t>▲</w:t>
            </w:r>
            <w:r>
              <w:rPr>
                <w:sz w:val="21"/>
              </w:rPr>
              <w:t>16、</w:t>
            </w:r>
            <w:r>
              <w:rPr>
                <w:sz w:val="21"/>
              </w:rPr>
              <w:t>束位置稳定性</w:t>
            </w:r>
            <w:r>
              <w:rPr>
                <w:sz w:val="21"/>
              </w:rPr>
              <w:t>: &lt; 250nm/8h</w:t>
            </w:r>
            <w:r>
              <w:rPr>
                <w:sz w:val="21"/>
              </w:rPr>
              <w:t>；</w:t>
            </w:r>
          </w:p>
          <w:p>
            <w:pPr>
              <w:ind w:firstLine="210"/>
              <w:jc w:val="both"/>
            </w:pPr>
            <w:r>
              <w:rPr>
                <w:sz w:val="21"/>
              </w:rPr>
              <w:t>17、</w:t>
            </w:r>
            <w:r>
              <w:rPr>
                <w:sz w:val="21"/>
              </w:rPr>
              <w:t>分辨率验收指标</w:t>
            </w:r>
            <w:r>
              <w:rPr>
                <w:sz w:val="21"/>
              </w:rPr>
              <w:t>:</w:t>
            </w:r>
            <w:r>
              <w:rPr>
                <w:sz w:val="21"/>
              </w:rPr>
              <w:t>最小线宽验收</w:t>
            </w:r>
            <w:r>
              <w:rPr>
                <w:sz w:val="21"/>
              </w:rPr>
              <w:t>: ≤ 50nm</w:t>
            </w:r>
            <w:r>
              <w:rPr>
                <w:sz w:val="21"/>
              </w:rPr>
              <w:t>；</w:t>
            </w:r>
          </w:p>
          <w:p>
            <w:pPr>
              <w:jc w:val="both"/>
            </w:pPr>
            <w:r>
              <w:rPr>
                <w:sz w:val="21"/>
              </w:rPr>
              <w:t>▲</w:t>
            </w:r>
            <w:r>
              <w:rPr>
                <w:sz w:val="21"/>
              </w:rPr>
              <w:t>18、光栅高速曝光速度满足：</w:t>
            </w:r>
            <w:r>
              <w:rPr>
                <w:sz w:val="21"/>
              </w:rPr>
              <w:t>1cm</w:t>
            </w:r>
            <w:r>
              <w:rPr>
                <w:sz w:val="21"/>
                <w:vertAlign w:val="superscript"/>
              </w:rPr>
              <w:t>2</w:t>
            </w:r>
            <w:r>
              <w:rPr>
                <w:sz w:val="21"/>
              </w:rPr>
              <w:t>光栅，</w:t>
            </w:r>
            <w:r>
              <w:rPr>
                <w:sz w:val="21"/>
              </w:rPr>
              <w:t>200nm线宽，400nm周期，曝光速度≤ 120 min</w:t>
            </w:r>
          </w:p>
          <w:p>
            <w:pPr>
              <w:jc w:val="both"/>
            </w:pPr>
            <w:r>
              <w:rPr>
                <w:sz w:val="21"/>
              </w:rPr>
              <w:t>▲</w:t>
            </w:r>
            <w:r>
              <w:rPr>
                <w:sz w:val="21"/>
              </w:rPr>
              <w:t>19、拼接精度:</w:t>
            </w:r>
          </w:p>
          <w:p>
            <w:pPr>
              <w:ind w:firstLine="420"/>
              <w:jc w:val="both"/>
            </w:pPr>
            <w:r>
              <w:rPr>
                <w:sz w:val="21"/>
              </w:rPr>
              <w:t>500μm写场下，≤50nm (|mean| + 3 sigma)；</w:t>
            </w:r>
          </w:p>
          <w:p>
            <w:pPr>
              <w:ind w:firstLine="420"/>
              <w:jc w:val="both"/>
            </w:pPr>
            <w:r>
              <w:rPr>
                <w:sz w:val="21"/>
              </w:rPr>
              <w:t>1000μm写场下, ≤100nm(|mean| + 3 sigma)。</w:t>
            </w:r>
          </w:p>
          <w:p>
            <w:pPr>
              <w:jc w:val="both"/>
            </w:pPr>
            <w:r>
              <w:rPr>
                <w:sz w:val="21"/>
              </w:rPr>
              <w:t>▲</w:t>
            </w:r>
            <w:r>
              <w:rPr>
                <w:sz w:val="21"/>
              </w:rPr>
              <w:t>20、套刻精度:</w:t>
            </w:r>
          </w:p>
          <w:p>
            <w:pPr>
              <w:ind w:firstLine="420"/>
              <w:jc w:val="both"/>
            </w:pPr>
            <w:r>
              <w:rPr>
                <w:sz w:val="21"/>
              </w:rPr>
              <w:t>500μm写场下，≤40nm (|mean| + 3 sigma)；</w:t>
            </w:r>
          </w:p>
          <w:p>
            <w:pPr>
              <w:ind w:firstLine="420"/>
              <w:jc w:val="both"/>
            </w:pPr>
            <w:r>
              <w:rPr>
                <w:sz w:val="21"/>
              </w:rPr>
              <w:t>1000μm写场下，≤80nm (|mean| + 3 sigma)。</w:t>
            </w:r>
          </w:p>
          <w:p>
            <w:pPr>
              <w:ind w:firstLine="210"/>
              <w:jc w:val="both"/>
            </w:pPr>
            <w:r>
              <w:rPr>
                <w:sz w:val="21"/>
              </w:rPr>
              <w:t>21、自动高度</w:t>
            </w:r>
            <w:r>
              <w:rPr>
                <w:sz w:val="21"/>
              </w:rPr>
              <w:t>探测重复性</w:t>
            </w:r>
            <w:r>
              <w:rPr>
                <w:sz w:val="21"/>
              </w:rPr>
              <w:t>≤1um</w:t>
            </w:r>
            <w:r>
              <w:rPr>
                <w:sz w:val="21"/>
              </w:rPr>
              <w:t>；</w:t>
            </w:r>
          </w:p>
          <w:p>
            <w:pPr>
              <w:jc w:val="both"/>
            </w:pPr>
            <w:r>
              <w:rPr>
                <w:sz w:val="21"/>
              </w:rPr>
              <w:t>▲</w:t>
            </w:r>
            <w:r>
              <w:rPr>
                <w:sz w:val="21"/>
              </w:rPr>
              <w:t>22、配置需满足（包括但不限于）：</w:t>
            </w:r>
          </w:p>
          <w:p>
            <w:pPr>
              <w:ind w:firstLine="420"/>
              <w:jc w:val="left"/>
            </w:pPr>
            <w:r>
              <w:rPr>
                <w:sz w:val="21"/>
              </w:rPr>
              <w:t>大面积高精度电子束曝光系统主机</w:t>
            </w:r>
            <w:r>
              <w:rPr>
                <w:sz w:val="21"/>
              </w:rPr>
              <w:t>1套；</w:t>
            </w:r>
          </w:p>
          <w:p>
            <w:pPr>
              <w:ind w:firstLine="420"/>
              <w:jc w:val="left"/>
            </w:pPr>
            <w:r>
              <w:rPr>
                <w:sz w:val="21"/>
              </w:rPr>
              <w:t>无拼接长尺寸图形加工功能</w:t>
            </w:r>
            <w:r>
              <w:rPr>
                <w:sz w:val="21"/>
              </w:rPr>
              <w:t>1套；</w:t>
            </w:r>
          </w:p>
          <w:p>
            <w:pPr>
              <w:ind w:firstLine="420"/>
              <w:jc w:val="left"/>
            </w:pPr>
            <w:r>
              <w:rPr>
                <w:sz w:val="21"/>
              </w:rPr>
              <w:t>无拼接周期图形加工功能</w:t>
            </w:r>
            <w:r>
              <w:rPr>
                <w:sz w:val="21"/>
              </w:rPr>
              <w:t>1套；</w:t>
            </w:r>
          </w:p>
          <w:p>
            <w:pPr>
              <w:ind w:firstLine="420"/>
              <w:jc w:val="left"/>
            </w:pPr>
            <w:r>
              <w:rPr>
                <w:sz w:val="21"/>
              </w:rPr>
              <w:t>旋转倾斜模块</w:t>
            </w:r>
            <w:r>
              <w:rPr>
                <w:sz w:val="21"/>
              </w:rPr>
              <w:t>1套；</w:t>
            </w:r>
          </w:p>
          <w:p>
            <w:pPr>
              <w:ind w:firstLine="420"/>
              <w:jc w:val="left"/>
            </w:pPr>
            <w:r>
              <w:rPr>
                <w:sz w:val="21"/>
              </w:rPr>
              <w:t>自动高度传感器</w:t>
            </w:r>
            <w:r>
              <w:rPr>
                <w:sz w:val="21"/>
              </w:rPr>
              <w:t>1套；</w:t>
            </w:r>
          </w:p>
          <w:p>
            <w:pPr>
              <w:ind w:firstLine="420"/>
              <w:jc w:val="left"/>
            </w:pPr>
            <w:r>
              <w:rPr>
                <w:sz w:val="21"/>
              </w:rPr>
              <w:t>20bit升级 1套；</w:t>
            </w:r>
          </w:p>
          <w:p>
            <w:pPr>
              <w:ind w:firstLine="420"/>
              <w:jc w:val="left"/>
            </w:pPr>
            <w:r>
              <w:rPr>
                <w:sz w:val="21"/>
              </w:rPr>
              <w:t>自动化多样品加工软件包</w:t>
            </w:r>
            <w:r>
              <w:rPr>
                <w:sz w:val="21"/>
              </w:rPr>
              <w:t>1套；</w:t>
            </w:r>
          </w:p>
          <w:p>
            <w:pPr>
              <w:ind w:firstLine="420"/>
              <w:jc w:val="left"/>
            </w:pPr>
            <w:r>
              <w:rPr>
                <w:sz w:val="21"/>
              </w:rPr>
              <w:t>基于算法的模式生成软件功能</w:t>
            </w:r>
            <w:r>
              <w:rPr>
                <w:sz w:val="21"/>
              </w:rPr>
              <w:t>1套；</w:t>
            </w:r>
          </w:p>
          <w:p>
            <w:pPr>
              <w:ind w:firstLine="420"/>
              <w:jc w:val="left"/>
            </w:pPr>
            <w:r>
              <w:rPr>
                <w:sz w:val="21"/>
              </w:rPr>
              <w:t>适用于多样品的样品架</w:t>
            </w:r>
            <w:r>
              <w:rPr>
                <w:sz w:val="21"/>
              </w:rPr>
              <w:t>1套；</w:t>
            </w:r>
          </w:p>
          <w:p>
            <w:pPr>
              <w:ind w:firstLine="420"/>
              <w:jc w:val="left"/>
            </w:pPr>
            <w:r>
              <w:rPr>
                <w:sz w:val="21"/>
              </w:rPr>
              <w:t>3寸晶圆样品架 1套；</w:t>
            </w:r>
          </w:p>
          <w:p>
            <w:pPr>
              <w:ind w:firstLine="420"/>
              <w:jc w:val="left"/>
            </w:pPr>
            <w:r>
              <w:rPr>
                <w:sz w:val="21"/>
              </w:rPr>
              <w:t>4寸晶圆样品架 1套；</w:t>
            </w:r>
          </w:p>
          <w:p>
            <w:pPr>
              <w:ind w:firstLine="420"/>
              <w:jc w:val="left"/>
            </w:pPr>
            <w:r>
              <w:rPr>
                <w:sz w:val="21"/>
              </w:rPr>
              <w:t>6寸晶圆样品架 1套；</w:t>
            </w:r>
          </w:p>
          <w:p>
            <w:pPr>
              <w:ind w:firstLine="420"/>
              <w:jc w:val="left"/>
            </w:pPr>
            <w:r>
              <w:rPr>
                <w:sz w:val="21"/>
              </w:rPr>
              <w:t>8寸晶圆样品架 1套；</w:t>
            </w:r>
          </w:p>
          <w:p>
            <w:pPr>
              <w:ind w:firstLine="420"/>
              <w:jc w:val="left"/>
            </w:pPr>
            <w:r>
              <w:rPr>
                <w:sz w:val="21"/>
              </w:rPr>
              <w:t>曝光软件离线授权</w:t>
            </w:r>
            <w:r>
              <w:rPr>
                <w:sz w:val="21"/>
              </w:rPr>
              <w:t>2套；</w:t>
            </w:r>
          </w:p>
          <w:p>
            <w:pPr>
              <w:ind w:firstLine="420"/>
              <w:jc w:val="left"/>
            </w:pPr>
            <w:r>
              <w:rPr>
                <w:sz w:val="21"/>
              </w:rPr>
              <w:t>不间断稳压电源</w:t>
            </w:r>
            <w:r>
              <w:rPr>
                <w:sz w:val="21"/>
              </w:rPr>
              <w:t>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广东省科学院半导体研究所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标准下浮20%收取。招标代理服务费由中标人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钟平、苏启立</w:t>
      </w:r>
    </w:p>
    <w:p>
      <w:pPr>
        <w:ind w:firstLine="480"/>
      </w:pPr>
      <w:r>
        <w:rPr/>
        <w:t>电话：</w:t>
      </w:r>
      <w:r>
        <w:rPr/>
        <w:t>020-38364802、020-87687651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采购包1(电子束曝光系统)：综合评分法,是指投标文件满足招标文件全部实质性要求，且按照评审因素的量化指标评审得分最高的投标人为中标候选人的评标方法。（最低报价不是中标的唯一依据。）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采购包1（电子束曝光系统）：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采购包1（电子束曝光系统）：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采购包1（电子束曝光系统）：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采购包1(电子束曝光系统):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技术标准与要求响应程度 (30.0分)</w:t>
            </w:r>
          </w:p>
        </w:tc>
        <w:tc>
          <w:tcPr>
            <w:tcW w:type="dxa" w:w="5076"/>
          </w:tcPr>
          <w:p>
            <w:pPr>
              <w:jc w:val="left"/>
            </w:pPr>
            <w:r>
              <w:rPr/>
              <w:t>（1）具体技术(参数)要求中：“▲”号条款为重要技术参数（共13项），完全满足或有优于得26分，每有一项不满足（负偏离）扣2分；  （2）具体技术(参数)要求中：一般技术参数（非“▲”号、非“★”号条款），完全满足或有优于得4分。如有1-2项负偏离得3分，如有3-4项负偏离得2分，如有5-6项负偏离得1分，如有7项或以上负偏离得0分。  注：对于带“▲”条款，投标人须提供所投设备彩页（如生产厂家的彩页为英文版，请同时提供中文版，同时在产品彩页上标记与招标文件对应点的技术条款），或经生产厂家盖章的技术条款证明文件。如以上资料与响应表的文字描述不一致，则以制造商或总代理盖章的设备详细配置清单、详细技术参数的资料或产品的标配说明书为准。</w:t>
            </w:r>
          </w:p>
        </w:tc>
      </w:tr>
      <w:tr>
        <w:tc>
          <w:tcPr>
            <w:tcW w:type="dxa" w:w="922"/>
            <w:gridSpan w:val="2"/>
            <w:vMerge/>
          </w:tcPr>
          <w:p/>
        </w:tc>
        <w:tc>
          <w:tcPr>
            <w:tcW w:type="dxa" w:w="2307"/>
          </w:tcPr>
          <w:p>
            <w:pPr>
              <w:jc w:val="left"/>
            </w:pPr>
            <w:r>
              <w:rPr/>
              <w:t>质量保障措施方案1 (1.5分)</w:t>
            </w:r>
          </w:p>
        </w:tc>
        <w:tc>
          <w:tcPr>
            <w:tcW w:type="dxa" w:w="5076"/>
          </w:tcPr>
          <w:p>
            <w:pPr>
              <w:jc w:val="left"/>
            </w:pPr>
            <w:r>
              <w:rPr/>
              <w:t>评标委员会根据投标人提供的质量保障措施方案进行评审，方案应包括以下环节（投标文件中方案标题应以下列方案名称命名）： (1)货物来源； (2)货物质量控制； (3)货物稳定性； 提供全部内容 得1.5分，每缺1项扣0.5分。</w:t>
            </w:r>
          </w:p>
        </w:tc>
      </w:tr>
      <w:tr>
        <w:tc>
          <w:tcPr>
            <w:tcW w:type="dxa" w:w="922"/>
            <w:gridSpan w:val="2"/>
            <w:vMerge/>
          </w:tcPr>
          <w:p/>
        </w:tc>
        <w:tc>
          <w:tcPr>
            <w:tcW w:type="dxa" w:w="2307"/>
          </w:tcPr>
          <w:p>
            <w:pPr>
              <w:jc w:val="left"/>
            </w:pPr>
            <w:r>
              <w:rPr/>
              <w:t>质量保障措施方案2 (5.0分)</w:t>
            </w:r>
          </w:p>
        </w:tc>
        <w:tc>
          <w:tcPr>
            <w:tcW w:type="dxa" w:w="5076"/>
          </w:tcPr>
          <w:p>
            <w:pPr>
              <w:jc w:val="left"/>
            </w:pPr>
            <w:r>
              <w:rPr/>
              <w:t>评标委员会根据投标人提供的项目质量保障措施方案详细内容进行综合评审： （1）质量保障措施对需求响应全面具体、针对项目全部重点难点全面剖析，能针对全部重点难点提出科学合理、可直接执行的实施方案，有效保障本项目实施，有利于实现服务效果，得5分； （2）质量保障措施对需求响应全面具体，针对部分重点难点进剖析，并提出具备执行条件的针对措施，基本保障本项目服务实施，基本满足服务效果，得3分；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交货、安装方案1 (2.0分)</w:t>
            </w:r>
          </w:p>
        </w:tc>
        <w:tc>
          <w:tcPr>
            <w:tcW w:type="dxa" w:w="5076"/>
          </w:tcPr>
          <w:p>
            <w:pPr>
              <w:jc w:val="left"/>
            </w:pPr>
            <w:r>
              <w:rPr/>
              <w:t>评标委员会根据投标人提供的交货、安装方案进行评价，方案应包括（投标文件中方案标题应以下列方案名称命名）： (1)供货方案； (2)安装方案； (3)调试方法； (4)调试效果。 提供全部内容得2分，每缺1项扣0.5分。</w:t>
            </w:r>
          </w:p>
        </w:tc>
      </w:tr>
      <w:tr>
        <w:tc>
          <w:tcPr>
            <w:tcW w:type="dxa" w:w="922"/>
            <w:gridSpan w:val="2"/>
            <w:vMerge/>
          </w:tcPr>
          <w:p/>
        </w:tc>
        <w:tc>
          <w:tcPr>
            <w:tcW w:type="dxa" w:w="2307"/>
          </w:tcPr>
          <w:p>
            <w:pPr>
              <w:jc w:val="left"/>
            </w:pPr>
            <w:r>
              <w:rPr/>
              <w:t>交货、安装方案2 (4.0分)</w:t>
            </w:r>
          </w:p>
        </w:tc>
        <w:tc>
          <w:tcPr>
            <w:tcW w:type="dxa" w:w="5076"/>
          </w:tcPr>
          <w:p>
            <w:pPr>
              <w:jc w:val="left"/>
            </w:pPr>
            <w:r>
              <w:rPr/>
              <w:t>根据各投标人提供的交货、安装方案详细内容进行评审：  （1）针对本项目交货、安装与调试方案详细具体，科学合理，有利于项目实施，得4分；  （2）针对本项目交货、安装与调试方案描述简单，但有一定的合理性和可行性，基本满足项目实施要求，得2分；   （3）针对本项目交货、安装与调试方案合理性和可行性低，不能完全满足项目实施要求，得1分。  注：未提供方案的不得分。</w:t>
            </w:r>
          </w:p>
        </w:tc>
      </w:tr>
      <w:tr>
        <w:tc>
          <w:tcPr>
            <w:tcW w:type="dxa" w:w="922"/>
            <w:gridSpan w:val="2"/>
            <w:vMerge/>
          </w:tcPr>
          <w:p/>
        </w:tc>
        <w:tc>
          <w:tcPr>
            <w:tcW w:type="dxa" w:w="2307"/>
          </w:tcPr>
          <w:p>
            <w:pPr>
              <w:jc w:val="left"/>
            </w:pPr>
            <w:r>
              <w:rPr/>
              <w:t>培训方案1 (2.0分)</w:t>
            </w:r>
          </w:p>
        </w:tc>
        <w:tc>
          <w:tcPr>
            <w:tcW w:type="dxa" w:w="5076"/>
          </w:tcPr>
          <w:p>
            <w:pPr>
              <w:jc w:val="left"/>
            </w:pPr>
            <w:r>
              <w:rPr/>
              <w:t>评标委员会根据投标人提供的培训方案进行评价，方案应包括（投标文件中方案标题应以下列方案名称命名）： (1)培训时间和地点； (2)培训人数及培训方式； (3)培训内容； (4)培训达到的效果。 提供全部内容得2.0分，每缺1项扣0.5分。</w:t>
            </w:r>
          </w:p>
        </w:tc>
      </w:tr>
      <w:tr>
        <w:tc>
          <w:tcPr>
            <w:tcW w:type="dxa" w:w="922"/>
            <w:gridSpan w:val="2"/>
            <w:vMerge/>
          </w:tcPr>
          <w:p/>
        </w:tc>
        <w:tc>
          <w:tcPr>
            <w:tcW w:type="dxa" w:w="2307"/>
          </w:tcPr>
          <w:p>
            <w:pPr>
              <w:jc w:val="left"/>
            </w:pPr>
            <w:r>
              <w:rPr/>
              <w:t>培训方案2 (4.0分)</w:t>
            </w:r>
          </w:p>
        </w:tc>
        <w:tc>
          <w:tcPr>
            <w:tcW w:type="dxa" w:w="5076"/>
          </w:tcPr>
          <w:p>
            <w:pPr>
              <w:jc w:val="left"/>
            </w:pPr>
            <w:r>
              <w:rPr/>
              <w:t>根据投标人为采购人提供的相关技能培训方案的详细内容进行评审： （1）针对本项目培训方案详细具体，科学合理，能完全满足采购需求的，得4分；  （2）针对本项目培训方案描述简单，但有一定的合理性和可行性，基本满足采购需求的，得2分；   （3）针对本项目售后服务方案合理性和可行低，不能满足采购需求的，得1分。  注：未提供方案的不得分。</w:t>
            </w:r>
          </w:p>
        </w:tc>
      </w:tr>
      <w:tr>
        <w:tc>
          <w:tcPr>
            <w:tcW w:type="dxa" w:w="922"/>
            <w:gridSpan w:val="2"/>
            <w:vMerge/>
          </w:tcPr>
          <w:p/>
        </w:tc>
        <w:tc>
          <w:tcPr>
            <w:tcW w:type="dxa" w:w="2307"/>
          </w:tcPr>
          <w:p>
            <w:pPr>
              <w:jc w:val="left"/>
            </w:pPr>
            <w:r>
              <w:rPr/>
              <w:t>售后服务方案1 (2.5分)</w:t>
            </w:r>
          </w:p>
        </w:tc>
        <w:tc>
          <w:tcPr>
            <w:tcW w:type="dxa" w:w="5076"/>
          </w:tcPr>
          <w:p>
            <w:pPr>
              <w:jc w:val="left"/>
            </w:pPr>
            <w:r>
              <w:rPr/>
              <w:t>评标委员会根据投标人提供的售后服务方案进行评价，方案应包括（投标文件中方案标题应以下列方案名称命名）： (1)生产企业的技术支持和售后服务响应时间承诺； (2)保修期； (3)备品备件更换及价格； (4)日常维护保养及定期保养； (5)应急维修时间。 提供全部内容得2.5分，每缺1项扣0.5分。</w:t>
            </w:r>
          </w:p>
        </w:tc>
      </w:tr>
      <w:tr>
        <w:tc>
          <w:tcPr>
            <w:tcW w:type="dxa" w:w="922"/>
            <w:gridSpan w:val="2"/>
            <w:vMerge/>
          </w:tcPr>
          <w:p/>
        </w:tc>
        <w:tc>
          <w:tcPr>
            <w:tcW w:type="dxa" w:w="2307"/>
          </w:tcPr>
          <w:p>
            <w:pPr>
              <w:jc w:val="left"/>
            </w:pPr>
            <w:r>
              <w:rPr/>
              <w:t>售后服务方案2 (4.0分)</w:t>
            </w:r>
          </w:p>
        </w:tc>
        <w:tc>
          <w:tcPr>
            <w:tcW w:type="dxa" w:w="5076"/>
          </w:tcPr>
          <w:p>
            <w:pPr>
              <w:jc w:val="left"/>
            </w:pPr>
            <w:r>
              <w:rPr/>
              <w:t>根据各投标人提供的售后服务方案详细内容进行评审：  （1）针对本项目售后服务方案详细具体，科学合理，有利于项目实施，得4分；  （2）针对本项目售后服务方案描述简单，但有一定的合理性和可行性，基本满足项目实施要求，得2分；   （3）针对本项目售后服务方案合理性和可行低，不能完全满足项目实施要求，得1分。  注：未提供方案的不得分。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根据投标人自2020年1月1日至今承接的同类项目业绩情况进行评审，每提供一个得2分，满分为8分。 注：需提供合同复印件，以合同签订时间为准，不提供或专家无法认定的不得分。</w:t>
            </w:r>
          </w:p>
        </w:tc>
      </w:tr>
      <w:tr>
        <w:tc>
          <w:tcPr>
            <w:tcW w:type="dxa" w:w="922"/>
            <w:gridSpan w:val="2"/>
            <w:vMerge/>
          </w:tcPr>
          <w:p/>
        </w:tc>
        <w:tc>
          <w:tcPr>
            <w:tcW w:type="dxa" w:w="2307"/>
          </w:tcPr>
          <w:p>
            <w:pPr>
              <w:jc w:val="left"/>
            </w:pPr>
            <w:r>
              <w:rPr/>
              <w:t>产品使用用户评价 (4.0分)</w:t>
            </w:r>
          </w:p>
        </w:tc>
        <w:tc>
          <w:tcPr>
            <w:tcW w:type="dxa" w:w="5076"/>
          </w:tcPr>
          <w:p>
            <w:pPr>
              <w:jc w:val="left"/>
            </w:pPr>
            <w:r>
              <w:rPr/>
              <w:t>投标人每提供一个“同类项目业绩”对应客户的评价为良好或以上（或其他等同意义评价）的得1分，最高得4分。 注：需提供评价证明材料，没有提供证明材料或专家无法认定的不得分，同一用户多份评价，不重复计分。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投标人具有有效的质量理体系认证、环境管理体系认证、职业健康安全管理体系认证证书的，每一项得1分，最高得3分。 注：需提供有效期内的证书复印件，没有提供证明材料或专家无法认定的不得分。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t xml:space="preserve"> </w:t>
      </w:r>
    </w:p>
    <w:p>
      <w:pPr>
        <w:ind w:firstLine="211"/>
        <w:jc w:val="left"/>
      </w:pPr>
      <w:r>
        <w:rPr/>
        <w:t xml:space="preserve"> </w:t>
      </w:r>
    </w:p>
    <w:p>
      <w:pPr>
        <w:ind w:firstLine="211"/>
        <w:jc w:val="left"/>
      </w:pPr>
    </w:p>
    <w:p>
      <w:pPr>
        <w:ind w:firstLine="420"/>
        <w:jc w:val="both"/>
      </w:pPr>
    </w:p>
    <w:p>
      <w:pPr>
        <w:jc w:val="left"/>
      </w:pPr>
      <w:r>
        <w:rPr>
          <w:b/>
          <w:sz w:val="30"/>
        </w:rPr>
        <w:t>合同格式一（适用于中华人民共和国关境内提供的货物和服务）</w:t>
      </w:r>
    </w:p>
    <w:p>
      <w:pPr>
        <w:jc w:val="left"/>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广东省科学院半导体研究所电子束曝光系统设备采购项目</w:t>
      </w:r>
      <w:r>
        <w:rPr>
          <w:sz w:val="21"/>
        </w:rPr>
        <w:t>招标文件（项目编号：</w:t>
      </w:r>
      <w:r>
        <w:rPr>
          <w:sz w:val="21"/>
        </w:rPr>
        <w:t>GZGK23P253A0836Z）的要求，经双方协商，本着平等互利和诚实信用的原则，一致同意签订本合同。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合同总额包括货款、设计、安装、随机零配件、标配工具（不含耗材）、运输保险、调试、培训、质量保证期服务、各项税费及合同实施过程中不可预见费用等。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年，自甲乙双方代表在货物安装调试验收后的验收书上签字之日起或</w:t>
      </w:r>
      <w:r>
        <w:rPr>
          <w:sz w:val="21"/>
        </w:rPr>
        <w:t>自货到之日起</w:t>
      </w:r>
      <w:r>
        <w:rPr>
          <w:sz w:val="21"/>
        </w:rPr>
        <w:t>15个</w:t>
      </w:r>
      <w:r>
        <w:rPr>
          <w:sz w:val="21"/>
        </w:rPr>
        <w:t>月</w:t>
      </w:r>
      <w:r>
        <w:rPr>
          <w:sz w:val="21"/>
        </w:rPr>
        <w:t>计算，两者先</w:t>
      </w:r>
      <w:r>
        <w:rPr>
          <w:sz w:val="21"/>
        </w:rPr>
        <w:t>到者为质量保证期开始计算依据</w:t>
      </w:r>
      <w:r>
        <w:rPr>
          <w:sz w:val="21"/>
        </w:rPr>
        <w:t>。质量保证期内乙方对所供货物实行包修、包换、包退、包维护保养，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color w:val="000000"/>
          <w:sz w:val="21"/>
        </w:rPr>
        <w:t>6、</w:t>
      </w:r>
      <w:r>
        <w:rPr>
          <w:color w:val="000000"/>
          <w:sz w:val="21"/>
        </w:rPr>
        <w:t>质量保证期内，除法定节假日之外，一旦发生质量问题，乙方在接到通知</w:t>
      </w:r>
      <w:r>
        <w:rPr>
          <w:sz w:val="21"/>
          <w:u w:val="single"/>
        </w:rPr>
        <w:t xml:space="preserve">    </w:t>
      </w:r>
      <w:r>
        <w:rPr>
          <w:color w:val="000000"/>
          <w:sz w:val="21"/>
        </w:rPr>
        <w:t>小时内响应（通过电话或邮件），如无法远程排除故障，须在合理的情况下（特别是必要的备件已经到达用户现场的情况下），</w:t>
      </w:r>
      <w:r>
        <w:rPr>
          <w:sz w:val="21"/>
          <w:u w:val="single"/>
        </w:rPr>
        <w:t xml:space="preserve">    </w:t>
      </w:r>
      <w:r>
        <w:rPr>
          <w:color w:val="000000"/>
          <w:sz w:val="21"/>
        </w:rPr>
        <w:t>个工作日内须赶到现场进行修理或更换。</w:t>
      </w:r>
    </w:p>
    <w:p>
      <w:pPr>
        <w:jc w:val="both"/>
      </w:pPr>
      <w:r>
        <w:rPr>
          <w:sz w:val="21"/>
        </w:rPr>
        <w:t>7、</w:t>
      </w:r>
      <w:r>
        <w:rPr>
          <w:color w:val="000000"/>
          <w:sz w:val="21"/>
        </w:rPr>
        <w:t>设备质保期内因设备自身原因出现故障的，乙方须负责免费维修、免费更换零部件（不包含易损件）。故障情况特别严重造成重大损失的，双方协商解决（费用包含在报价内）</w:t>
      </w:r>
      <w:r>
        <w:rPr>
          <w:sz w:val="21"/>
        </w:rPr>
        <w:t>。</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3</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p>
            <w:pPr>
              <w:jc w:val="both"/>
            </w:pPr>
            <w:r>
              <w:rPr>
                <w:sz w:val="19"/>
              </w:rPr>
              <w:t xml:space="preserve"> </w:t>
            </w:r>
          </w:p>
          <w:p>
            <w:pPr>
              <w:jc w:val="both"/>
            </w:pPr>
            <w:r>
              <w:rPr>
                <w:sz w:val="19"/>
              </w:rPr>
              <w:t xml:space="preserve"> </w:t>
            </w:r>
          </w:p>
        </w:tc>
      </w:tr>
    </w:tbl>
    <w:p>
      <w:pPr>
        <w:jc w:val="both"/>
      </w:pPr>
    </w:p>
    <w:p>
      <w:pPr>
        <w:jc w:val="left"/>
      </w:pPr>
      <w:r>
        <w:rPr>
          <w:b/>
          <w:sz w:val="30"/>
        </w:rPr>
        <w:t>合同格式二（适用于中华人民共和国关境外提供的货物和服务）</w:t>
      </w:r>
    </w:p>
    <w:p>
      <w:pPr>
        <w:jc w:val="center"/>
      </w:pPr>
      <w:r>
        <w:rPr/>
        <w:t xml:space="preserve"> </w:t>
      </w:r>
    </w:p>
    <w:p>
      <w:pPr>
        <w:jc w:val="center"/>
      </w:pPr>
      <w:r>
        <w:rPr>
          <w:b/>
          <w:color w:val="000000"/>
          <w:sz w:val="28"/>
        </w:rPr>
        <w:t>采购合同</w:t>
      </w: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广东省科学院半导体研究所电子束曝光系统设备采购项目</w:t>
      </w:r>
      <w:r>
        <w:rPr>
          <w:sz w:val="21"/>
        </w:rPr>
        <w:t>招标文件（项目编号：</w:t>
      </w:r>
      <w:r>
        <w:rPr>
          <w:sz w:val="21"/>
        </w:rPr>
        <w:t>GZGK23P253A0836Z）的要求</w:t>
      </w:r>
      <w:r>
        <w:rPr>
          <w:color w:val="000000"/>
          <w:sz w:val="21"/>
        </w:rPr>
        <w:t>，经三方协商，本着平等互利和诚实信用的原则，一致同意签订本合同。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sz w:val="21"/>
              </w:rPr>
              <w:t>海关免税总金额（</w:t>
            </w:r>
            <w:r>
              <w:rPr>
                <w:sz w:val="21"/>
              </w:rPr>
              <w:t>）</w:t>
            </w:r>
            <w:r>
              <w:rPr>
                <w:sz w:val="21"/>
              </w:rPr>
              <w:t>:(</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w:t>
            </w:r>
            <w:r>
              <w:rPr>
                <w:sz w:val="21"/>
              </w:rPr>
              <w:t>RMB: (¥)</w:t>
            </w:r>
            <w:r>
              <w:rPr>
                <w:sz w:val="21"/>
                <w:u w:val="single"/>
              </w:rPr>
              <w:t xml:space="preserve">          </w:t>
            </w:r>
            <w:r>
              <w:rPr>
                <w:sz w:val="21"/>
              </w:rPr>
              <w:t>人民币</w:t>
            </w:r>
            <w:r>
              <w:rPr>
                <w:sz w:val="21"/>
                <w:u w:val="single"/>
              </w:rPr>
              <w:t xml:space="preserve">                    </w:t>
            </w:r>
            <w:r>
              <w:rPr>
                <w:sz w:val="21"/>
              </w:rPr>
              <w:t>(汇差由乙方承担)</w:t>
            </w:r>
          </w:p>
        </w:tc>
      </w:tr>
    </w:tbl>
    <w:p>
      <w:pPr>
        <w:jc w:val="both"/>
      </w:pPr>
      <w:r>
        <w:rPr>
          <w:b/>
          <w:color w:val="000000"/>
          <w:sz w:val="21"/>
        </w:rPr>
        <w:t>注：货物名称内容必须与投标文件中货物名称内容一致。</w:t>
      </w:r>
    </w:p>
    <w:p>
      <w:pPr>
        <w:jc w:val="both"/>
      </w:pPr>
      <w:r>
        <w:rPr>
          <w:sz w:val="21"/>
        </w:rPr>
        <w:t>1、</w:t>
      </w:r>
      <w:r>
        <w:rPr>
          <w:color w:val="000000"/>
          <w:sz w:val="21"/>
        </w:rPr>
        <w:t>价格总价为指定交货地点的交货价。包括：</w:t>
      </w:r>
      <w:r>
        <w:rPr>
          <w:color w:val="000000"/>
          <w:sz w:val="21"/>
        </w:rPr>
        <w:t>DAP采购人指定地点和其他伴随服务费用。其他伴随服务费用包括但不限于以下费用：</w:t>
      </w:r>
    </w:p>
    <w:p>
      <w:pPr>
        <w:jc w:val="both"/>
      </w:pPr>
      <w:r>
        <w:rPr>
          <w:sz w:val="21"/>
        </w:rPr>
        <w:t>（</w:t>
      </w:r>
      <w:r>
        <w:rPr>
          <w:sz w:val="21"/>
        </w:rPr>
        <w:t>1）</w:t>
      </w:r>
      <w:r>
        <w:rPr>
          <w:color w:val="000000"/>
          <w:sz w:val="21"/>
        </w:rPr>
        <w:t>货物从进口口岸至最终目的地的关境内运输、保险和其他当地发生的伴随费用。</w:t>
      </w:r>
    </w:p>
    <w:p>
      <w:pPr>
        <w:jc w:val="both"/>
      </w:pPr>
      <w:r>
        <w:rPr>
          <w:sz w:val="21"/>
        </w:rPr>
        <w:t>（</w:t>
      </w:r>
      <w:r>
        <w:rPr>
          <w:sz w:val="21"/>
        </w:rPr>
        <w:t>2）</w:t>
      </w:r>
      <w:r>
        <w:rPr>
          <w:color w:val="000000"/>
          <w:sz w:val="21"/>
        </w:rPr>
        <w:t>安装与调试、验收、检验、培训、技术文件的移交、质量保证期服务、技术服务、卸货费及招标文件要求提供的其它服务。</w:t>
      </w:r>
    </w:p>
    <w:p>
      <w:pPr>
        <w:jc w:val="both"/>
      </w:pPr>
      <w:r>
        <w:rPr>
          <w:sz w:val="21"/>
        </w:rPr>
        <w:t>（</w:t>
      </w:r>
      <w:r>
        <w:rPr>
          <w:sz w:val="21"/>
        </w:rPr>
        <w:t>3）</w:t>
      </w:r>
      <w:r>
        <w:rPr>
          <w:color w:val="000000"/>
          <w:sz w:val="21"/>
        </w:rPr>
        <w:t>安装调试中的相关费用。</w:t>
      </w:r>
    </w:p>
    <w:p>
      <w:pPr>
        <w:jc w:val="both"/>
      </w:pPr>
      <w:r>
        <w:rPr>
          <w:sz w:val="21"/>
        </w:rPr>
        <w:t>（</w:t>
      </w:r>
      <w:r>
        <w:rPr>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color w:val="000000"/>
          <w:sz w:val="21"/>
        </w:rPr>
        <w:t>按照采购需求要求的除以上费用外的其他相关费用。</w:t>
      </w:r>
    </w:p>
    <w:p>
      <w:pPr>
        <w:jc w:val="both"/>
      </w:pPr>
      <w:r>
        <w:rPr>
          <w:sz w:val="21"/>
        </w:rPr>
        <w:t>2、</w:t>
      </w:r>
      <w:r>
        <w:rPr>
          <w:color w:val="000000"/>
          <w:sz w:val="21"/>
        </w:rPr>
        <w:t>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sz w:val="21"/>
        </w:rPr>
        <w:t>1、</w:t>
      </w:r>
      <w:r>
        <w:rPr>
          <w:color w:val="000000"/>
          <w:sz w:val="21"/>
        </w:rPr>
        <w:t>乙方提供的货物必须符合中华人民共和国</w:t>
      </w:r>
      <w:r>
        <w:rPr>
          <w:color w:val="000000"/>
          <w:sz w:val="21"/>
        </w:rPr>
        <w:t>“国家安全环保标准”。</w:t>
      </w:r>
    </w:p>
    <w:p>
      <w:pPr>
        <w:jc w:val="both"/>
      </w:pPr>
      <w:r>
        <w:rPr>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color w:val="000000"/>
          <w:sz w:val="21"/>
        </w:rPr>
        <w:t>进口产品必须具备原产地证明和商检局的检验证明及合法进货渠道证明。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w:t>
      </w:r>
    </w:p>
    <w:p>
      <w:pPr>
        <w:jc w:val="both"/>
      </w:pPr>
      <w:r>
        <w:rPr>
          <w:sz w:val="21"/>
        </w:rPr>
        <w:t>5、</w:t>
      </w:r>
      <w:r>
        <w:rPr>
          <w:color w:val="000000"/>
          <w:sz w:val="21"/>
        </w:rPr>
        <w:t>乙方应将关键主机设备的用户手册、有关单证资料及配备件、随机工具等交付给甲方，使用操作及安全须知等重要资料应附有中文说明。</w:t>
      </w:r>
    </w:p>
    <w:p>
      <w:pPr>
        <w:jc w:val="both"/>
      </w:pPr>
      <w:r>
        <w:rPr>
          <w:sz w:val="21"/>
        </w:rPr>
        <w:t>6、</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color w:val="000000"/>
          <w:sz w:val="21"/>
        </w:rPr>
        <w:t>知识产权</w:t>
      </w:r>
    </w:p>
    <w:p>
      <w:pPr>
        <w:ind w:firstLine="420"/>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w:t>
      </w:r>
      <w:r>
        <w:rPr>
          <w:sz w:val="21"/>
        </w:rPr>
        <w:t>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sz w:val="21"/>
        </w:rPr>
        <w:t>六、</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七、</w:t>
      </w:r>
      <w:r>
        <w:rPr>
          <w:b/>
          <w:sz w:val="21"/>
        </w:rPr>
        <w:t>培训、质保期及售后服务要求</w:t>
      </w:r>
    </w:p>
    <w:p>
      <w:pPr>
        <w:jc w:val="both"/>
      </w:pPr>
      <w:r>
        <w:rPr>
          <w:sz w:val="21"/>
        </w:rPr>
        <w:t>1、</w:t>
      </w:r>
      <w:r>
        <w:rPr>
          <w:color w:val="000000"/>
          <w:sz w:val="21"/>
        </w:rPr>
        <w:t>乙方负责甲方使用人员的使用操作技术及维护技术的培训。</w:t>
      </w:r>
    </w:p>
    <w:p>
      <w:pPr>
        <w:jc w:val="both"/>
      </w:pPr>
      <w:r>
        <w:rPr>
          <w:sz w:val="21"/>
        </w:rPr>
        <w:t>2、</w:t>
      </w:r>
      <w:r>
        <w:rPr>
          <w:color w:val="000000"/>
          <w:sz w:val="21"/>
        </w:rPr>
        <w:t>本合同的质量保证期（简称</w:t>
      </w:r>
      <w:r>
        <w:rPr>
          <w:color w:val="000000"/>
          <w:sz w:val="21"/>
        </w:rPr>
        <w:t>“质保期”）为</w:t>
      </w:r>
      <w:r>
        <w:rPr>
          <w:sz w:val="21"/>
          <w:u w:val="single"/>
        </w:rPr>
        <w:t xml:space="preserve">    </w:t>
      </w:r>
      <w:r>
        <w:rPr>
          <w:color w:val="000000"/>
          <w:sz w:val="21"/>
        </w:rPr>
        <w:t>年，自甲乙双方代表在货物安装调试后的验收书上签字之日起计算</w:t>
      </w:r>
      <w:r>
        <w:rPr>
          <w:sz w:val="21"/>
        </w:rPr>
        <w:t>自货到之日起</w:t>
      </w:r>
      <w:r>
        <w:rPr>
          <w:sz w:val="21"/>
        </w:rPr>
        <w:t>15个</w:t>
      </w:r>
      <w:r>
        <w:rPr>
          <w:sz w:val="21"/>
        </w:rPr>
        <w:t>月</w:t>
      </w:r>
      <w:r>
        <w:rPr>
          <w:sz w:val="21"/>
        </w:rPr>
        <w:t>计算，两者先</w:t>
      </w:r>
      <w:r>
        <w:rPr>
          <w:sz w:val="21"/>
        </w:rPr>
        <w:t>到者为质量保证期开始计算依据</w:t>
      </w:r>
      <w:r>
        <w:rPr>
          <w:color w:val="000000"/>
          <w:sz w:val="21"/>
        </w:rPr>
        <w:t>。质保期内乙方对所供货物实行包修、包换、包退、包维护保养。</w:t>
      </w:r>
    </w:p>
    <w:p>
      <w:pPr>
        <w:jc w:val="both"/>
      </w:pPr>
      <w:r>
        <w:rPr>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sz w:val="21"/>
        </w:rPr>
        <w:t>4、</w:t>
      </w:r>
      <w:r>
        <w:rPr>
          <w:color w:val="000000"/>
          <w:sz w:val="21"/>
        </w:rPr>
        <w:t>在质保期内，如货品非因甲方的人为原因而出现的问题由乙方负责保修、包换或包退，并承担修理、调换或退货的实际费用。</w:t>
      </w:r>
    </w:p>
    <w:p>
      <w:pPr>
        <w:jc w:val="both"/>
      </w:pPr>
      <w:r>
        <w:rPr>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color w:val="000000"/>
          <w:sz w:val="21"/>
        </w:rPr>
        <w:t>质量保证期内，除法定节假日之外，一旦发生质量问题，乙方在接到通知</w:t>
      </w:r>
      <w:r>
        <w:rPr>
          <w:sz w:val="21"/>
          <w:u w:val="single"/>
        </w:rPr>
        <w:t xml:space="preserve">    </w:t>
      </w:r>
      <w:r>
        <w:rPr>
          <w:color w:val="000000"/>
          <w:sz w:val="21"/>
        </w:rPr>
        <w:t>小时内响应（通过电话或邮件），如无法远程排除故障，须在合理的情况下（特别是必要的备件已经到达用户现场的情况下），</w:t>
      </w:r>
      <w:r>
        <w:rPr>
          <w:sz w:val="21"/>
          <w:u w:val="single"/>
        </w:rPr>
        <w:t xml:space="preserve">    </w:t>
      </w:r>
      <w:r>
        <w:rPr>
          <w:color w:val="000000"/>
          <w:sz w:val="21"/>
        </w:rPr>
        <w:t>个工作日内须赶到现场进行修理或更换。</w:t>
      </w:r>
    </w:p>
    <w:p>
      <w:pPr>
        <w:jc w:val="both"/>
      </w:pPr>
      <w:r>
        <w:rPr>
          <w:sz w:val="21"/>
        </w:rPr>
        <w:t>7、</w:t>
      </w:r>
      <w:r>
        <w:rPr>
          <w:color w:val="000000"/>
          <w:sz w:val="21"/>
        </w:rPr>
        <w:t>设备质保期内因设备自身原因出现故障的，乙方须负责免费维修、免费更换零部件（不包含易损件）。故障情况特别严重造成重大损失的，双方协商解决（费用包含在报价内）。</w:t>
      </w:r>
    </w:p>
    <w:p>
      <w:pPr>
        <w:jc w:val="both"/>
      </w:pPr>
      <w:r>
        <w:rPr>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sz w:val="21"/>
        </w:rPr>
        <w:t>2、</w:t>
      </w:r>
      <w:r>
        <w:rPr>
          <w:color w:val="000000"/>
          <w:sz w:val="21"/>
        </w:rPr>
        <w:t>到货检验</w:t>
      </w:r>
    </w:p>
    <w:p>
      <w:pPr>
        <w:jc w:val="both"/>
      </w:pPr>
      <w:r>
        <w:rPr>
          <w:sz w:val="21"/>
        </w:rPr>
        <w:t>（</w:t>
      </w:r>
      <w:r>
        <w:rPr>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color w:val="000000"/>
          <w:sz w:val="21"/>
        </w:rPr>
        <w:t>进口货物送到甲方指定场地后，甲、乙、丙三方同时在场时才能开封检验。</w:t>
      </w:r>
    </w:p>
    <w:p>
      <w:pPr>
        <w:jc w:val="both"/>
      </w:pPr>
      <w:r>
        <w:rPr>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color w:val="000000"/>
          <w:sz w:val="21"/>
        </w:rPr>
        <w:t>进口产品的必须具备原产地证明和商检局的检验证明及合法进货渠道证明。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货物为原厂商未启封全新包装，具出厂合格证，序列号、包装箱号与出厂批号一致，并可追索查阅。所有随设备的附件必须齐全。</w:t>
      </w:r>
    </w:p>
    <w:p>
      <w:pPr>
        <w:jc w:val="both"/>
      </w:pPr>
      <w:r>
        <w:rPr>
          <w:sz w:val="21"/>
        </w:rPr>
        <w:t>5、</w:t>
      </w:r>
      <w:r>
        <w:rPr>
          <w:color w:val="000000"/>
          <w:sz w:val="21"/>
        </w:rPr>
        <w:t>乙方将货物的用户手册、有关单证资料及备品备件、随机工具等交付给甲方，使用操作及安全须知等重要资料应附有中文说明。</w:t>
      </w:r>
    </w:p>
    <w:p>
      <w:pPr>
        <w:jc w:val="both"/>
      </w:pPr>
      <w:r>
        <w:rPr>
          <w:sz w:val="21"/>
        </w:rPr>
        <w:t>6、</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sz w:val="21"/>
        </w:rPr>
        <w:t>7、</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8、</w:t>
      </w:r>
      <w:r>
        <w:rPr>
          <w:color w:val="000000"/>
          <w:sz w:val="21"/>
        </w:rPr>
        <w:t>当出现不合</w:t>
      </w:r>
      <w:r>
        <w:rPr>
          <w:sz w:val="21"/>
        </w:rPr>
        <w:t>格产品时，乙方应负责通过修理有缺陷的部件，或用新部件更换有缺陷的部件，或根据乙方的选择重新提供服务来消除缺陷，或应根据缺陷的状态对商品进行贬值。</w:t>
      </w:r>
    </w:p>
    <w:p>
      <w:pPr>
        <w:jc w:val="both"/>
      </w:pPr>
      <w:r>
        <w:rPr>
          <w:sz w:val="21"/>
        </w:rPr>
        <w:t>9、</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sz w:val="21"/>
        </w:rPr>
        <w:t>2、</w:t>
      </w:r>
      <w:r>
        <w:rPr>
          <w:color w:val="000000"/>
          <w:sz w:val="21"/>
        </w:rPr>
        <w:t>乙方未能按本合同</w:t>
      </w:r>
      <w:r>
        <w:rPr>
          <w:sz w:val="21"/>
        </w:rPr>
        <w:t>规定的交货时间交付货物的，从逾期之日起每日按本合同总价</w:t>
      </w:r>
      <w:r>
        <w:rPr>
          <w:sz w:val="21"/>
        </w:rPr>
        <w:t>3‰的数额向甲方支付违约金，该罚金不超过延迟装运总值的5%；逾期半个月以上的，甲方有权终止合同，由此造成的甲方经济损失由乙方承担。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5%的违约金。甲方逾期未按合同约定时间支付款项的，则每日按本合同总价的3‰向乙方偿付违约金，该罚金不超过延迟装运总值的5%。</w:t>
      </w:r>
    </w:p>
    <w:p>
      <w:pPr>
        <w:jc w:val="both"/>
      </w:pPr>
      <w:r>
        <w:rPr>
          <w:sz w:val="21"/>
        </w:rPr>
        <w:t>4、</w:t>
      </w:r>
      <w:r>
        <w:rPr>
          <w:sz w:val="21"/>
        </w:rPr>
        <w:t>乙方如没有按合同规定履行售后服务承诺，甲方可由第三方单位进行修</w:t>
      </w:r>
      <w:r>
        <w:rPr>
          <w:color w:val="000000"/>
          <w:sz w:val="21"/>
        </w:rPr>
        <w:t>复，其费用全部由乙方支付，并追究乙方违约的法律责任。</w:t>
      </w:r>
    </w:p>
    <w:p>
      <w:pPr>
        <w:jc w:val="both"/>
      </w:pPr>
      <w:r>
        <w:rPr>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jc w:val="both"/>
      </w:pPr>
      <w:r>
        <w:rPr>
          <w:sz w:val="21"/>
        </w:rPr>
        <w:t>1、</w:t>
      </w: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sz w:val="21"/>
        </w:rPr>
        <w:t>2、</w:t>
      </w:r>
      <w:r>
        <w:rPr>
          <w:color w:val="000000"/>
          <w:sz w:val="21"/>
        </w:rPr>
        <w:t>根据现行规定，合同项下货物不受欧盟出口管制。然而，对于出口清关，需要</w:t>
      </w:r>
      <w:r>
        <w:rPr>
          <w:color w:val="000000"/>
          <w:sz w:val="21"/>
        </w:rPr>
        <w:t>“zero notice”文件。延迟出口清关或/和获得此类zero notice文件属于不可抗力。</w:t>
      </w:r>
    </w:p>
    <w:p>
      <w:pPr>
        <w:jc w:val="both"/>
      </w:pPr>
      <w:r>
        <w:rPr>
          <w:sz w:val="21"/>
        </w:rPr>
        <w:t>3、</w:t>
      </w:r>
      <w:r>
        <w:rPr>
          <w:color w:val="000000"/>
          <w:sz w:val="21"/>
        </w:rPr>
        <w:t>如果货物成为出口许可证条例的对象，则适用下列规则</w:t>
      </w:r>
      <w:r>
        <w:rPr>
          <w:color w:val="000000"/>
          <w:sz w:val="21"/>
        </w:rPr>
        <w:t>:</w:t>
      </w:r>
    </w:p>
    <w:p>
      <w:pPr>
        <w:jc w:val="both"/>
      </w:pPr>
      <w:r>
        <w:rPr>
          <w:color w:val="000000"/>
          <w:sz w:val="21"/>
        </w:rPr>
        <w:t>（</w:t>
      </w:r>
      <w:r>
        <w:rPr>
          <w:color w:val="000000"/>
          <w:sz w:val="21"/>
        </w:rPr>
        <w:t>1）延迟取得出口许可证属于不可抗力。拒绝出口许可证属于不可抗力。</w:t>
      </w:r>
    </w:p>
    <w:p>
      <w:pPr>
        <w:jc w:val="both"/>
      </w:pPr>
      <w:r>
        <w:rPr>
          <w:color w:val="000000"/>
          <w:sz w:val="21"/>
        </w:rPr>
        <w:t>（</w:t>
      </w:r>
      <w:r>
        <w:rPr>
          <w:color w:val="000000"/>
          <w:sz w:val="21"/>
        </w:rPr>
        <w:t>2）因办理出口许可证手续造成的延误，乙方不承担赔偿责任，损失由甲乙双方自行承担。因出口许可证被国家机关拒发而导致不能装运的，甲乙双方有权解除合同。在取消合同的情况下，乙方有义务退还全部预付款给甲方。在这种情况下，乙方不承担任何进一步赔偿责任。</w:t>
      </w:r>
    </w:p>
    <w:p>
      <w:pPr>
        <w:jc w:val="both"/>
      </w:pPr>
      <w:r>
        <w:rPr>
          <w:b/>
          <w:color w:val="000000"/>
          <w:sz w:val="21"/>
        </w:rPr>
        <w:t>十四、</w:t>
      </w:r>
      <w:r>
        <w:rPr>
          <w:b/>
          <w:color w:val="000000"/>
          <w:sz w:val="21"/>
        </w:rPr>
        <w:t>其它</w:t>
      </w:r>
    </w:p>
    <w:p>
      <w:pPr>
        <w:jc w:val="both"/>
      </w:pPr>
      <w:r>
        <w:rPr>
          <w:sz w:val="21"/>
        </w:rPr>
        <w:t>1、</w:t>
      </w:r>
      <w:r>
        <w:rPr>
          <w:color w:val="000000"/>
          <w:sz w:val="21"/>
        </w:rPr>
        <w:t>本合同所有附件、招标文件、投标文件、中标通知书均为合同的有效组成部分，与本合同具有同等法律效力。</w:t>
      </w:r>
    </w:p>
    <w:p>
      <w:pPr>
        <w:jc w:val="both"/>
      </w:pPr>
      <w:r>
        <w:rPr>
          <w:sz w:val="21"/>
        </w:rPr>
        <w:t>2、</w:t>
      </w:r>
      <w:r>
        <w:rPr>
          <w:color w:val="000000"/>
          <w:sz w:val="21"/>
        </w:rPr>
        <w:t>在执行本合同的过程中，所有经甲乙丙三方签署确认的文件（包括会议纪要、补充协议、合同修改、往来信函）即成为本合同的有效组成部分。</w:t>
      </w:r>
    </w:p>
    <w:p>
      <w:pPr>
        <w:jc w:val="both"/>
      </w:pPr>
      <w:r>
        <w:rPr>
          <w:sz w:val="21"/>
        </w:rPr>
        <w:t>3、</w:t>
      </w:r>
      <w:r>
        <w:rPr>
          <w:color w:val="000000"/>
          <w:sz w:val="21"/>
        </w:rPr>
        <w:t>如一方地址、电话、传真号码有变更，应在变更当日内书面通知其他两方，否则，应承担相应责任。</w:t>
      </w:r>
    </w:p>
    <w:p>
      <w:pPr>
        <w:jc w:val="both"/>
      </w:pPr>
      <w:r>
        <w:rPr>
          <w:sz w:val="21"/>
        </w:rPr>
        <w:t>4、</w:t>
      </w:r>
      <w:r>
        <w:rPr>
          <w:color w:val="000000"/>
          <w:sz w:val="21"/>
        </w:rPr>
        <w:t>除甲方事先以书面形式确认同意外，乙方、丙方不得部分或全部转让其应履行的合同项下的义务。</w:t>
      </w:r>
    </w:p>
    <w:p>
      <w:pPr>
        <w:jc w:val="both"/>
      </w:pPr>
      <w:r>
        <w:rPr>
          <w:b/>
          <w:color w:val="000000"/>
          <w:sz w:val="21"/>
        </w:rPr>
        <w:t>十五、</w:t>
      </w:r>
      <w:r>
        <w:rPr>
          <w:b/>
          <w:color w:val="000000"/>
          <w:sz w:val="21"/>
        </w:rPr>
        <w:t>合同生效</w:t>
      </w:r>
    </w:p>
    <w:p>
      <w:pPr>
        <w:jc w:val="both"/>
      </w:pPr>
      <w:r>
        <w:rPr>
          <w:sz w:val="21"/>
        </w:rPr>
        <w:t>1、</w:t>
      </w:r>
      <w:r>
        <w:rPr>
          <w:color w:val="000000"/>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color w:val="000000"/>
          <w:sz w:val="21"/>
        </w:rPr>
        <w:t>合同壹式</w:t>
      </w:r>
      <w:r>
        <w:rPr>
          <w:sz w:val="21"/>
          <w:u w:val="single"/>
        </w:rPr>
        <w:t xml:space="preserve">    </w:t>
      </w:r>
      <w:r>
        <w:rPr>
          <w:color w:val="000000"/>
          <w:sz w:val="21"/>
        </w:rPr>
        <w:t>份。甲乙丙三方</w:t>
      </w:r>
      <w:r>
        <w:rPr>
          <w:color w:val="000000"/>
          <w:sz w:val="21"/>
        </w:rPr>
        <w:t>各执</w:t>
      </w:r>
      <w:r>
        <w:rPr>
          <w:sz w:val="21"/>
          <w:u w:val="single"/>
        </w:rPr>
        <w:t xml:space="preserve">    </w:t>
      </w:r>
      <w:r>
        <w:rPr>
          <w:color w:val="000000"/>
          <w:sz w:val="21"/>
        </w:rPr>
        <w:t>份，招标代理机构壹份，具同等法律效力。</w:t>
      </w:r>
    </w:p>
    <w:p>
      <w:pPr>
        <w:jc w:val="both"/>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440001-2023-49542</w:t>
      </w:r>
    </w:p>
    <w:p>
      <w:pPr>
        <w:jc w:val="center"/>
      </w:pPr>
      <w:r>
        <w:rPr>
          <w:b/>
          <w:sz w:val="24"/>
        </w:rPr>
        <w:t>采购项目编号：</w:t>
      </w:r>
      <w:r>
        <w:rPr>
          <w:b/>
          <w:sz w:val="24"/>
        </w:rPr>
        <w:t>GZGK23P253A0836Z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广东省科学院半导体研究所电子束曝光系统设备采购项目</w:t>
      </w:r>
      <w:r>
        <w:rPr>
          <w:u w:val="single"/>
        </w:rPr>
        <w:t>”</w:t>
      </w:r>
      <w:r>
        <w:rPr/>
        <w:t>项目的招标[采购项目编号为：</w:t>
      </w:r>
      <w:r>
        <w:rPr>
          <w:u w:val="single"/>
        </w:rPr>
        <w:t>GZGK23P253A0836Z</w:t>
      </w:r>
      <w:r>
        <w:rPr/>
        <w:t>]，我方愿参与投标。</w:t>
      </w:r>
    </w:p>
    <w:p>
      <w:pPr>
        <w:ind w:firstLine="480"/>
      </w:pPr>
      <w:r>
        <w:rPr/>
        <w:t>我方确认收到贵方提供的</w:t>
      </w:r>
      <w:r>
        <w:rPr>
          <w:u w:val="single"/>
        </w:rPr>
        <w:t>“</w:t>
      </w:r>
      <w:r>
        <w:rPr>
          <w:u w:val="single"/>
        </w:rPr>
        <w:t>广东省科学院半导体研究所电子束曝光系统设备采购项目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广东省科学院半导体研究所电子束曝光系统设备采购项目</w:t>
      </w:r>
      <w:r>
        <w:rPr/>
        <w:t>”项目采购[采购项目编号为</w:t>
      </w:r>
      <w:r>
        <w:rPr/>
        <w:t>GZGK23P253A0836Z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广东省科学院半导体研究所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广东省科学院半导体研究所电子束曝光系统设备采购项目</w:t>
      </w:r>
      <w:r>
        <w:rPr/>
        <w:t>招标中获中标（采购项目编号：</w:t>
      </w:r>
      <w:r>
        <w:rPr/>
        <w:t>GZGK23P253A0836Z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广东省科学院半导体研究所电子束曝光系统设备采购项目</w:t>
      </w:r>
      <w:r>
        <w:rPr/>
        <w:t>”项目（采购项目编号：</w:t>
      </w:r>
      <w:r>
        <w:rPr/>
        <w:t>GZGK23P253A0836Z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