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440101-2023-23515</w:t>
      </w:r>
    </w:p>
    <w:p>
      <w:pPr>
        <w:jc w:val="center"/>
      </w:pPr>
      <w:r>
        <w:rPr>
          <w:b/>
          <w:sz w:val="24"/>
        </w:rPr>
        <w:t>采购项目编号：</w:t>
      </w:r>
      <w:r>
        <w:rPr>
          <w:b/>
          <w:sz w:val="24"/>
        </w:rPr>
        <w:t>GZGK23P204C0694Z</w:t>
      </w:r>
    </w:p>
    <w:p>
      <w:pPr>
        <w:jc w:val="center"/>
      </w:pPr>
      <w:r>
        <w:rPr>
          <w:b/>
          <w:sz w:val="24"/>
        </w:rPr>
        <w:t>项目名称：</w:t>
      </w:r>
      <w:r>
        <w:rPr>
          <w:b/>
          <w:sz w:val="24"/>
        </w:rPr>
        <w:t>广州医科大学附属第五医院个性化用药检测采购项目</w:t>
      </w:r>
    </w:p>
    <w:p>
      <w:pPr>
        <w:jc w:val="center"/>
      </w:pPr>
      <w:r>
        <w:rPr>
          <w:b/>
          <w:sz w:val="24"/>
        </w:rPr>
        <w:t>采购人：</w:t>
      </w:r>
      <w:r>
        <w:rPr>
          <w:b/>
          <w:sz w:val="24"/>
        </w:rPr>
        <w:t>广州医科大学附属第五医院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广州医科大学附属第五医院个性化用药检测采购项目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广州医科大学附属第五医院个性化用药检测采购项目</w:t>
      </w:r>
    </w:p>
    <w:p>
      <w:pPr>
        <w:ind w:firstLine="480"/>
      </w:pPr>
      <w:r>
        <w:rPr/>
        <w:t>采购计划编号：</w:t>
      </w:r>
      <w:r>
        <w:rPr/>
        <w:t>440101-2023-23515</w:t>
      </w:r>
    </w:p>
    <w:p>
      <w:pPr>
        <w:ind w:firstLine="480"/>
      </w:pPr>
      <w:r>
        <w:rPr/>
        <w:t>采购项目编号：</w:t>
      </w:r>
      <w:r>
        <w:rPr/>
        <w:t>GZGK23P204C0694Z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采购包1(个性化用药检测):</w:t>
      </w:r>
    </w:p>
    <w:p>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技术测试和分析服务</w:t>
            </w:r>
          </w:p>
        </w:tc>
        <w:tc>
          <w:tcPr>
            <w:tcW w:type="dxa" w:w="2052"/>
          </w:tcPr>
          <w:p>
            <w:r>
              <w:rPr/>
              <w:t>个性化用药检测</w:t>
            </w:r>
          </w:p>
        </w:tc>
        <w:tc>
          <w:tcPr>
            <w:tcW w:type="dxa" w:w="977"/>
          </w:tcPr>
          <w:p>
            <w:r>
              <w:rPr/>
              <w:t>3.00(年)</w:t>
            </w:r>
          </w:p>
        </w:tc>
        <w:tc>
          <w:tcPr>
            <w:tcW w:type="dxa" w:w="977"/>
          </w:tcPr>
          <w:p>
            <w:r>
              <w:rPr/>
              <w:t>详见第二章</w:t>
            </w:r>
          </w:p>
        </w:tc>
        <w:tc>
          <w:tcPr>
            <w:tcW w:type="dxa" w:w="977"/>
          </w:tcPr>
          <w:p>
            <w:r>
              <w:rPr/>
              <w:t>6,000,000.00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采购包1（个性化用药检测）：</w:t>
      </w:r>
      <w:r>
        <w:rPr/>
        <w:t>采购包整体专门面向中小企业，服务的承接商须为中小微企业或监狱企业或残疾人福利性单位。 注：本项目的中小企业划分标准所属行业为：其他未列明行业。</w:t>
      </w:r>
    </w:p>
    <w:p/>
    <w:p>
      <w:r>
        <w:rPr>
          <w:b/>
          <w:sz w:val="24"/>
        </w:rPr>
        <w:t>3.本项目特定的资格要求：</w:t>
      </w:r>
    </w:p>
    <w:p>
      <w:pPr>
        <w:ind w:firstLine="480"/>
      </w:pPr>
    </w:p>
    <w:p/>
    <w:p>
      <w:r>
        <w:rPr/>
        <w:t>采购包1（个性化用药检测）：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3)具备卫生部门核发且在有效期内的《医疗机构执业许可证》，诊疗科目需包含医学检验科，提供有效的医疗机构执业许可证复印件（如国家另有规定，则适用其规定）</w:t>
      </w:r>
    </w:p>
    <w:p/>
    <w:p>
      <w:r>
        <w:rPr/>
        <w:t>4)须获得省级卫生行政部门颁发的临床基因扩增检验实验室技术验收合格证书，提供有效的临床基因扩增检验实验室技术验收合格证书（如国家另有规定，则适用其规定）。</w:t>
      </w:r>
    </w:p>
    <w:p/>
    <w:p>
      <w:r>
        <w:rPr/>
        <w:t>5)已获取本项目采购文件。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广州医科大学附属第五医院</w:t>
      </w:r>
    </w:p>
    <w:p>
      <w:pPr>
        <w:ind w:firstLine="480"/>
      </w:pPr>
      <w:r>
        <w:rPr/>
        <w:t>地址：</w:t>
      </w:r>
      <w:r>
        <w:rPr/>
        <w:t>广州黄埔区港湾路621号</w:t>
      </w:r>
    </w:p>
    <w:p>
      <w:pPr>
        <w:ind w:firstLine="480"/>
      </w:pPr>
      <w:r>
        <w:rPr/>
        <w:t>联系方式：</w:t>
      </w:r>
      <w:r>
        <w:rPr/>
        <w:t>020-31145384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020-37814404、020-87687030</w:t>
      </w:r>
    </w:p>
    <w:p>
      <w:r>
        <w:rPr>
          <w:b/>
          <w:sz w:val="24"/>
        </w:rPr>
        <w:t>3.项目联系方式</w:t>
      </w:r>
    </w:p>
    <w:p>
      <w:pPr>
        <w:ind w:firstLine="480"/>
      </w:pPr>
      <w:r>
        <w:rPr/>
        <w:t>项目联系人：</w:t>
      </w:r>
      <w:r>
        <w:rPr/>
        <w:t>吕永珊、伍梁敏</w:t>
      </w:r>
    </w:p>
    <w:p>
      <w:pPr>
        <w:ind w:firstLine="480"/>
      </w:pPr>
      <w:r>
        <w:rPr/>
        <w:t>电话：</w:t>
      </w:r>
      <w:r>
        <w:rPr/>
        <w:t>020-37814404、020-87687030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GZGK23P204C0694Z</w:t>
      </w:r>
    </w:p>
    <w:p>
      <w:pPr>
        <w:jc w:val="both"/>
      </w:pPr>
      <w:r>
        <w:rPr>
          <w:b/>
          <w:sz w:val="21"/>
        </w:rPr>
        <w:t>（二）</w:t>
      </w:r>
      <w:r>
        <w:rPr>
          <w:b/>
          <w:sz w:val="21"/>
        </w:rPr>
        <w:t>项目名称：</w:t>
      </w:r>
      <w:r>
        <w:rPr>
          <w:sz w:val="21"/>
        </w:rPr>
        <w:t>广州医科大学附属第五医院个性化用药检测采购项目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投标人应对采购需求中的技术、服务指标在响应详细内容中列出明确承诺。如果投标人只注明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转包、分包项目内容</w:t>
      </w:r>
      <w:r>
        <w:rPr>
          <w:sz w:val="21"/>
        </w:rPr>
        <w:t>。</w:t>
      </w:r>
    </w:p>
    <w:p>
      <w:pPr>
        <w:jc w:val="both"/>
      </w:pPr>
      <w:r>
        <w:rPr>
          <w:sz w:val="21"/>
        </w:rPr>
        <w:t>7、</w:t>
      </w:r>
      <w:r>
        <w:rPr>
          <w:sz w:val="21"/>
        </w:rPr>
        <w:t>小型和微型企业、监狱企业和残疾人福利性单位必须按照招标文件第三章内容提供相应的资料。</w:t>
      </w:r>
    </w:p>
    <w:p>
      <w:pPr>
        <w:jc w:val="both"/>
      </w:pPr>
      <w:r>
        <w:rPr>
          <w:sz w:val="21"/>
        </w:rPr>
        <w:t>8、</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1.</w:t>
      </w:r>
      <w:r>
        <w:rPr>
          <w:sz w:val="21"/>
        </w:rPr>
        <w:t>服务费包含</w:t>
      </w:r>
      <w:r>
        <w:rPr>
          <w:sz w:val="21"/>
        </w:rPr>
        <w:t>完成该项目的一切费用总和，包括人工费、保险费、管理费、</w:t>
      </w:r>
      <w:r>
        <w:rPr>
          <w:sz w:val="21"/>
        </w:rPr>
        <w:t>试剂耗材费、设备使用费、</w:t>
      </w:r>
      <w:r>
        <w:rPr>
          <w:sz w:val="21"/>
        </w:rPr>
        <w:t>技术培训费、售后服务费、国家规定的各项税费等</w:t>
      </w:r>
      <w:r>
        <w:rPr>
          <w:sz w:val="21"/>
        </w:rPr>
        <w:t>与项目实施相关的</w:t>
      </w:r>
      <w:r>
        <w:rPr>
          <w:sz w:val="21"/>
        </w:rPr>
        <w:t>全部费用。</w:t>
      </w:r>
    </w:p>
    <w:p>
      <w:pPr>
        <w:ind w:firstLine="420"/>
        <w:jc w:val="both"/>
      </w:pPr>
      <w:r>
        <w:rPr>
          <w:sz w:val="21"/>
        </w:rPr>
        <w:t>★2.投标供应商报价范围：投标供应商按采购人收费价格报结算折扣率（</w:t>
      </w:r>
      <w:r>
        <w:rPr>
          <w:sz w:val="21"/>
        </w:rPr>
        <w:t>该折扣率适用于本项目所有检测项目</w:t>
      </w:r>
      <w:r>
        <w:rPr>
          <w:sz w:val="21"/>
        </w:rPr>
        <w:t>），折扣率报价</w:t>
      </w:r>
      <w:r>
        <w:rPr>
          <w:sz w:val="21"/>
        </w:rPr>
        <w:t>≤</w:t>
      </w:r>
      <w:r>
        <w:rPr>
          <w:sz w:val="21"/>
        </w:rPr>
        <w:t>70</w:t>
      </w:r>
      <w:r>
        <w:rPr>
          <w:sz w:val="21"/>
        </w:rPr>
        <w:t>.00</w:t>
      </w:r>
      <w:r>
        <w:rPr>
          <w:sz w:val="21"/>
        </w:rPr>
        <w:t>%，</w:t>
      </w:r>
      <w:r>
        <w:rPr>
          <w:sz w:val="21"/>
        </w:rPr>
        <w:t>不得为负数或零，且是固定唯一值。折扣率</w:t>
      </w:r>
      <w:r>
        <w:rPr>
          <w:sz w:val="21"/>
        </w:rPr>
        <w:t>报价</w:t>
      </w:r>
      <w:r>
        <w:rPr>
          <w:sz w:val="21"/>
        </w:rPr>
        <w:t>＞</w:t>
      </w:r>
      <w:r>
        <w:rPr>
          <w:sz w:val="21"/>
        </w:rPr>
        <w:t>70.00%的</w:t>
      </w:r>
      <w:r>
        <w:rPr>
          <w:sz w:val="21"/>
        </w:rPr>
        <w:t>为无效报价。</w:t>
      </w:r>
    </w:p>
    <w:p>
      <w:pPr>
        <w:jc w:val="both"/>
      </w:pPr>
      <w:r>
        <w:rPr>
          <w:sz w:val="21"/>
        </w:rPr>
        <w:t xml:space="preserve">    </w:t>
      </w:r>
      <w:r>
        <w:rPr>
          <w:sz w:val="21"/>
        </w:rPr>
        <w:t>例如：某</w:t>
      </w:r>
      <w:r>
        <w:rPr>
          <w:sz w:val="21"/>
        </w:rPr>
        <w:t>检测项目</w:t>
      </w:r>
      <w:r>
        <w:rPr>
          <w:sz w:val="21"/>
        </w:rPr>
        <w:t>的</w:t>
      </w:r>
      <w:r>
        <w:rPr>
          <w:sz w:val="21"/>
        </w:rPr>
        <w:t>收费价格</w:t>
      </w:r>
      <w:r>
        <w:rPr>
          <w:sz w:val="21"/>
        </w:rPr>
        <w:t>为</w:t>
      </w:r>
      <w:r>
        <w:rPr>
          <w:sz w:val="21"/>
        </w:rPr>
        <w:t>100.00元，报价拟优惠</w:t>
      </w:r>
      <w:r>
        <w:rPr>
          <w:sz w:val="21"/>
        </w:rPr>
        <w:t>3</w:t>
      </w:r>
      <w:r>
        <w:rPr>
          <w:sz w:val="21"/>
        </w:rPr>
        <w:t>0.00元，结算价格为</w:t>
      </w:r>
      <w:r>
        <w:rPr>
          <w:sz w:val="21"/>
        </w:rPr>
        <w:t>7</w:t>
      </w:r>
      <w:r>
        <w:rPr>
          <w:sz w:val="21"/>
        </w:rPr>
        <w:t>0.00元，则折扣率为：（</w:t>
      </w:r>
      <w:r>
        <w:rPr>
          <w:sz w:val="21"/>
        </w:rPr>
        <w:t>7</w:t>
      </w:r>
      <w:r>
        <w:rPr>
          <w:sz w:val="21"/>
        </w:rPr>
        <w:t>0.00</w:t>
      </w:r>
      <w:r>
        <w:rPr>
          <w:sz w:val="21"/>
        </w:rPr>
        <w:t>÷</w:t>
      </w:r>
      <w:r>
        <w:rPr>
          <w:sz w:val="21"/>
        </w:rPr>
        <w:t>100.00）</w:t>
      </w:r>
      <w:r>
        <w:rPr>
          <w:sz w:val="21"/>
        </w:rPr>
        <w:t>×</w:t>
      </w:r>
      <w:r>
        <w:rPr>
          <w:sz w:val="21"/>
        </w:rPr>
        <w:t>100%=</w:t>
      </w:r>
      <w:r>
        <w:rPr>
          <w:sz w:val="21"/>
        </w:rPr>
        <w:t>7</w:t>
      </w:r>
      <w:r>
        <w:rPr>
          <w:sz w:val="21"/>
        </w:rPr>
        <w:t>0.00%。</w:t>
      </w:r>
    </w:p>
    <w:p>
      <w:pPr>
        <w:ind w:firstLine="420"/>
        <w:jc w:val="both"/>
      </w:pPr>
      <w:r>
        <w:rPr>
          <w:sz w:val="21"/>
        </w:rPr>
        <w:t>3.投标供应商应当根据本企业的成本自行决定报价。</w:t>
      </w:r>
    </w:p>
    <w:p>
      <w:pPr>
        <w:ind w:firstLine="420"/>
        <w:jc w:val="both"/>
      </w:pPr>
      <w:r>
        <w:rPr>
          <w:sz w:val="21"/>
        </w:rPr>
        <w:t>4.</w:t>
      </w:r>
      <w:r>
        <w:rPr>
          <w:sz w:val="21"/>
        </w:rPr>
        <w:t>委托检验项目服务费</w:t>
      </w:r>
      <w:r>
        <w:rPr>
          <w:sz w:val="21"/>
        </w:rPr>
        <w:t>=</w:t>
      </w:r>
      <w:r>
        <w:rPr>
          <w:sz w:val="21"/>
        </w:rPr>
        <w:t>∑（收费价格</w:t>
      </w:r>
      <w:r>
        <w:rPr>
          <w:sz w:val="21"/>
        </w:rPr>
        <w:t>×折扣率</w:t>
      </w:r>
      <w:r>
        <w:rPr>
          <w:sz w:val="21"/>
        </w:rPr>
        <w:t>×</w:t>
      </w:r>
      <w:r>
        <w:rPr>
          <w:sz w:val="21"/>
        </w:rPr>
        <w:t>检测数量</w:t>
      </w:r>
      <w:r>
        <w:rPr>
          <w:sz w:val="21"/>
        </w:rPr>
        <w:t>）。</w:t>
      </w:r>
    </w:p>
    <w:p>
      <w:pPr>
        <w:ind w:firstLine="420"/>
        <w:jc w:val="both"/>
      </w:pPr>
      <w:r>
        <w:rPr>
          <w:sz w:val="21"/>
        </w:rPr>
        <w:t>5.收费价格依据：属于基本医疗服务项目和市场调节价项目，执行《广州市医疗保障局广州市财政局广州市卫生健康委员会关于实施&lt;广东省基本医疗服务价格项目目录（2021年版）&gt;和&lt;广东省市场调节价医疗服务价格项目目录（2021年版）&gt;的通知》收费标准；属于新增医疗服务项目，执行相关文件；收费标准随着政策变动适时调整。</w:t>
      </w:r>
    </w:p>
    <w:p>
      <w:pPr>
        <w:jc w:val="both"/>
      </w:pPr>
      <w:r>
        <w:rPr>
          <w:b/>
          <w:sz w:val="21"/>
        </w:rPr>
        <w:t>（六）</w:t>
      </w:r>
      <w:r>
        <w:rPr>
          <w:b/>
          <w:sz w:val="21"/>
        </w:rPr>
        <w:t>实现的目标</w:t>
      </w:r>
    </w:p>
    <w:p>
      <w:pPr>
        <w:ind w:firstLine="420"/>
        <w:jc w:val="left"/>
      </w:pPr>
      <w:r>
        <w:rPr>
          <w:sz w:val="21"/>
        </w:rPr>
        <w:t>本项目拟通过公开招标方式选取一家服务供应商，为采购人提供药物基因组学检测和治疗药物监测服务。</w:t>
      </w:r>
    </w:p>
    <w:p>
      <w:pPr>
        <w:ind w:firstLine="420"/>
        <w:jc w:val="left"/>
      </w:pPr>
      <w:r>
        <w:rPr>
          <w:sz w:val="21"/>
        </w:rPr>
        <w:t>通过对药物代谢酶基因的检测，研究不同人群遗传因素对药物反应的影响，以针对不同个体基因型进行个性化针对治疗的手段。</w:t>
      </w:r>
    </w:p>
    <w:p>
      <w:pPr>
        <w:ind w:firstLine="420"/>
        <w:jc w:val="left"/>
      </w:pPr>
      <w:r>
        <w:rPr>
          <w:sz w:val="21"/>
        </w:rPr>
        <w:t>在进行药物治疗的过程中，观察药物疗效的同时采集患者的血液（或尿液、唾液等）测定其中的药物浓度，以便根据具体情况制定个体化给药方案，也可为药物过量中毒诊断和处理提供依据。</w:t>
      </w:r>
    </w:p>
    <w:p>
      <w:pPr>
        <w:jc w:val="both"/>
      </w:pPr>
      <w:r>
        <w:rPr>
          <w:b/>
          <w:sz w:val="21"/>
        </w:rPr>
        <w:t>（七）</w:t>
      </w:r>
      <w:r>
        <w:rPr>
          <w:b/>
          <w:sz w:val="21"/>
        </w:rPr>
        <w:t>需执行国家相关标准、行业标准、地方标准或者其他标准、规范</w:t>
      </w:r>
    </w:p>
    <w:p/>
    <w:p>
      <w:pPr>
        <w:ind w:firstLine="480"/>
      </w:pPr>
    </w:p>
    <w:p/>
    <w:p>
      <w:r>
        <w:rPr/>
        <w:t>采购包1（个性化用药检测）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服务期限：自签订合同之日起3年（一次签订服务期限为三年的合同），如项目实际结算总金额达到采购预算金额，合同即终止，以先到为准。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采购人与中标供应商双方以自然月为一周期进行对账，中标供应商在对账周期次月5日出具上月结算单供采购人药学部对接人员核对，采购人在对账周期次月10日前（如遇国家节假日则顺延至下一个工作日）核对完毕。 2.中标供应商根据每月核对无误的结算费用总额结合每月的考评扣罚情况开具增值税普通发票，采购人于确认结算单并收到发票后的15日内完成上月结算费用的资金支付。</w:t>
            </w:r>
          </w:p>
        </w:tc>
      </w:tr>
      <w:tr>
        <w:tc>
          <w:tcPr>
            <w:tcW w:type="dxa" w:w="4153"/>
          </w:tcPr>
          <w:p>
            <w:r>
              <w:rPr/>
              <w:t>验收要求</w:t>
            </w:r>
          </w:p>
        </w:tc>
        <w:tc>
          <w:tcPr>
            <w:tcW w:type="dxa" w:w="4153"/>
          </w:tcPr>
          <w:p/>
          <w:p/>
          <w:p/>
          <w:p>
            <w:r>
              <w:rPr/>
              <w:t>1期：1.服务经过采购人与中标供应商双方检验认可后，签署验收报告。 2.当满足以下条件时，采购人才向中标人签发验收报告： a、中标供应商已按照合同规定提供了全部技术资料。 b、服务项目符合招标文件的服务要求。 3. 验收标准\评估考核要求 服务要求：标本保存及出具报告情况； 1）完成条件：标本丢失每月平均不超过2例； 2）完成条件：月平均延时报告率&lt;5%； 3）完成条件：日延时报告率&gt;10%，不能超过3次； 4）完成条件：月平均危急值延时报告率&lt;1%，无漏报； 5）完成条件：临床有效投诉数量&lt;2例/月； 验收方法：每违反一项扣当月应付服务费的1%。 中标供应商按质按量完成检验标本接收检测等工作，按照报告时限出具检验结果反馈给采购人，并按临床需求提供检验结果临床意义解读与沟通。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采购项目培训及售后服务要求，1.中标供应商每年2次对采购人单位工作人员进行为期至少半天的培训，内容包括TDM原理、仪器使用、基因检测原理、实验操作、实验室评审验收等相关内容。每年协助采购人开展继续教育、专题讲座等学术交流活动。 2.每年为采购人提供1-2个新技术培训名额。 3.中标供应商协助采购人定期整理标本检验数据，深入挖掘，助力采购人科研成果产出。中标供应商如使用采购人提供的受检者标本发表科研成果，需经采购人同意，并通过采购人的伦理委员会审查同意，且采购人有署名权，署名排序按照文章发表时各方的贡献另行协商确定。 4.具有科研合作能力：向采购人单位科研人员开放相关科研数据进行科学研究，推动采购人临床药学工作的发展；协助采购人开展科研项目、提高科室学科水平。</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技术测试和分析服务</w:t>
            </w:r>
          </w:p>
        </w:tc>
        <w:tc>
          <w:tcPr>
            <w:tcW w:type="dxa" w:w="831"/>
          </w:tcPr>
          <w:p>
            <w:pPr>
              <w:jc w:val="left"/>
            </w:pPr>
            <w:r>
              <w:rPr/>
              <w:t>个性化用药检测</w:t>
            </w:r>
          </w:p>
        </w:tc>
        <w:tc>
          <w:tcPr>
            <w:tcW w:type="dxa" w:w="831"/>
          </w:tcPr>
          <w:p>
            <w:pPr>
              <w:jc w:val="left"/>
            </w:pPr>
            <w:r>
              <w:rPr/>
              <w:t>年</w:t>
            </w:r>
          </w:p>
        </w:tc>
        <w:tc>
          <w:tcPr>
            <w:tcW w:type="dxa" w:w="831"/>
          </w:tcPr>
          <w:p>
            <w:pPr>
              <w:jc w:val="right"/>
            </w:pPr>
            <w:r>
              <w:rPr/>
              <w:t>3.00</w:t>
            </w:r>
          </w:p>
        </w:tc>
        <w:tc>
          <w:tcPr>
            <w:tcW w:type="dxa" w:w="831"/>
          </w:tcPr>
          <w:p>
            <w:pPr>
              <w:jc w:val="right"/>
            </w:pPr>
            <w:r>
              <w:rPr/>
              <w:t>2,000,000.00</w:t>
            </w:r>
          </w:p>
        </w:tc>
        <w:tc>
          <w:tcPr>
            <w:tcW w:type="dxa" w:w="831"/>
          </w:tcPr>
          <w:p>
            <w:pPr>
              <w:jc w:val="right"/>
            </w:pPr>
            <w:r>
              <w:rPr/>
              <w:t>6,000,000.00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个性化用药检测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（一）项目概况</w:t>
            </w:r>
          </w:p>
          <w:p>
            <w:pPr>
              <w:ind w:firstLine="420"/>
              <w:jc w:val="left"/>
            </w:pPr>
            <w:r>
              <w:rPr>
                <w:sz w:val="21"/>
              </w:rPr>
              <w:t>精准用药服务包括药物基因组学检测和治疗药物监测。</w:t>
            </w:r>
          </w:p>
          <w:p>
            <w:pPr>
              <w:ind w:firstLine="420"/>
              <w:jc w:val="left"/>
            </w:pPr>
            <w:r>
              <w:rPr>
                <w:sz w:val="21"/>
              </w:rPr>
              <w:t>药物基因组学检测是通过对药物代谢酶基因的检测，研究不同人群遗传因素对药物反应的影响，以针对不同个体基因型进行个性化针对治疗的手段。</w:t>
            </w:r>
          </w:p>
          <w:p>
            <w:pPr>
              <w:ind w:firstLine="420"/>
              <w:jc w:val="left"/>
            </w:pPr>
            <w:r>
              <w:rPr>
                <w:sz w:val="21"/>
              </w:rPr>
              <w:t>治疗药物监测（简称</w:t>
            </w:r>
            <w:r>
              <w:rPr>
                <w:sz w:val="21"/>
              </w:rPr>
              <w:t>TDM）是指在进行药物治疗的过程中，观察药物疗效的同时采集患者的血液（或尿液、唾液等）测定其中的药物浓度，以便根据具体情况制定个体化给药方案，也可为药物过量中毒诊断和处理提供依据。</w:t>
            </w:r>
          </w:p>
          <w:p>
            <w:pPr>
              <w:ind w:firstLine="420"/>
              <w:jc w:val="left"/>
            </w:pPr>
            <w:r>
              <w:rPr>
                <w:sz w:val="21"/>
              </w:rPr>
              <w:t>TDM和药物基因组学检测都是临床药理学的重要组成部分，具有提高疗效和降低不良反应，从而进行更有效、安全治疗的的临床意义。也是国家“精准医疗”战略的一部分。</w:t>
            </w:r>
          </w:p>
          <w:p>
            <w:pPr>
              <w:jc w:val="left"/>
            </w:pPr>
            <w:r>
              <w:rPr>
                <w:b/>
                <w:sz w:val="21"/>
              </w:rPr>
              <w:t>1.药物基因组学介绍</w:t>
            </w:r>
          </w:p>
          <w:p>
            <w:pPr>
              <w:ind w:firstLine="420"/>
              <w:jc w:val="left"/>
            </w:pPr>
            <w:r>
              <w:rPr>
                <w:sz w:val="21"/>
              </w:rPr>
              <w:t>药物基因组学检测是通过血液对</w:t>
            </w:r>
            <w:r>
              <w:rPr>
                <w:sz w:val="21"/>
              </w:rPr>
              <w:t>DNA进行检测的技术，通过特定设备对被检测者细胞中的DNA分子信息进行检测，预知身体患疾病的风险，分析它所含有的各种基因情况，从而使人们能了解自己的基因信息，从而通过改善自己的生活环境和生活习惯，避免或延缓疾病的发生。</w:t>
            </w:r>
          </w:p>
          <w:p>
            <w:pPr>
              <w:jc w:val="left"/>
            </w:pPr>
            <w:r>
              <w:rPr>
                <w:sz w:val="21"/>
              </w:rPr>
              <w:t>（</w:t>
            </w:r>
            <w:r>
              <w:rPr>
                <w:sz w:val="21"/>
              </w:rPr>
              <w:t>1）适合进行药物基因组学检测的人群：</w:t>
            </w:r>
          </w:p>
          <w:p>
            <w:pPr>
              <w:jc w:val="left"/>
            </w:pPr>
            <w:r>
              <w:rPr>
                <w:sz w:val="21"/>
              </w:rPr>
              <w:t>1）需要长期或终身接受某种药物治疗的患者，尤其是同时接受多种药物治疗的患者；</w:t>
            </w:r>
          </w:p>
          <w:p>
            <w:pPr>
              <w:jc w:val="left"/>
            </w:pPr>
            <w:r>
              <w:rPr>
                <w:sz w:val="21"/>
              </w:rPr>
              <w:t>2）有过严重药物不良反应史或家族成员中有过药物不良反应的人；</w:t>
            </w:r>
          </w:p>
          <w:p>
            <w:pPr>
              <w:jc w:val="left"/>
            </w:pPr>
            <w:r>
              <w:rPr>
                <w:sz w:val="21"/>
              </w:rPr>
              <w:t>3）使用某种药物效果一直不理想，病情控制不稳定的患者；</w:t>
            </w:r>
          </w:p>
          <w:p>
            <w:pPr>
              <w:jc w:val="left"/>
            </w:pPr>
            <w:r>
              <w:rPr>
                <w:sz w:val="21"/>
              </w:rPr>
              <w:t>4）某些特殊人群：儿童和老年人等。</w:t>
            </w:r>
          </w:p>
          <w:p>
            <w:pPr>
              <w:jc w:val="left"/>
            </w:pPr>
            <w:r>
              <w:rPr>
                <w:b/>
                <w:sz w:val="21"/>
              </w:rPr>
              <w:t>2.治疗药物监测介绍</w:t>
            </w:r>
          </w:p>
          <w:p>
            <w:pPr>
              <w:ind w:firstLine="420"/>
              <w:jc w:val="left"/>
            </w:pPr>
            <w:r>
              <w:rPr>
                <w:sz w:val="21"/>
              </w:rPr>
              <w:t>治疗药物监测（</w:t>
            </w:r>
            <w:r>
              <w:rPr>
                <w:sz w:val="21"/>
              </w:rPr>
              <w:t>Therapeutic Drug Monitoring，简称TDM）是指在临床进行药物治疗过程中，观察药物疗效的同时，采集患者的血液（或尿液、唾液等）测定其中的药物浓度，以便根据患者的具体情况制定个体化给药方案，也可以为药物过量中毒的诊断和处理提供依据。TDM是临床药理学的重要组成部分，通过测定病人治疗用药的浓度，拟定最佳的个体化给药方案，给药时间和途径，以提高疗效和降低不良反应，从而达到有效而安全治疗的目的。</w:t>
            </w:r>
          </w:p>
          <w:p>
            <w:pPr>
              <w:jc w:val="left"/>
            </w:pPr>
            <w:r>
              <w:rPr>
                <w:sz w:val="21"/>
              </w:rPr>
              <w:t>（</w:t>
            </w:r>
            <w:r>
              <w:rPr>
                <w:sz w:val="21"/>
              </w:rPr>
              <w:t>1）适合TDM的药物类型</w:t>
            </w:r>
          </w:p>
          <w:p>
            <w:pPr>
              <w:jc w:val="left"/>
            </w:pPr>
            <w:r>
              <w:rPr>
                <w:sz w:val="21"/>
              </w:rPr>
              <w:t>1）治疗窗窄，毒副反应大不易鉴别的药物（如茶碱，地高辛）；</w:t>
            </w:r>
          </w:p>
          <w:p>
            <w:pPr>
              <w:jc w:val="left"/>
            </w:pPr>
            <w:r>
              <w:rPr>
                <w:sz w:val="21"/>
              </w:rPr>
              <w:t>2）个体间血药浓度差异较大的药物（如三环类药物）；</w:t>
            </w:r>
          </w:p>
          <w:p>
            <w:pPr>
              <w:jc w:val="left"/>
            </w:pPr>
            <w:r>
              <w:rPr>
                <w:sz w:val="21"/>
              </w:rPr>
              <w:t>3）具有非线性动力学特征的药物（如苯妥英钠）；</w:t>
            </w:r>
          </w:p>
          <w:p>
            <w:pPr>
              <w:jc w:val="left"/>
            </w:pPr>
            <w:r>
              <w:rPr>
                <w:sz w:val="21"/>
              </w:rPr>
              <w:t>4）肝肾功能不良患者用主要经肝肾代谢、排泄的药物（如氨基糖苷类、利多卡因）；</w:t>
            </w:r>
          </w:p>
          <w:p>
            <w:pPr>
              <w:jc w:val="left"/>
            </w:pPr>
            <w:r>
              <w:rPr>
                <w:sz w:val="21"/>
              </w:rPr>
              <w:t>5）长期使用可能产生药物积蓄的药物；</w:t>
            </w:r>
          </w:p>
          <w:p>
            <w:pPr>
              <w:jc w:val="left"/>
            </w:pPr>
            <w:r>
              <w:rPr>
                <w:sz w:val="21"/>
              </w:rPr>
              <w:t>6）合并用药产生相互作用影响疗效的药物；</w:t>
            </w:r>
          </w:p>
          <w:p>
            <w:pPr>
              <w:jc w:val="left"/>
            </w:pPr>
            <w:r>
              <w:rPr>
                <w:sz w:val="21"/>
              </w:rPr>
              <w:t>7）常规剂量下易出现毒性反应的药物。</w:t>
            </w:r>
          </w:p>
          <w:p>
            <w:pPr>
              <w:jc w:val="left"/>
            </w:pPr>
            <w:r>
              <w:rPr>
                <w:sz w:val="21"/>
              </w:rPr>
              <w:t>（</w:t>
            </w:r>
            <w:r>
              <w:rPr>
                <w:sz w:val="21"/>
              </w:rPr>
              <w:t>2）TDM的临床意义</w:t>
            </w:r>
          </w:p>
          <w:p>
            <w:pPr>
              <w:jc w:val="left"/>
            </w:pPr>
            <w:r>
              <w:rPr>
                <w:sz w:val="21"/>
              </w:rPr>
              <w:t>1）药物过量、中毒诊断的最直接依据；</w:t>
            </w:r>
          </w:p>
          <w:p>
            <w:pPr>
              <w:jc w:val="left"/>
            </w:pPr>
            <w:r>
              <w:rPr>
                <w:sz w:val="21"/>
              </w:rPr>
              <w:t>2）有助于将药物浓度控制在治疗范围内减少无效治疗与不良反应事件的发生；</w:t>
            </w:r>
          </w:p>
          <w:p>
            <w:pPr>
              <w:jc w:val="left"/>
            </w:pPr>
            <w:r>
              <w:rPr>
                <w:sz w:val="21"/>
              </w:rPr>
              <w:t>3）帮助找到用药无疗效的原因；</w:t>
            </w:r>
          </w:p>
          <w:p>
            <w:pPr>
              <w:jc w:val="left"/>
            </w:pPr>
            <w:r>
              <w:rPr>
                <w:sz w:val="21"/>
              </w:rPr>
              <w:t>4）有助于个体化制定给药方案，能够尽快达到并维持治疗浓度；</w:t>
            </w:r>
          </w:p>
          <w:p>
            <w:pPr>
              <w:jc w:val="left"/>
            </w:pPr>
            <w:r>
              <w:rPr>
                <w:sz w:val="21"/>
              </w:rPr>
              <w:t>5）长期用药时，可避免出现药物蓄积；</w:t>
            </w:r>
          </w:p>
          <w:p>
            <w:pPr>
              <w:jc w:val="left"/>
            </w:pPr>
            <w:r>
              <w:rPr>
                <w:sz w:val="21"/>
              </w:rPr>
              <w:t>6）临床医师和临床药师可以根据患者的基因型资料、血药浓度数据实施个体化精准给药方案，以提高药物的疗效和降低药物的毒副反应，同时减轻病人的痛苦和经济负担，具有重要的意义。</w:t>
            </w:r>
          </w:p>
          <w:p>
            <w:pPr>
              <w:jc w:val="both"/>
            </w:pPr>
            <w:r>
              <w:rPr>
                <w:b/>
                <w:sz w:val="21"/>
              </w:rPr>
              <w:t>（二）服务要求</w:t>
            </w:r>
          </w:p>
          <w:p>
            <w:pPr>
              <w:jc w:val="both"/>
            </w:pPr>
            <w:r>
              <w:rPr>
                <w:b/>
                <w:sz w:val="21"/>
              </w:rPr>
              <w:t>一）委托检验服务需求</w:t>
            </w:r>
          </w:p>
          <w:p>
            <w:pPr>
              <w:jc w:val="both"/>
            </w:pPr>
            <w:r>
              <w:rPr>
                <w:sz w:val="21"/>
              </w:rPr>
              <w:t>（</w:t>
            </w:r>
            <w:r>
              <w:rPr>
                <w:color w:val="000000"/>
                <w:sz w:val="21"/>
              </w:rPr>
              <w:t>1</w:t>
            </w:r>
            <w:r>
              <w:rPr>
                <w:sz w:val="21"/>
              </w:rPr>
              <w:t>）</w:t>
            </w:r>
            <w:r>
              <w:rPr>
                <w:sz w:val="21"/>
              </w:rPr>
              <w:t>中标供应商能完成采购人委托项目服务清单包括药物基因组学检测及治疗药物监测所有项目的能力。</w:t>
            </w:r>
            <w:r>
              <w:rPr>
                <w:b/>
                <w:sz w:val="21"/>
              </w:rPr>
              <w:t>药物基因组学检测项目清单（详见附件</w:t>
            </w:r>
            <w:r>
              <w:rPr>
                <w:b/>
                <w:sz w:val="21"/>
              </w:rPr>
              <w:t>1）、治疗药物监测项目清单（详见附件2）</w:t>
            </w:r>
          </w:p>
          <w:p>
            <w:pPr>
              <w:jc w:val="both"/>
            </w:pPr>
            <w:r>
              <w:rPr>
                <w:sz w:val="21"/>
              </w:rPr>
              <w:t>（</w:t>
            </w:r>
            <w:r>
              <w:rPr>
                <w:sz w:val="21"/>
              </w:rPr>
              <w:t>2） 因采购人医疗业务及科研发展的需要，采购人有权调整（增加或减少）委托检测、监测的项目服务清单。</w:t>
            </w:r>
          </w:p>
          <w:p>
            <w:pPr>
              <w:jc w:val="both"/>
            </w:pPr>
            <w:r>
              <w:rPr>
                <w:sz w:val="21"/>
              </w:rPr>
              <w:t>（</w:t>
            </w:r>
            <w:r>
              <w:rPr>
                <w:sz w:val="21"/>
              </w:rPr>
              <w:t>3） 要求中标供应商拥有的仪器设备包括但不限于开展药物基因组学检测、治疗药物监测必备仪器设备，要求在实验室完成采购人委托的基因学检测项目及治疗药物监测项目。</w:t>
            </w:r>
            <w:r>
              <w:rPr>
                <w:b/>
                <w:sz w:val="21"/>
              </w:rPr>
              <w:t>实验室必备仪器设备清单（详见附件</w:t>
            </w:r>
            <w:r>
              <w:rPr>
                <w:b/>
                <w:sz w:val="21"/>
              </w:rPr>
              <w:t>3）</w:t>
            </w:r>
          </w:p>
          <w:p>
            <w:pPr>
              <w:jc w:val="left"/>
            </w:pPr>
            <w:r>
              <w:rPr>
                <w:b/>
                <w:sz w:val="21"/>
              </w:rPr>
              <w:t>（</w:t>
            </w:r>
            <w:r>
              <w:rPr>
                <w:b/>
                <w:sz w:val="21"/>
              </w:rPr>
              <w:t>4）药物基因组学检测项目、治疗药物监测项目收费价格：</w:t>
            </w:r>
          </w:p>
          <w:p>
            <w:pPr>
              <w:jc w:val="left"/>
            </w:pPr>
            <w:r>
              <w:rPr>
                <w:sz w:val="21"/>
              </w:rPr>
              <w:t>1）属于基本医疗服务项目和市场调节价项目，执行《广州市医疗保障局广州市财政局广州市卫生健康委员会关于实施&lt;广东省基本医疗服务价格项目目录（2021年版）&gt;和&lt;广东省市场调节价医疗服务价格项目目录（2021年版）&gt;的通知》收费标准；属于新增医疗服务项目，执行相关文件；收费标准随着政策变动适时调整。</w:t>
            </w:r>
            <w:r>
              <w:rPr>
                <w:sz w:val="21"/>
              </w:rPr>
              <w:t>委托检验项目服务费</w:t>
            </w:r>
            <w:r>
              <w:rPr>
                <w:sz w:val="21"/>
              </w:rPr>
              <w:t>=</w:t>
            </w:r>
            <w:r>
              <w:rPr>
                <w:sz w:val="21"/>
              </w:rPr>
              <w:t>∑（收费价格</w:t>
            </w:r>
            <w:r>
              <w:rPr>
                <w:sz w:val="21"/>
              </w:rPr>
              <w:t>×折扣率×</w:t>
            </w:r>
            <w:r>
              <w:rPr>
                <w:sz w:val="21"/>
              </w:rPr>
              <w:t>检测数量</w:t>
            </w:r>
            <w:r>
              <w:rPr>
                <w:sz w:val="21"/>
              </w:rPr>
              <w:t>）。</w:t>
            </w:r>
          </w:p>
          <w:p>
            <w:pPr>
              <w:jc w:val="left"/>
            </w:pPr>
            <w:r>
              <w:rPr>
                <w:sz w:val="21"/>
              </w:rPr>
              <w:t>2）供应商应提供所报项目明细及医疗服务收费标准、适用的收费编码（加盖公章）。正式执行收费前按照医院价格管理规定执行相关价格项目及套餐的审核。</w:t>
            </w:r>
          </w:p>
          <w:p>
            <w:pPr>
              <w:jc w:val="both"/>
            </w:pPr>
            <w:r>
              <w:rPr>
                <w:b/>
                <w:sz w:val="21"/>
              </w:rPr>
              <w:t>附件</w:t>
            </w:r>
            <w:r>
              <w:rPr>
                <w:b/>
                <w:sz w:val="21"/>
              </w:rPr>
              <w:t>1：药物基因组学检测项目清单</w:t>
            </w:r>
          </w:p>
          <w:p>
            <w:pPr>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1331"/>
              <w:gridCol w:w="474"/>
              <w:gridCol w:w="1921"/>
              <w:gridCol w:w="1870"/>
            </w:tblGrid>
            <w:tr>
              <w:tc>
                <w:tcPr>
                  <w:tcW w:type="dxa" w:w="1331"/>
                  <w:tcBorders>
                    <w:top w:val="single" w:color="000000" w:sz="4"/>
                    <w:left w:val="single" w:color="000000" w:sz="4"/>
                    <w:bottom w:val="single" w:color="000000" w:sz="4"/>
                    <w:right w:val="single" w:color="000000" w:sz="4"/>
                  </w:tcBorders>
                  <w:vAlign w:val="top"/>
                </w:tcPr>
                <w:p>
                  <w:pPr>
                    <w:jc w:val="center"/>
                  </w:pPr>
                  <w:r>
                    <w:rPr>
                      <w:b/>
                      <w:color w:val="000000"/>
                      <w:sz w:val="21"/>
                    </w:rPr>
                    <w:t>项目</w:t>
                  </w:r>
                </w:p>
              </w:tc>
              <w:tc>
                <w:tcPr>
                  <w:tcW w:type="dxa" w:w="474"/>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921"/>
                  <w:tcBorders>
                    <w:top w:val="single" w:color="000000" w:sz="4"/>
                    <w:left w:val="single" w:color="000000" w:sz="4"/>
                    <w:bottom w:val="single" w:color="000000" w:sz="4"/>
                    <w:right w:val="single" w:color="000000" w:sz="4"/>
                  </w:tcBorders>
                  <w:vAlign w:val="top"/>
                </w:tcPr>
                <w:p>
                  <w:pPr>
                    <w:jc w:val="center"/>
                  </w:pPr>
                  <w:r>
                    <w:rPr>
                      <w:b/>
                      <w:color w:val="000000"/>
                      <w:sz w:val="21"/>
                    </w:rPr>
                    <w:t>检测基因位点</w:t>
                  </w:r>
                </w:p>
              </w:tc>
              <w:tc>
                <w:tcPr>
                  <w:tcW w:type="dxa" w:w="1870"/>
                  <w:tcBorders>
                    <w:top w:val="single" w:color="000000" w:sz="4"/>
                    <w:left w:val="single" w:color="000000" w:sz="4"/>
                    <w:bottom w:val="single" w:color="000000" w:sz="4"/>
                    <w:right w:val="single" w:color="000000" w:sz="4"/>
                  </w:tcBorders>
                  <w:vAlign w:val="top"/>
                </w:tcPr>
                <w:p>
                  <w:pPr>
                    <w:jc w:val="center"/>
                  </w:pPr>
                  <w:r>
                    <w:rPr>
                      <w:b/>
                      <w:color w:val="000000"/>
                      <w:sz w:val="21"/>
                    </w:rPr>
                    <w:t>检测方法</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抗精神病药代谢</w:t>
                  </w:r>
                  <w:r>
                    <w:rPr>
                      <w:color w:val="000000"/>
                      <w:sz w:val="21"/>
                    </w:rPr>
                    <w:t>1</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CYP2D6*2</w:t>
                  </w:r>
                </w:p>
              </w:tc>
              <w:tc>
                <w:tcPr>
                  <w:tcW w:type="dxa" w:w="1870"/>
                  <w:vMerge w:val="restart"/>
                  <w:tcBorders>
                    <w:top w:val="none" w:color="000000" w:sz="4"/>
                    <w:left w:val="single" w:color="000000" w:sz="4"/>
                    <w:bottom w:val="single" w:color="000000" w:sz="4"/>
                    <w:right w:val="single" w:color="000000" w:sz="4"/>
                  </w:tcBorders>
                  <w:vAlign w:val="top"/>
                </w:tcPr>
                <w:p>
                  <w:pPr>
                    <w:jc w:val="center"/>
                  </w:pPr>
                  <w:r>
                    <w:rPr>
                      <w:sz w:val="21"/>
                    </w:rPr>
                    <w:t>荧光定量</w:t>
                  </w:r>
                  <w:r>
                    <w:rPr>
                      <w:sz w:val="21"/>
                    </w:rPr>
                    <w:t>PCR法、焦磷酸测序、二代测序、核酸质谱法</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CYP2D6*10</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CYP2D6*14</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抗精神病药代谢</w:t>
                  </w:r>
                  <w:r>
                    <w:rPr>
                      <w:color w:val="000000"/>
                      <w:sz w:val="21"/>
                    </w:rPr>
                    <w:t>2</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CYP2C19*2</w:t>
                  </w:r>
                </w:p>
              </w:tc>
              <w:tc>
                <w:tcPr>
                  <w:tcW w:type="dxa" w:w="1870"/>
                  <w:vMerge w:val="restart"/>
                  <w:tcBorders>
                    <w:top w:val="none" w:color="000000" w:sz="4"/>
                    <w:left w:val="single" w:color="000000" w:sz="4"/>
                    <w:bottom w:val="single" w:color="000000" w:sz="4"/>
                    <w:right w:val="single" w:color="000000" w:sz="4"/>
                  </w:tcBorders>
                  <w:vAlign w:val="top"/>
                </w:tcPr>
                <w:p>
                  <w:pPr>
                    <w:jc w:val="center"/>
                  </w:pPr>
                  <w:r>
                    <w:rPr>
                      <w:sz w:val="21"/>
                    </w:rPr>
                    <w:t>荧光定量</w:t>
                  </w:r>
                  <w:r>
                    <w:rPr>
                      <w:sz w:val="21"/>
                    </w:rPr>
                    <w:t>PCR法、焦磷酸测序、二代测序、核酸质谱法</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CYP2C19*17</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美托洛尔</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CYP2D6*2</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CYP2D6*10</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CYP2D6*14</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ADRB1(1165G&gt;C)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氯吡格雷</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CYP2C19*2</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CYP2C19*17</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ABCB1(3435T&gt;C)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伏立康唑</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CYP2C19*2</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CYP2C19*17</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ABCB1(3435T&gt;C)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质子泵抑制剂</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CYP2C19*2</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CYP2C19*17</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ABCB1(3435T&gt;C)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阿司匹林</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GP1BA(482C&gt;T)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PEAR1 (G&gt;A)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LTC4S(-444A&gt;C)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PTGS1(-842A&gt;G)</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他汀类降脂药</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SLCO1B1*5(521T&gt;C)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SLCO1B1*1b(388A&gt;G)</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APOE(526C&gt;T)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APOE(388T&gt;C)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糖皮质激素（甲强龙等）</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ABCB1 (3435T＞C)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PAI-1 (4G/5G)</w:t>
                  </w:r>
                </w:p>
              </w:tc>
              <w:tc>
                <w:tcPr>
                  <w:tcW w:type="dxa" w:w="1870"/>
                  <w:vMerge w:val="restart"/>
                  <w:tcBorders>
                    <w:top w:val="none" w:color="000000" w:sz="4"/>
                    <w:left w:val="single" w:color="000000" w:sz="4"/>
                    <w:bottom w:val="single" w:color="000000" w:sz="4"/>
                    <w:right w:val="single" w:color="000000" w:sz="4"/>
                  </w:tcBorders>
                  <w:vAlign w:val="top"/>
                </w:tcPr>
                <w:p>
                  <w:pPr>
                    <w:jc w:val="center"/>
                  </w:pPr>
                  <w:r>
                    <w:rPr>
                      <w:sz w:val="21"/>
                    </w:rPr>
                    <w:t>荧光定量</w:t>
                  </w:r>
                  <w:r>
                    <w:rPr>
                      <w:sz w:val="21"/>
                    </w:rPr>
                    <w:t>PCR法、焦磷酸测序、二代测序、核酸质谱法</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华法林</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VKORC1 (1639G&gt;A)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CYP2C9*2(430C&gt;T)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CYP2C9*3(1075A&gt;C)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丙戊酸</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POLG (A467T)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POLG (W748S)</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CYP2C9*2(430C&gt;T)</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环孢霉素</w:t>
                  </w:r>
                  <w:r>
                    <w:rPr>
                      <w:color w:val="000000"/>
                      <w:sz w:val="21"/>
                    </w:rPr>
                    <w:t>A</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CYP3A5*3</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他克莫司</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CYP3A5*3</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硝酸甘油</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ALDH2 (1510G&gt;A)</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氨氯地平</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NPPA-AS1 (A&gt;G)</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癫痫用药（苯妥因、磷苯妥因、卡马西平等）</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CYP2C9*3</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HLA-A*3101(1047292A&gt;G)</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HLA-B*1502TA (C&gt;G)</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HLA-B*1502TB (C&gt;T)</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静脉血栓预防</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PAI-1 (4G/5G)</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F5 (41721G&gt;A)</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乙醇代谢酶</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ALDH2 (1510G&gt;A)</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幽门螺旋杆菌</w:t>
                  </w:r>
                  <w:r>
                    <w:rPr>
                      <w:color w:val="000000"/>
                      <w:sz w:val="21"/>
                    </w:rPr>
                    <w:t>23S rRNA基因突变检测</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921"/>
                  <w:tcBorders>
                    <w:top w:val="none" w:color="000000" w:sz="4"/>
                    <w:left w:val="single" w:color="000000" w:sz="4"/>
                    <w:bottom w:val="single" w:color="000000" w:sz="4"/>
                    <w:right w:val="single" w:color="000000" w:sz="4"/>
                  </w:tcBorders>
                  <w:vAlign w:val="top"/>
                </w:tcPr>
                <w:p>
                  <w:pPr>
                    <w:jc w:val="center"/>
                  </w:pPr>
                  <w:r>
                    <w:rPr>
                      <w:sz w:val="21"/>
                    </w:rPr>
                    <w:t>23S rRNA</w:t>
                  </w:r>
                </w:p>
                <w:p>
                  <w:pPr>
                    <w:jc w:val="center"/>
                  </w:pPr>
                  <w:r>
                    <w:rPr>
                      <w:sz w:val="21"/>
                    </w:rPr>
                    <w:t>gyrA</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幽门螺旋杆菌基因分型检测</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UreA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CagA</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磺脲类</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TCF7L2</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二甲双胍</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SLC47A1</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Cllor65</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胰岛素抵抗风险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IRS1</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2型糖尿病风险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TCF7L2</w:t>
                  </w:r>
                </w:p>
              </w:tc>
              <w:tc>
                <w:tcPr>
                  <w:tcW w:type="dxa" w:w="1870"/>
                  <w:vMerge w:val="restart"/>
                  <w:tcBorders>
                    <w:top w:val="none" w:color="000000" w:sz="4"/>
                    <w:left w:val="single" w:color="000000" w:sz="4"/>
                    <w:bottom w:val="single" w:color="000000" w:sz="4"/>
                    <w:right w:val="single" w:color="000000" w:sz="4"/>
                  </w:tcBorders>
                  <w:vAlign w:val="top"/>
                </w:tcPr>
                <w:p>
                  <w:pPr>
                    <w:jc w:val="center"/>
                  </w:pPr>
                  <w:r>
                    <w:rPr>
                      <w:sz w:val="21"/>
                    </w:rPr>
                    <w:t>荧光定量</w:t>
                  </w:r>
                  <w:r>
                    <w:rPr>
                      <w:sz w:val="21"/>
                    </w:rPr>
                    <w:t>PCR法、焦磷酸测序、二代测序、核酸质谱法</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产后抑郁风险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MTHFR(677C&gt;T)</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习惯性流产风险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PAI-1</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老年痴呆发病风险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APOE(526C&gt;T)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APOE(388T&gt;C)</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帕金森发病风险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LRRK2</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儿童哮喘风险基因</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GSDMB</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高尿酸血症</w:t>
                  </w:r>
                  <w:r>
                    <w:rPr>
                      <w:color w:val="000000"/>
                      <w:sz w:val="21"/>
                    </w:rPr>
                    <w:t>/痛风风险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ABCG2（421C&gt;A）</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5-FU、卡培他滨</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DPYD*2A（IVS14+1G&gt;A）</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顺铂</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COMT（322G&gt;A）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TPMT*3C（719T&gt;C）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硫唑嘌呤、硫鸟嘌呤</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TPMT*3C(719T&gt;C)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NUDT15(415C&gt;T)</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伊立替康</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UGT1A1*28(TA[6]&gt;TA[7])</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H型高血压、脑卒中风险</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MTHFR(677C&gt;T)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MTHFR(1298A&gt;C)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 xml:space="preserve">MTRR(66A&gt;G)              </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PAI-1(4G/5G)</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别嘌醇</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HLA-B*5801</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叶酸</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MTHFR(677C&gt;T)</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他莫昔芬</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CYP2D6(2850C&gt;T)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CYP2D6(100C&gt;T)</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CYP2D6(1758G&gt;A)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CYP19A1(A&gt;C)</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利福平、异烟肼、吡嗪酰胺</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NAT2*5(341T&gt;C)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NAT2*6(14349G&gt;A)</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 xml:space="preserve">NAT2*7(857G&gt;A)        </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NAT2*14(191G&gt;A)</w:t>
                  </w:r>
                </w:p>
              </w:tc>
            </w:tr>
            <w:tr>
              <w:tc>
                <w:tcPr>
                  <w:tcW w:type="dxa" w:w="1331"/>
                  <w:vMerge w:val="restart"/>
                  <w:tcBorders>
                    <w:top w:val="none" w:color="000000" w:sz="4"/>
                    <w:left w:val="single" w:color="000000" w:sz="4"/>
                    <w:bottom w:val="single" w:color="000000" w:sz="4"/>
                    <w:right w:val="single" w:color="000000" w:sz="4"/>
                  </w:tcBorders>
                  <w:vAlign w:val="top"/>
                </w:tcPr>
                <w:p>
                  <w:pPr>
                    <w:jc w:val="center"/>
                  </w:pPr>
                  <w:r>
                    <w:rPr>
                      <w:color w:val="000000"/>
                      <w:sz w:val="21"/>
                    </w:rPr>
                    <w:t>五大类高血压用药</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AGTR1(1166A&gt;C)</w:t>
                  </w:r>
                </w:p>
              </w:tc>
              <w:tc>
                <w:tcPr>
                  <w:tcW w:type="dxa" w:w="1870"/>
                  <w:vMerge w:val="restart"/>
                  <w:tcBorders>
                    <w:top w:val="none" w:color="000000" w:sz="4"/>
                    <w:left w:val="single" w:color="000000" w:sz="4"/>
                    <w:bottom w:val="single" w:color="000000" w:sz="4"/>
                    <w:right w:val="single" w:color="000000" w:sz="4"/>
                  </w:tcBorders>
                  <w:vAlign w:val="top"/>
                </w:tcPr>
                <w:p>
                  <w:pPr>
                    <w:jc w:val="center"/>
                  </w:pPr>
                  <w:r>
                    <w:rPr>
                      <w:sz w:val="21"/>
                    </w:rPr>
                    <w:t>荧光定量</w:t>
                  </w:r>
                  <w:r>
                    <w:rPr>
                      <w:sz w:val="21"/>
                    </w:rPr>
                    <w:t>PCR法、焦磷酸测序、二代测序、核酸质谱法</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NPPA(2238T&gt;C)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ADRB1(1165G&gt;C)</w:t>
                  </w:r>
                </w:p>
              </w:tc>
            </w:tr>
            <w:tr>
              <w:tc>
                <w:tcPr>
                  <w:tcW w:type="dxa" w:w="1331"/>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ACE(I/D)</w:t>
                  </w:r>
                </w:p>
              </w:tc>
            </w:tr>
            <w:tr>
              <w:tc>
                <w:tcPr>
                  <w:tcW w:type="dxa" w:w="1331"/>
                  <w:tcBorders>
                    <w:top w:val="none" w:color="000000" w:sz="4"/>
                    <w:left w:val="single" w:color="000000" w:sz="4"/>
                    <w:bottom w:val="single" w:color="000000" w:sz="4"/>
                    <w:right w:val="single" w:color="000000" w:sz="4"/>
                  </w:tcBorders>
                  <w:vAlign w:val="top"/>
                </w:tcPr>
                <w:p>
                  <w:pPr>
                    <w:jc w:val="center"/>
                  </w:pPr>
                  <w:r>
                    <w:rPr>
                      <w:color w:val="000000"/>
                      <w:sz w:val="21"/>
                    </w:rPr>
                    <w:t>其他</w:t>
                  </w:r>
                </w:p>
              </w:tc>
              <w:tc>
                <w:tcPr>
                  <w:tcW w:type="dxa" w:w="474"/>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921"/>
                  <w:tcBorders>
                    <w:top w:val="none" w:color="000000" w:sz="4"/>
                    <w:left w:val="single" w:color="000000" w:sz="4"/>
                    <w:bottom w:val="single" w:color="000000" w:sz="4"/>
                    <w:right w:val="single" w:color="000000" w:sz="4"/>
                  </w:tcBorders>
                  <w:vAlign w:val="top"/>
                </w:tcPr>
                <w:p>
                  <w:pPr>
                    <w:jc w:val="center"/>
                  </w:pPr>
                  <w:r>
                    <w:rPr>
                      <w:color w:val="000000"/>
                      <w:sz w:val="21"/>
                    </w:rPr>
                    <w:t>其他委托检验项目</w:t>
                  </w:r>
                </w:p>
              </w:tc>
              <w:tc>
                <w:tcPr>
                  <w:tcW w:type="dxa" w:w="1870"/>
                  <w:tcBorders>
                    <w:top w:val="none" w:color="000000" w:sz="4"/>
                    <w:left w:val="single" w:color="000000" w:sz="4"/>
                    <w:bottom w:val="single" w:color="000000" w:sz="4"/>
                    <w:right w:val="single" w:color="000000" w:sz="4"/>
                  </w:tcBorders>
                  <w:vAlign w:val="top"/>
                </w:tcPr>
                <w:p>
                  <w:pPr>
                    <w:jc w:val="center"/>
                  </w:pPr>
                  <w:r>
                    <w:rPr>
                      <w:color w:val="000000"/>
                      <w:sz w:val="21"/>
                    </w:rPr>
                    <w:t>按采购人要求</w:t>
                  </w:r>
                </w:p>
              </w:tc>
            </w:tr>
            <w:tr>
              <w:tc>
                <w:tcPr>
                  <w:tcW w:type="dxa" w:w="1331"/>
                  <w:tcBorders>
                    <w:top w:val="none" w:color="000000" w:sz="4"/>
                    <w:left w:val="single" w:color="000000" w:sz="4"/>
                    <w:bottom w:val="single" w:color="000000" w:sz="4"/>
                    <w:right w:val="single" w:color="000000" w:sz="4"/>
                  </w:tcBorders>
                  <w:vAlign w:val="top"/>
                </w:tcPr>
                <w:p>
                  <w:pPr>
                    <w:jc w:val="center"/>
                  </w:pPr>
                  <w:r>
                    <w:rPr>
                      <w:b/>
                      <w:sz w:val="21"/>
                    </w:rPr>
                    <w:t>备注</w:t>
                  </w:r>
                </w:p>
              </w:tc>
              <w:tc>
                <w:tcPr>
                  <w:tcW w:type="dxa" w:w="4265"/>
                  <w:gridSpan w:val="3"/>
                  <w:tcBorders>
                    <w:top w:val="none" w:color="000000" w:sz="4"/>
                    <w:left w:val="single" w:color="000000" w:sz="4"/>
                    <w:bottom w:val="single" w:color="000000" w:sz="4"/>
                    <w:right w:val="single" w:color="000000" w:sz="4"/>
                  </w:tcBorders>
                  <w:vAlign w:val="top"/>
                </w:tcPr>
                <w:p>
                  <w:pPr>
                    <w:jc w:val="center"/>
                  </w:pPr>
                  <w:r>
                    <w:rPr>
                      <w:b/>
                      <w:sz w:val="21"/>
                    </w:rPr>
                    <w:t>报告时间要求：自收到样本后</w:t>
                  </w:r>
                  <w:r>
                    <w:rPr>
                      <w:b/>
                      <w:sz w:val="21"/>
                    </w:rPr>
                    <w:t>48h内出具。</w:t>
                  </w:r>
                </w:p>
              </w:tc>
            </w:tr>
          </w:tbl>
          <w:p>
            <w:r>
              <w:rPr/>
              <w:t xml:space="preserve"> </w:t>
            </w:r>
          </w:p>
          <w:p>
            <w:pPr>
              <w:jc w:val="both"/>
            </w:pPr>
            <w:r>
              <w:rPr>
                <w:b/>
                <w:sz w:val="21"/>
              </w:rPr>
              <w:t>附件</w:t>
            </w:r>
            <w:r>
              <w:rPr>
                <w:b/>
                <w:sz w:val="21"/>
              </w:rPr>
              <w:t>2  治疗药物监测项目清单</w:t>
            </w:r>
          </w:p>
          <w:tbl>
            <w:tblPr>
              <w:tblBorders>
                <w:top w:val="none" w:color="000000" w:sz="4"/>
                <w:left w:val="none" w:color="000000" w:sz="4"/>
                <w:bottom w:val="none" w:color="000000" w:sz="4"/>
                <w:right w:val="none" w:color="000000" w:sz="4"/>
                <w:insideH w:val="none"/>
                <w:insideV w:val="none"/>
              </w:tblBorders>
            </w:tblPr>
            <w:tblGrid>
              <w:gridCol w:w="1167"/>
              <w:gridCol w:w="458"/>
              <w:gridCol w:w="1984"/>
              <w:gridCol w:w="1987"/>
            </w:tblGrid>
            <w:tr>
              <w:tc>
                <w:tcPr>
                  <w:tcW w:type="dxa" w:w="1167"/>
                  <w:tcBorders>
                    <w:top w:val="single" w:color="000000" w:sz="4"/>
                    <w:left w:val="single" w:color="000000" w:sz="4"/>
                    <w:bottom w:val="single" w:color="000000" w:sz="4"/>
                    <w:right w:val="single" w:color="000000" w:sz="4"/>
                  </w:tcBorders>
                  <w:vAlign w:val="top"/>
                </w:tcPr>
                <w:p>
                  <w:pPr>
                    <w:jc w:val="center"/>
                  </w:pPr>
                  <w:r>
                    <w:rPr>
                      <w:b/>
                      <w:color w:val="000000"/>
                      <w:sz w:val="21"/>
                    </w:rPr>
                    <w:t>药物种类</w:t>
                  </w:r>
                </w:p>
              </w:tc>
              <w:tc>
                <w:tcPr>
                  <w:tcW w:type="dxa" w:w="45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984"/>
                  <w:tcBorders>
                    <w:top w:val="single" w:color="000000" w:sz="4"/>
                    <w:left w:val="single" w:color="000000" w:sz="4"/>
                    <w:bottom w:val="single" w:color="000000" w:sz="4"/>
                    <w:right w:val="single" w:color="000000" w:sz="4"/>
                  </w:tcBorders>
                  <w:vAlign w:val="top"/>
                </w:tcPr>
                <w:p>
                  <w:pPr>
                    <w:jc w:val="center"/>
                  </w:pPr>
                  <w:r>
                    <w:rPr>
                      <w:b/>
                      <w:color w:val="000000"/>
                      <w:sz w:val="21"/>
                    </w:rPr>
                    <w:t>药物名称</w:t>
                  </w:r>
                </w:p>
              </w:tc>
              <w:tc>
                <w:tcPr>
                  <w:tcW w:type="dxa" w:w="1987"/>
                  <w:tcBorders>
                    <w:top w:val="single" w:color="000000" w:sz="4"/>
                    <w:left w:val="single" w:color="000000" w:sz="4"/>
                    <w:bottom w:val="single" w:color="000000" w:sz="4"/>
                    <w:right w:val="single" w:color="000000" w:sz="4"/>
                  </w:tcBorders>
                  <w:vAlign w:val="top"/>
                </w:tcPr>
                <w:p>
                  <w:pPr>
                    <w:jc w:val="center"/>
                  </w:pPr>
                  <w:r>
                    <w:rPr>
                      <w:b/>
                      <w:color w:val="000000"/>
                      <w:sz w:val="21"/>
                    </w:rPr>
                    <w:t>检测方法</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抗癫痫药物</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苯巴比妥</w:t>
                  </w:r>
                </w:p>
              </w:tc>
              <w:tc>
                <w:tcPr>
                  <w:tcW w:type="dxa" w:w="1987"/>
                  <w:vMerge w:val="restart"/>
                  <w:tcBorders>
                    <w:top w:val="none" w:color="000000" w:sz="4"/>
                    <w:left w:val="single" w:color="000000" w:sz="4"/>
                    <w:bottom w:val="single" w:color="000000" w:sz="4"/>
                    <w:right w:val="single" w:color="000000" w:sz="4"/>
                  </w:tcBorders>
                  <w:vAlign w:val="top"/>
                </w:tcPr>
                <w:p>
                  <w:pPr>
                    <w:jc w:val="center"/>
                  </w:pPr>
                  <w:r>
                    <w:rPr>
                      <w:sz w:val="21"/>
                    </w:rPr>
                    <w:t>液质联用法、色谱法、单抗法</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丙戊酸、奥卡西平（含</w:t>
                  </w:r>
                  <w:r>
                    <w:rPr>
                      <w:color w:val="000000"/>
                      <w:sz w:val="21"/>
                    </w:rPr>
                    <w:t>10-OH卡马西平）</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拉莫三嗪</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卡马西平</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抗抑郁药物</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文拉法辛（含</w:t>
                  </w:r>
                  <w:r>
                    <w:rPr>
                      <w:color w:val="000000"/>
                      <w:sz w:val="21"/>
                    </w:rPr>
                    <w:t>O-去甲基文拉法辛）</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艾司西酞普兰</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舍曲林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氟西汀</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阿米替林（含去甲阿米替林）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氟伏沙明</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帕罗西汀</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精神类药物</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阿立哌唑</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齐拉西酮</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奥氮平</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氟哌啶醇</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利培酮（含帕利哌啶酮）</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喹硫平</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氯氮平</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氨磺必利</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舒必利</w:t>
                  </w:r>
                </w:p>
              </w:tc>
              <w:tc>
                <w:tcPr>
                  <w:tcW w:type="dxa" w:w="1987"/>
                  <w:vMerge w:val="restart"/>
                  <w:tcBorders>
                    <w:top w:val="none" w:color="000000" w:sz="4"/>
                    <w:left w:val="single" w:color="000000" w:sz="4"/>
                    <w:bottom w:val="single" w:color="000000" w:sz="4"/>
                    <w:right w:val="single" w:color="000000" w:sz="4"/>
                  </w:tcBorders>
                  <w:vAlign w:val="top"/>
                </w:tcPr>
                <w:p>
                  <w:pPr>
                    <w:jc w:val="center"/>
                  </w:pPr>
                  <w:r>
                    <w:rPr>
                      <w:sz w:val="21"/>
                    </w:rPr>
                    <w:t>液质联用法、色谱法、单抗法</w:t>
                  </w:r>
                </w:p>
              </w:tc>
            </w:tr>
            <w:tr>
              <w:tc>
                <w:tcPr>
                  <w:tcW w:type="dxa" w:w="1167"/>
                  <w:tcBorders>
                    <w:top w:val="none" w:color="000000" w:sz="4"/>
                    <w:left w:val="single" w:color="000000" w:sz="4"/>
                    <w:bottom w:val="single" w:color="000000" w:sz="4"/>
                    <w:right w:val="single" w:color="000000" w:sz="4"/>
                  </w:tcBorders>
                  <w:vAlign w:val="top"/>
                </w:tcPr>
                <w:p>
                  <w:pPr>
                    <w:jc w:val="center"/>
                  </w:pPr>
                  <w:r>
                    <w:rPr>
                      <w:color w:val="000000"/>
                      <w:sz w:val="21"/>
                    </w:rPr>
                    <w:t>强心苷</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地高辛</w:t>
                  </w:r>
                </w:p>
              </w:tc>
            </w:tr>
            <w:tr>
              <w:tc>
                <w:tcPr>
                  <w:tcW w:type="dxa" w:w="1167"/>
                  <w:tcBorders>
                    <w:top w:val="none" w:color="000000" w:sz="4"/>
                    <w:left w:val="single" w:color="000000" w:sz="4"/>
                    <w:bottom w:val="single" w:color="000000" w:sz="4"/>
                    <w:right w:val="single" w:color="000000" w:sz="4"/>
                  </w:tcBorders>
                  <w:vAlign w:val="top"/>
                </w:tcPr>
                <w:p>
                  <w:pPr>
                    <w:jc w:val="center"/>
                  </w:pPr>
                  <w:r>
                    <w:rPr>
                      <w:color w:val="000000"/>
                      <w:sz w:val="21"/>
                    </w:rPr>
                    <w:t>平喘药</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茶碱</w:t>
                  </w:r>
                </w:p>
              </w:tc>
            </w:tr>
            <w:tr>
              <w:tc>
                <w:tcPr>
                  <w:tcW w:type="dxa" w:w="1167"/>
                  <w:tcBorders>
                    <w:top w:val="none" w:color="000000" w:sz="4"/>
                    <w:left w:val="single" w:color="000000" w:sz="4"/>
                    <w:bottom w:val="single" w:color="000000" w:sz="4"/>
                    <w:right w:val="single" w:color="000000" w:sz="4"/>
                  </w:tcBorders>
                  <w:vAlign w:val="top"/>
                </w:tcPr>
                <w:p>
                  <w:pPr>
                    <w:jc w:val="center"/>
                  </w:pPr>
                  <w:r>
                    <w:rPr>
                      <w:color w:val="000000"/>
                      <w:sz w:val="21"/>
                    </w:rPr>
                    <w:t>抗凝药</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华法林</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抗肿瘤药物</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甲氨蝶呤</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环磷酰胺</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免疫抑制剂</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环孢霉素</w:t>
                  </w:r>
                  <w:r>
                    <w:rPr>
                      <w:color w:val="000000"/>
                      <w:sz w:val="21"/>
                    </w:rPr>
                    <w:t>A</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他克莫司</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抗菌药物</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万古霉素</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替考拉宁</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伊曲康唑</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美罗培南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伏立康唑</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利奈唑胺</w:t>
                  </w:r>
                </w:p>
              </w:tc>
            </w:tr>
            <w:tr>
              <w:tc>
                <w:tcPr>
                  <w:tcW w:type="dxa" w:w="1167"/>
                  <w:vMerge w:val="restart"/>
                  <w:tcBorders>
                    <w:top w:val="none" w:color="000000" w:sz="4"/>
                    <w:left w:val="single" w:color="000000" w:sz="4"/>
                    <w:bottom w:val="single" w:color="000000" w:sz="4"/>
                    <w:right w:val="single" w:color="000000" w:sz="4"/>
                  </w:tcBorders>
                  <w:vAlign w:val="top"/>
                </w:tcPr>
                <w:p>
                  <w:pPr>
                    <w:jc w:val="center"/>
                  </w:pPr>
                  <w:r>
                    <w:rPr>
                      <w:color w:val="000000"/>
                      <w:sz w:val="21"/>
                    </w:rPr>
                    <w:t>单抗类</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贝伐珠单抗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曲妥珠单抗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利妥昔单抗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特瑞普利单抗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英夫利昔单抗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阿达木单抗</w:t>
                  </w:r>
                </w:p>
              </w:tc>
            </w:tr>
            <w:tr>
              <w:tc>
                <w:tcPr>
                  <w:tcW w:type="dxa" w:w="1167"/>
                  <w:vMerge/>
                  <w:tcBorders>
                    <w:top w:val="none" w:color="000000" w:sz="4"/>
                    <w:left w:val="single" w:color="000000" w:sz="4"/>
                    <w:bottom w:val="single" w:color="000000" w:sz="4"/>
                    <w:right w:val="single" w:color="000000" w:sz="4"/>
                  </w:tcBorders>
                </w:tcP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帕妥珠单抗</w:t>
                  </w:r>
                </w:p>
              </w:tc>
            </w:tr>
            <w:tr>
              <w:tc>
                <w:tcPr>
                  <w:tcW w:type="dxa" w:w="1167"/>
                  <w:tcBorders>
                    <w:top w:val="none" w:color="000000" w:sz="4"/>
                    <w:left w:val="single" w:color="000000" w:sz="4"/>
                    <w:bottom w:val="single" w:color="000000" w:sz="4"/>
                    <w:right w:val="single" w:color="000000" w:sz="4"/>
                  </w:tcBorders>
                  <w:vAlign w:val="top"/>
                </w:tcPr>
                <w:p>
                  <w:pPr>
                    <w:jc w:val="center"/>
                  </w:pPr>
                  <w:r>
                    <w:rPr>
                      <w:color w:val="000000"/>
                      <w:sz w:val="21"/>
                    </w:rPr>
                    <w:t>其他</w:t>
                  </w:r>
                </w:p>
              </w:tc>
              <w:tc>
                <w:tcPr>
                  <w:tcW w:type="dxa" w:w="45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984"/>
                  <w:tcBorders>
                    <w:top w:val="none" w:color="000000" w:sz="4"/>
                    <w:left w:val="single" w:color="000000" w:sz="4"/>
                    <w:bottom w:val="single" w:color="000000" w:sz="4"/>
                    <w:right w:val="single" w:color="000000" w:sz="4"/>
                  </w:tcBorders>
                  <w:vAlign w:val="top"/>
                </w:tcPr>
                <w:p>
                  <w:pPr>
                    <w:jc w:val="center"/>
                  </w:pPr>
                  <w:r>
                    <w:rPr>
                      <w:color w:val="000000"/>
                      <w:sz w:val="21"/>
                    </w:rPr>
                    <w:t>其他委托检验项目</w:t>
                  </w:r>
                </w:p>
              </w:tc>
              <w:tc>
                <w:tcPr>
                  <w:tcW w:type="dxa" w:w="1987"/>
                  <w:tcBorders>
                    <w:top w:val="none" w:color="000000" w:sz="4"/>
                    <w:left w:val="single" w:color="000000" w:sz="4"/>
                    <w:bottom w:val="single" w:color="000000" w:sz="4"/>
                    <w:right w:val="single" w:color="000000" w:sz="4"/>
                  </w:tcBorders>
                  <w:vAlign w:val="top"/>
                </w:tcPr>
                <w:p>
                  <w:pPr>
                    <w:jc w:val="center"/>
                  </w:pPr>
                  <w:r>
                    <w:rPr>
                      <w:color w:val="000000"/>
                      <w:sz w:val="21"/>
                    </w:rPr>
                    <w:t>按采购人要求</w:t>
                  </w:r>
                </w:p>
              </w:tc>
            </w:tr>
            <w:tr>
              <w:tc>
                <w:tcPr>
                  <w:tcW w:type="dxa" w:w="1167"/>
                  <w:tcBorders>
                    <w:top w:val="none" w:color="000000" w:sz="4"/>
                    <w:left w:val="single" w:color="000000" w:sz="4"/>
                    <w:bottom w:val="single" w:color="000000" w:sz="4"/>
                    <w:right w:val="single" w:color="000000" w:sz="4"/>
                  </w:tcBorders>
                  <w:vAlign w:val="top"/>
                </w:tcPr>
                <w:p>
                  <w:pPr>
                    <w:jc w:val="center"/>
                  </w:pPr>
                  <w:r>
                    <w:rPr>
                      <w:b/>
                      <w:color w:val="000000"/>
                      <w:sz w:val="21"/>
                    </w:rPr>
                    <w:t>备注</w:t>
                  </w:r>
                </w:p>
              </w:tc>
              <w:tc>
                <w:tcPr>
                  <w:tcW w:type="dxa" w:w="4429"/>
                  <w:gridSpan w:val="3"/>
                  <w:tcBorders>
                    <w:top w:val="none" w:color="000000" w:sz="4"/>
                    <w:left w:val="single" w:color="000000" w:sz="4"/>
                    <w:bottom w:val="single" w:color="000000" w:sz="4"/>
                    <w:right w:val="single" w:color="000000" w:sz="4"/>
                  </w:tcBorders>
                  <w:vAlign w:val="top"/>
                </w:tcPr>
                <w:p>
                  <w:pPr>
                    <w:jc w:val="center"/>
                  </w:pPr>
                  <w:r>
                    <w:rPr>
                      <w:b/>
                      <w:sz w:val="21"/>
                    </w:rPr>
                    <w:t>报告时间要求：自收到样本后</w:t>
                  </w:r>
                  <w:r>
                    <w:rPr>
                      <w:b/>
                      <w:sz w:val="21"/>
                    </w:rPr>
                    <w:t>24h内出具。</w:t>
                  </w:r>
                </w:p>
              </w:tc>
            </w:tr>
          </w:tbl>
          <w:p>
            <w:pPr>
              <w:jc w:val="both"/>
            </w:pPr>
            <w:r>
              <w:rPr>
                <w:b/>
                <w:sz w:val="21"/>
              </w:rPr>
              <w:t>附件</w:t>
            </w:r>
            <w:r>
              <w:rPr>
                <w:b/>
                <w:sz w:val="21"/>
              </w:rPr>
              <w:t>3  实验室必备仪器设备清单</w:t>
            </w:r>
          </w:p>
          <w:tbl>
            <w:tblPr>
              <w:tblBorders>
                <w:top w:val="none" w:color="000000" w:sz="4"/>
                <w:left w:val="none" w:color="000000" w:sz="4"/>
                <w:bottom w:val="none" w:color="000000" w:sz="4"/>
                <w:right w:val="none" w:color="000000" w:sz="4"/>
                <w:insideH w:val="none"/>
                <w:insideV w:val="none"/>
              </w:tblBorders>
            </w:tblPr>
            <w:tblGrid>
              <w:gridCol w:w="1140"/>
              <w:gridCol w:w="725"/>
              <w:gridCol w:w="1852"/>
              <w:gridCol w:w="1881"/>
            </w:tblGrid>
            <w:tr>
              <w:tc>
                <w:tcPr>
                  <w:tcW w:type="dxa" w:w="1140"/>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725"/>
                  <w:tcBorders>
                    <w:top w:val="single" w:color="000000" w:sz="4"/>
                    <w:left w:val="single" w:color="000000" w:sz="4"/>
                    <w:bottom w:val="single" w:color="000000" w:sz="4"/>
                    <w:right w:val="single" w:color="000000" w:sz="4"/>
                  </w:tcBorders>
                  <w:vAlign w:val="top"/>
                </w:tcPr>
                <w:p>
                  <w:pPr>
                    <w:jc w:val="center"/>
                  </w:pPr>
                  <w:r>
                    <w:rPr>
                      <w:b/>
                      <w:sz w:val="21"/>
                    </w:rPr>
                    <w:t>最低数量</w:t>
                  </w:r>
                </w:p>
              </w:tc>
              <w:tc>
                <w:tcPr>
                  <w:tcW w:type="dxa" w:w="1852"/>
                  <w:tcBorders>
                    <w:top w:val="single" w:color="000000" w:sz="4"/>
                    <w:left w:val="single" w:color="000000" w:sz="4"/>
                    <w:bottom w:val="single" w:color="000000" w:sz="4"/>
                    <w:right w:val="single" w:color="000000" w:sz="4"/>
                  </w:tcBorders>
                  <w:vAlign w:val="top"/>
                </w:tcPr>
                <w:p>
                  <w:pPr>
                    <w:jc w:val="center"/>
                  </w:pPr>
                  <w:r>
                    <w:rPr>
                      <w:b/>
                      <w:sz w:val="21"/>
                    </w:rPr>
                    <w:t>核心参数</w:t>
                  </w:r>
                </w:p>
              </w:tc>
              <w:tc>
                <w:tcPr>
                  <w:tcW w:type="dxa" w:w="1881"/>
                  <w:tcBorders>
                    <w:top w:val="single" w:color="000000" w:sz="4"/>
                    <w:left w:val="single" w:color="000000" w:sz="4"/>
                    <w:bottom w:val="single" w:color="000000" w:sz="4"/>
                    <w:right w:val="single" w:color="000000" w:sz="4"/>
                  </w:tcBorders>
                  <w:vAlign w:val="top"/>
                </w:tcPr>
                <w:p>
                  <w:pPr>
                    <w:jc w:val="center"/>
                  </w:pPr>
                  <w:r>
                    <w:rPr>
                      <w:b/>
                      <w:sz w:val="21"/>
                    </w:rPr>
                    <w:t>用途</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手动单道移液器</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5支</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P2（0.2μL~2μL）</w:t>
                  </w:r>
                </w:p>
                <w:p>
                  <w:pPr>
                    <w:jc w:val="center"/>
                  </w:pPr>
                  <w:r>
                    <w:rPr>
                      <w:sz w:val="21"/>
                    </w:rPr>
                    <w:t>P10（1μL~10μL）</w:t>
                  </w:r>
                </w:p>
                <w:p>
                  <w:pPr>
                    <w:jc w:val="center"/>
                  </w:pPr>
                  <w:r>
                    <w:rPr>
                      <w:sz w:val="21"/>
                    </w:rPr>
                    <w:t>P100（10μL~100μL）</w:t>
                  </w:r>
                </w:p>
                <w:p>
                  <w:pPr>
                    <w:jc w:val="center"/>
                  </w:pPr>
                  <w:r>
                    <w:rPr>
                      <w:sz w:val="21"/>
                    </w:rPr>
                    <w:t>P200（20μL~200μL）</w:t>
                  </w:r>
                </w:p>
                <w:p>
                  <w:pPr>
                    <w:jc w:val="center"/>
                  </w:pPr>
                  <w:r>
                    <w:rPr>
                      <w:sz w:val="21"/>
                    </w:rPr>
                    <w:t>P1000（100μL~1000μL）</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试剂配制和分装，标本提取及标本加样</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迷你离心机</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≥4000rpm</w:t>
                  </w:r>
                </w:p>
                <w:p>
                  <w:pPr>
                    <w:jc w:val="center"/>
                  </w:pPr>
                  <w:r>
                    <w:rPr>
                      <w:sz w:val="21"/>
                    </w:rPr>
                    <w:t>≥940xg</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试剂配制过程离心</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洁净工作台</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1张</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1600</w:t>
                  </w:r>
                  <w:r>
                    <w:rPr>
                      <w:sz w:val="21"/>
                    </w:rPr>
                    <w:t>×</w:t>
                  </w:r>
                  <w:r>
                    <w:rPr>
                      <w:sz w:val="21"/>
                    </w:rPr>
                    <w:t>730</w:t>
                  </w:r>
                  <w:r>
                    <w:rPr>
                      <w:sz w:val="21"/>
                    </w:rPr>
                    <w:t>×</w:t>
                  </w:r>
                  <w:r>
                    <w:rPr>
                      <w:sz w:val="21"/>
                    </w:rPr>
                    <w:t>1600 (宽</w:t>
                  </w:r>
                  <w:r>
                    <w:rPr>
                      <w:sz w:val="21"/>
                    </w:rPr>
                    <w:t>×</w:t>
                  </w:r>
                  <w:r>
                    <w:rPr>
                      <w:sz w:val="21"/>
                    </w:rPr>
                    <w:t>深</w:t>
                  </w:r>
                  <w:r>
                    <w:rPr>
                      <w:sz w:val="21"/>
                    </w:rPr>
                    <w:t>×</w:t>
                  </w:r>
                  <w:r>
                    <w:rPr>
                      <w:sz w:val="21"/>
                    </w:rPr>
                    <w:t>高）</w:t>
                  </w:r>
                  <w:r>
                    <w:rPr>
                      <w:sz w:val="21"/>
                    </w:rPr>
                    <w:t>mm</w:t>
                  </w:r>
                </w:p>
                <w:p>
                  <w:pPr>
                    <w:jc w:val="center"/>
                  </w:pPr>
                  <w:r>
                    <w:rPr>
                      <w:sz w:val="21"/>
                    </w:rPr>
                    <w:t>洁净度</w:t>
                  </w:r>
                  <w:r>
                    <w:rPr>
                      <w:sz w:val="21"/>
                    </w:rPr>
                    <w:t>≥100级</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供局部无尘、无菌工作环境，将工作区已被污染的空气通过</w:t>
                  </w:r>
                  <w:r>
                    <w:rPr>
                      <w:sz w:val="21"/>
                    </w:rPr>
                    <w:t>专门的过滤通道人为地控制排放，避免对人和环境造成危害</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冰箱</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有效容量</w:t>
                  </w:r>
                  <w:r>
                    <w:rPr>
                      <w:sz w:val="21"/>
                    </w:rPr>
                    <w:t>≥118L</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试剂存放</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温湿度计</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-30℃~+50℃（℃）</w:t>
                  </w:r>
                  <w:r>
                    <w:br/>
                  </w:r>
                  <w:r>
                    <w:rPr>
                      <w:sz w:val="21"/>
                    </w:rPr>
                    <w:t>10%~99%（RH）</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实验室环境温湿度监控</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温度计</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-9.9℃~﹢50℃（℃）</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检测各室冰箱温度，保证样本或试剂的存储条件</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移动紫外消毒车</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2部</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波长</w:t>
                  </w:r>
                  <w:r>
                    <w:rPr>
                      <w:sz w:val="21"/>
                    </w:rPr>
                    <w:t>254nm</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实验室消毒</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涡旋振荡器</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200-3000rmp</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用于震荡混合试剂或样本</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十万分之一天平</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可读性</w:t>
                  </w:r>
                  <w:r>
                    <w:rPr>
                      <w:sz w:val="21"/>
                    </w:rPr>
                    <w:t>0.0001g</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定量分析用标准物质的称量</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台式低温离心机</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≥18600r/min</w:t>
                  </w:r>
                </w:p>
                <w:p>
                  <w:pPr>
                    <w:jc w:val="center"/>
                  </w:pPr>
                  <w:r>
                    <w:rPr>
                      <w:sz w:val="21"/>
                    </w:rPr>
                    <w:t>-30℃~+40℃（℃）</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采血管离心</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小离心机</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≥8000rpm</w:t>
                  </w:r>
                </w:p>
                <w:p>
                  <w:pPr>
                    <w:jc w:val="center"/>
                  </w:pPr>
                  <w:r>
                    <w:rPr>
                      <w:sz w:val="21"/>
                    </w:rPr>
                    <w:t>≥1840xg</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制备后离心管的离心</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电热恒温培养箱</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有效容积</w:t>
                  </w:r>
                  <w:r>
                    <w:rPr>
                      <w:sz w:val="21"/>
                    </w:rPr>
                    <w:t>≥70（L）</w:t>
                  </w:r>
                </w:p>
                <w:p>
                  <w:pPr>
                    <w:jc w:val="center"/>
                  </w:pPr>
                  <w:r>
                    <w:rPr>
                      <w:sz w:val="21"/>
                    </w:rPr>
                    <w:t>温度范围</w:t>
                  </w:r>
                  <w:r>
                    <w:rPr>
                      <w:sz w:val="21"/>
                    </w:rPr>
                    <w:t>0~65（℃）</w:t>
                  </w:r>
                </w:p>
                <w:p>
                  <w:pPr>
                    <w:jc w:val="center"/>
                  </w:pPr>
                  <w:r>
                    <w:rPr>
                      <w:sz w:val="21"/>
                    </w:rPr>
                    <w:t>温度波动度高温</w:t>
                  </w:r>
                  <w:r>
                    <w:rPr>
                      <w:sz w:val="21"/>
                    </w:rPr>
                    <w:t>±0.3℃（℃）</w:t>
                  </w:r>
                </w:p>
                <w:p>
                  <w:pPr>
                    <w:jc w:val="center"/>
                  </w:pPr>
                  <w:r>
                    <w:rPr>
                      <w:sz w:val="21"/>
                    </w:rPr>
                    <w:t>温度均匀度</w:t>
                  </w:r>
                  <w:r>
                    <w:rPr>
                      <w:sz w:val="21"/>
                    </w:rPr>
                    <w:t>1（%）</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用于实验过程的恒温孵育</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电热恒温水槽</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尺寸</w:t>
                  </w:r>
                  <w:r>
                    <w:rPr>
                      <w:sz w:val="21"/>
                    </w:rPr>
                    <w:t>900</w:t>
                  </w:r>
                  <w:r>
                    <w:rPr>
                      <w:sz w:val="21"/>
                    </w:rPr>
                    <w:t>×</w:t>
                  </w:r>
                  <w:r>
                    <w:rPr>
                      <w:sz w:val="21"/>
                    </w:rPr>
                    <w:t>150</w:t>
                  </w:r>
                  <w:r>
                    <w:rPr>
                      <w:sz w:val="21"/>
                    </w:rPr>
                    <w:t>×</w:t>
                  </w:r>
                  <w:r>
                    <w:rPr>
                      <w:sz w:val="21"/>
                    </w:rPr>
                    <w:t>110（mm）</w:t>
                  </w:r>
                </w:p>
                <w:p>
                  <w:pPr>
                    <w:jc w:val="center"/>
                  </w:pPr>
                  <w:r>
                    <w:rPr>
                      <w:sz w:val="21"/>
                    </w:rPr>
                    <w:t>温度范围</w:t>
                  </w:r>
                  <w:r>
                    <w:rPr>
                      <w:sz w:val="21"/>
                    </w:rPr>
                    <w:t>RT+5~99（℃）</w:t>
                  </w:r>
                </w:p>
                <w:p>
                  <w:pPr>
                    <w:jc w:val="center"/>
                  </w:pPr>
                  <w:r>
                    <w:rPr>
                      <w:sz w:val="21"/>
                    </w:rPr>
                    <w:t>温度波动度</w:t>
                  </w:r>
                  <w:r>
                    <w:rPr>
                      <w:sz w:val="21"/>
                    </w:rPr>
                    <w:t>1（℃）</w:t>
                  </w:r>
                </w:p>
                <w:p>
                  <w:pPr>
                    <w:jc w:val="center"/>
                  </w:pPr>
                  <w:r>
                    <w:rPr>
                      <w:sz w:val="21"/>
                    </w:rPr>
                    <w:t>温度均匀度</w:t>
                  </w:r>
                  <w:r>
                    <w:rPr>
                      <w:sz w:val="21"/>
                    </w:rPr>
                    <w:t>2（%）</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用于实验过程水浴</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Ⅱ级生物安全柜</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洁净度</w:t>
                  </w:r>
                  <w:r>
                    <w:rPr>
                      <w:sz w:val="21"/>
                    </w:rPr>
                    <w:t>≥100级</w:t>
                  </w:r>
                </w:p>
                <w:p>
                  <w:pPr>
                    <w:jc w:val="center"/>
                  </w:pPr>
                  <w:r>
                    <w:rPr>
                      <w:sz w:val="21"/>
                    </w:rPr>
                    <w:t>平均风速</w:t>
                  </w:r>
                  <w:r>
                    <w:rPr>
                      <w:sz w:val="21"/>
                    </w:rPr>
                    <w:t>0.3-0.6m/s</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操作者可以通过前窗操作口在安全柜内进行操作，对操作过</w:t>
                  </w:r>
                  <w:r>
                    <w:rPr>
                      <w:sz w:val="21"/>
                    </w:rPr>
                    <w:t>程的人员、产品及环境进行保护</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PCR仪</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温度范围</w:t>
                  </w:r>
                  <w:r>
                    <w:rPr>
                      <w:sz w:val="21"/>
                    </w:rPr>
                    <w:t>4-100℃</w:t>
                  </w:r>
                </w:p>
                <w:p>
                  <w:pPr>
                    <w:jc w:val="center"/>
                  </w:pPr>
                  <w:r>
                    <w:rPr>
                      <w:sz w:val="21"/>
                    </w:rPr>
                    <w:t>容量</w:t>
                  </w:r>
                  <w:r>
                    <w:rPr>
                      <w:sz w:val="21"/>
                    </w:rPr>
                    <w:t>96</w:t>
                  </w:r>
                  <w:r>
                    <w:rPr>
                      <w:sz w:val="21"/>
                    </w:rPr>
                    <w:t>×</w:t>
                  </w:r>
                  <w:r>
                    <w:rPr>
                      <w:sz w:val="21"/>
                    </w:rPr>
                    <w:t>0.2 ml</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用于体外核酸扩增</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高压蒸汽灭菌锅</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温度波长</w:t>
                  </w:r>
                  <w:r>
                    <w:rPr>
                      <w:sz w:val="21"/>
                    </w:rPr>
                    <w:t>254nm129℃</w:t>
                  </w:r>
                </w:p>
                <w:p>
                  <w:pPr>
                    <w:jc w:val="center"/>
                  </w:pPr>
                  <w:r>
                    <w:rPr>
                      <w:sz w:val="21"/>
                    </w:rPr>
                    <w:t>容积</w:t>
                  </w:r>
                  <w:r>
                    <w:rPr>
                      <w:sz w:val="21"/>
                    </w:rPr>
                    <w:t>≥30L</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主要用于器具、液体、废弃物等的灭菌处理。</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超声波清洗机</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温度控制范围</w:t>
                  </w:r>
                  <w:r>
                    <w:rPr>
                      <w:sz w:val="21"/>
                    </w:rPr>
                    <w:t>0~60℃</w:t>
                  </w:r>
                </w:p>
                <w:p>
                  <w:pPr>
                    <w:jc w:val="center"/>
                  </w:pPr>
                  <w:r>
                    <w:rPr>
                      <w:sz w:val="21"/>
                    </w:rPr>
                    <w:t>槽数</w:t>
                  </w:r>
                  <w:r>
                    <w:rPr>
                      <w:sz w:val="21"/>
                    </w:rPr>
                    <w:t>1</w:t>
                  </w:r>
                </w:p>
                <w:p>
                  <w:pPr>
                    <w:jc w:val="center"/>
                  </w:pPr>
                  <w:r>
                    <w:rPr>
                      <w:sz w:val="21"/>
                    </w:rPr>
                    <w:t>超声清洗频率</w:t>
                  </w:r>
                  <w:r>
                    <w:rPr>
                      <w:sz w:val="21"/>
                    </w:rPr>
                    <w:t>40Hz</w:t>
                  </w:r>
                </w:p>
                <w:p>
                  <w:pPr>
                    <w:jc w:val="center"/>
                  </w:pPr>
                  <w:r>
                    <w:rPr>
                      <w:sz w:val="21"/>
                    </w:rPr>
                    <w:t>加热功率</w:t>
                  </w:r>
                  <w:r>
                    <w:rPr>
                      <w:sz w:val="21"/>
                    </w:rPr>
                    <w:t>0.3Kw</w:t>
                  </w:r>
                </w:p>
                <w:p>
                  <w:pPr>
                    <w:jc w:val="center"/>
                  </w:pPr>
                  <w:r>
                    <w:rPr>
                      <w:sz w:val="21"/>
                    </w:rPr>
                    <w:t>震子数</w:t>
                  </w:r>
                  <w:r>
                    <w:rPr>
                      <w:sz w:val="21"/>
                    </w:rPr>
                    <w:t>4</w:t>
                  </w:r>
                </w:p>
                <w:p>
                  <w:pPr>
                    <w:jc w:val="center"/>
                  </w:pPr>
                  <w:r>
                    <w:rPr>
                      <w:sz w:val="21"/>
                    </w:rPr>
                    <w:t>时间控制范围</w:t>
                  </w:r>
                  <w:r>
                    <w:rPr>
                      <w:sz w:val="21"/>
                    </w:rPr>
                    <w:t>0-60min</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用于仪器设备清洗及难溶物质助溶、液相溶剂超声脱气等</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液质联用仪</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1260 Infinity Ⅱ</w:t>
                  </w:r>
                </w:p>
                <w:p>
                  <w:pPr>
                    <w:jc w:val="center"/>
                  </w:pPr>
                  <w:r>
                    <w:rPr>
                      <w:sz w:val="21"/>
                    </w:rPr>
                    <w:t>6470 Triple Quad LC</w:t>
                  </w:r>
                  <w:r>
                    <w:rPr>
                      <w:b/>
                      <w:sz w:val="21"/>
                    </w:rPr>
                    <w:t>/</w:t>
                  </w:r>
                  <w:r>
                    <w:rPr>
                      <w:sz w:val="21"/>
                    </w:rPr>
                    <w:t>MS</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用于小分子药物的定量分析检测</w:t>
                  </w:r>
                </w:p>
              </w:tc>
            </w:tr>
            <w:tr>
              <w:tc>
                <w:tcPr>
                  <w:tcW w:type="dxa" w:w="1140"/>
                  <w:tcBorders>
                    <w:top w:val="none" w:color="000000" w:sz="4"/>
                    <w:left w:val="single" w:color="000000" w:sz="4"/>
                    <w:bottom w:val="single" w:color="000000" w:sz="4"/>
                    <w:right w:val="single" w:color="000000" w:sz="4"/>
                  </w:tcBorders>
                  <w:vAlign w:val="top"/>
                </w:tcPr>
                <w:p>
                  <w:pPr>
                    <w:jc w:val="center"/>
                  </w:pPr>
                  <w:r>
                    <w:rPr>
                      <w:sz w:val="21"/>
                    </w:rPr>
                    <w:t>色谱柱</w:t>
                  </w:r>
                </w:p>
              </w:tc>
              <w:tc>
                <w:tcPr>
                  <w:tcW w:type="dxa" w:w="725"/>
                  <w:tcBorders>
                    <w:top w:val="none" w:color="000000" w:sz="4"/>
                    <w:left w:val="single" w:color="000000" w:sz="4"/>
                    <w:bottom w:val="single" w:color="000000" w:sz="4"/>
                    <w:right w:val="single" w:color="000000" w:sz="4"/>
                  </w:tcBorders>
                  <w:vAlign w:val="top"/>
                </w:tcPr>
                <w:p>
                  <w:pPr>
                    <w:jc w:val="center"/>
                  </w:pPr>
                  <w:r>
                    <w:rPr>
                      <w:sz w:val="21"/>
                    </w:rPr>
                    <w:t>2个</w:t>
                  </w:r>
                </w:p>
              </w:tc>
              <w:tc>
                <w:tcPr>
                  <w:tcW w:type="dxa" w:w="1852"/>
                  <w:tcBorders>
                    <w:top w:val="none" w:color="000000" w:sz="4"/>
                    <w:left w:val="single" w:color="000000" w:sz="4"/>
                    <w:bottom w:val="single" w:color="000000" w:sz="4"/>
                    <w:right w:val="single" w:color="000000" w:sz="4"/>
                  </w:tcBorders>
                  <w:vAlign w:val="top"/>
                </w:tcPr>
                <w:p>
                  <w:pPr>
                    <w:jc w:val="center"/>
                  </w:pPr>
                  <w:r>
                    <w:rPr>
                      <w:sz w:val="21"/>
                    </w:rPr>
                    <w:t>C18（2.1*50mm,1.8μm，3.0*100mm,2.7μm）</w:t>
                  </w:r>
                </w:p>
              </w:tc>
              <w:tc>
                <w:tcPr>
                  <w:tcW w:type="dxa" w:w="1881"/>
                  <w:tcBorders>
                    <w:top w:val="none" w:color="000000" w:sz="4"/>
                    <w:left w:val="single" w:color="000000" w:sz="4"/>
                    <w:bottom w:val="single" w:color="000000" w:sz="4"/>
                    <w:right w:val="single" w:color="000000" w:sz="4"/>
                  </w:tcBorders>
                  <w:vAlign w:val="top"/>
                </w:tcPr>
                <w:p>
                  <w:pPr>
                    <w:jc w:val="center"/>
                  </w:pPr>
                  <w:r>
                    <w:rPr>
                      <w:sz w:val="21"/>
                    </w:rPr>
                    <w:t>用于小分子药物的定量分析检测</w:t>
                  </w:r>
                </w:p>
              </w:tc>
            </w:tr>
          </w:tbl>
          <w:p>
            <w:r>
              <w:rPr/>
              <w:t xml:space="preserve"> </w:t>
            </w:r>
          </w:p>
          <w:p>
            <w:pPr>
              <w:jc w:val="left"/>
            </w:pPr>
            <w:r>
              <w:rPr>
                <w:b/>
                <w:sz w:val="21"/>
              </w:rPr>
              <w:t>二）技术队伍要求</w:t>
            </w:r>
          </w:p>
          <w:p>
            <w:pPr>
              <w:jc w:val="left"/>
            </w:pPr>
            <w:r>
              <w:rPr>
                <w:sz w:val="21"/>
              </w:rPr>
              <w:t>（</w:t>
            </w:r>
            <w:r>
              <w:rPr>
                <w:sz w:val="21"/>
              </w:rPr>
              <w:t>1）供应商实验室检验人员配备应符合国家相关要求，药学类专业技术人员不低于4人，检验检测类具有初级检验职称的专业人员不低于3人，可满足检测需求。</w:t>
            </w:r>
          </w:p>
          <w:p>
            <w:pPr>
              <w:jc w:val="left"/>
            </w:pPr>
            <w:r>
              <w:rPr>
                <w:sz w:val="21"/>
              </w:rPr>
              <w:t>（</w:t>
            </w:r>
            <w:r>
              <w:rPr>
                <w:sz w:val="21"/>
              </w:rPr>
              <w:t>2）供应商配备具有PCR上岗证的技术人员不少于2名，负责项目采样规范化培训，标本交接、登记、前处理、检测、报告出具、报告审核、意外情况处理，报告分发，与采购人对接等工作；要求提供人员PCR上岗证书复印件。</w:t>
            </w:r>
          </w:p>
          <w:p>
            <w:pPr>
              <w:jc w:val="left"/>
            </w:pPr>
            <w:r>
              <w:rPr>
                <w:sz w:val="21"/>
              </w:rPr>
              <w:t>（</w:t>
            </w:r>
            <w:r>
              <w:rPr>
                <w:sz w:val="21"/>
              </w:rPr>
              <w:t>3）采用的检测方法及出报告时间：</w:t>
            </w:r>
          </w:p>
          <w:p>
            <w:pPr>
              <w:ind w:firstLine="420"/>
              <w:jc w:val="left"/>
            </w:pPr>
            <w:r>
              <w:rPr>
                <w:sz w:val="21"/>
              </w:rPr>
              <w:t>1）药物基因检测：供应商需具备荧光定量PCR法、焦磷酸测序、二代测序、核酸质谱法四种检测方法中不少于两种检测方法；</w:t>
            </w:r>
          </w:p>
          <w:p>
            <w:pPr>
              <w:ind w:firstLine="420"/>
              <w:jc w:val="left"/>
            </w:pPr>
            <w:r>
              <w:rPr>
                <w:sz w:val="21"/>
              </w:rPr>
              <w:t>2）治疗药物监测：液质联用法、色谱法、单抗法（三种检测方法中不少于两种检测方法）；</w:t>
            </w:r>
          </w:p>
          <w:p>
            <w:pPr>
              <w:ind w:firstLine="420"/>
              <w:jc w:val="left"/>
            </w:pPr>
            <w:r>
              <w:rPr>
                <w:sz w:val="21"/>
              </w:rPr>
              <w:t>3）出报告时间：从样品接收到出具结果，基因检测报告不超过48h，TDM报告不超过24h。</w:t>
            </w:r>
          </w:p>
          <w:p>
            <w:pPr>
              <w:jc w:val="left"/>
            </w:pPr>
            <w:r>
              <w:rPr>
                <w:sz w:val="21"/>
              </w:rPr>
              <w:t>（</w:t>
            </w:r>
            <w:r>
              <w:rPr>
                <w:sz w:val="21"/>
              </w:rPr>
              <w:t>4）常规设有客服人员负责采购人反馈信息的受理、传达、跟踪处理等工作，以满足售后服务，客服人员工作时间为全年每天24小时。</w:t>
            </w:r>
          </w:p>
          <w:p>
            <w:pPr>
              <w:jc w:val="left"/>
            </w:pPr>
            <w:r>
              <w:rPr>
                <w:b/>
                <w:sz w:val="21"/>
              </w:rPr>
              <w:t>三）实验室技术要求</w:t>
            </w:r>
          </w:p>
          <w:p>
            <w:pPr>
              <w:jc w:val="left"/>
            </w:pPr>
            <w:r>
              <w:rPr>
                <w:sz w:val="21"/>
              </w:rPr>
              <w:t>（</w:t>
            </w:r>
            <w:r>
              <w:rPr>
                <w:sz w:val="21"/>
              </w:rPr>
              <w:t>1）供应商拥有自己的医学检测实验室，实验室有完善的质量管理体系，提供CNAS（ISO/IEC 17025）</w:t>
            </w:r>
            <w:r>
              <w:rPr>
                <w:sz w:val="21"/>
              </w:rPr>
              <w:t>实验室认可</w:t>
            </w:r>
            <w:r>
              <w:rPr>
                <w:sz w:val="21"/>
              </w:rPr>
              <w:t>证书。</w:t>
            </w:r>
          </w:p>
          <w:p>
            <w:pPr>
              <w:jc w:val="left"/>
            </w:pPr>
            <w:r>
              <w:rPr>
                <w:sz w:val="21"/>
              </w:rPr>
              <w:t>▲</w:t>
            </w:r>
            <w:r>
              <w:rPr>
                <w:sz w:val="21"/>
              </w:rPr>
              <w:t>（</w:t>
            </w:r>
            <w:r>
              <w:rPr>
                <w:sz w:val="21"/>
              </w:rPr>
              <w:t>2)供应商实验室须拥有完善的分子诊断技术平台，能提供不少于两种的检测技术。</w:t>
            </w:r>
          </w:p>
          <w:p>
            <w:pPr>
              <w:jc w:val="left"/>
            </w:pPr>
            <w:r>
              <w:rPr>
                <w:sz w:val="21"/>
              </w:rPr>
              <w:t>▲</w:t>
            </w:r>
            <w:r>
              <w:rPr>
                <w:sz w:val="21"/>
              </w:rPr>
              <w:t>（</w:t>
            </w:r>
            <w:r>
              <w:rPr>
                <w:sz w:val="21"/>
              </w:rPr>
              <w:t>3）供应商实验室须拥有完善的理化检测平台，包括液相色谱、质谱等相关技术平台,能提供不少于两种的检测技术。</w:t>
            </w:r>
          </w:p>
          <w:p>
            <w:pPr>
              <w:jc w:val="left"/>
            </w:pPr>
            <w:r>
              <w:rPr>
                <w:sz w:val="21"/>
              </w:rPr>
              <w:t>（</w:t>
            </w:r>
            <w:r>
              <w:rPr>
                <w:sz w:val="21"/>
              </w:rPr>
              <w:t>4）供应商2020年1月1日至今获得过与委托检测项目的相关室间质评合格证书。</w:t>
            </w:r>
          </w:p>
          <w:p>
            <w:pPr>
              <w:jc w:val="left"/>
            </w:pPr>
            <w:r>
              <w:rPr>
                <w:sz w:val="21"/>
              </w:rPr>
              <w:t>（</w:t>
            </w:r>
            <w:r>
              <w:rPr>
                <w:sz w:val="21"/>
              </w:rPr>
              <w:t>5）拥有完善的物流方案和售后服务方案。</w:t>
            </w:r>
          </w:p>
          <w:p>
            <w:pPr>
              <w:jc w:val="left"/>
            </w:pPr>
            <w:r>
              <w:rPr>
                <w:sz w:val="21"/>
              </w:rPr>
              <w:t>5.1标本管理与物流要求：</w:t>
            </w:r>
          </w:p>
          <w:p>
            <w:pPr>
              <w:jc w:val="left"/>
            </w:pPr>
            <w:r>
              <w:rPr>
                <w:sz w:val="21"/>
              </w:rPr>
              <w:t>5.1.1供应商有医疗物流系统，物流系统应符合《GB/T 28842药品冷链物流运作规范》，保证标本接收、送检运输过程的安全与规范，保证标本的检测前质量，确保运输过程的样品质量和环境安全。</w:t>
            </w:r>
          </w:p>
          <w:p>
            <w:pPr>
              <w:jc w:val="left"/>
            </w:pPr>
            <w:r>
              <w:rPr>
                <w:sz w:val="21"/>
              </w:rPr>
              <w:t>▲</w:t>
            </w:r>
            <w:r>
              <w:rPr>
                <w:sz w:val="21"/>
              </w:rPr>
              <w:t>5.1.2供应商有能力提供物流服务，供应商负责在采购人指定的标本交接地点配备标本接收工作站、特殊标本采样管、标本暂存冰箱。</w:t>
            </w:r>
          </w:p>
          <w:p>
            <w:pPr>
              <w:jc w:val="left"/>
            </w:pPr>
            <w:r>
              <w:rPr>
                <w:sz w:val="21"/>
              </w:rPr>
              <w:t>▲</w:t>
            </w:r>
            <w:r>
              <w:rPr>
                <w:sz w:val="21"/>
              </w:rPr>
              <w:t>5.1.3供应商根据满足标本检测报告时限的要求，前往采购人指定标本交接地点收取标本，并运输到供应商检测实验室。</w:t>
            </w:r>
          </w:p>
          <w:p>
            <w:pPr>
              <w:jc w:val="left"/>
            </w:pPr>
            <w:r>
              <w:rPr>
                <w:sz w:val="21"/>
              </w:rPr>
              <w:t>5.1.4样本运输要求直立、冷藏、封闭，确保运输过程的样品质量和环境安全。对于需低温冷冻或有特殊要求的样本视具体项目与采购人商定。提供相关方案的介绍说明，提供运输专用容器实物图片及介绍。</w:t>
            </w:r>
          </w:p>
          <w:p>
            <w:pPr>
              <w:jc w:val="left"/>
            </w:pPr>
            <w:r>
              <w:rPr>
                <w:sz w:val="21"/>
              </w:rPr>
              <w:t>5.1.5标本在送检过程中出现延迟、遗漏、丢失等情况，供应商应有完善的应急预案予以妥善解决，否则供应商应承担相应责任（提供应急预案方案）。</w:t>
            </w:r>
          </w:p>
          <w:p>
            <w:pPr>
              <w:jc w:val="left"/>
            </w:pPr>
            <w:r>
              <w:rPr>
                <w:sz w:val="21"/>
              </w:rPr>
              <w:t>5.1.6能够按采购人要求妥善保存及销毁检验后样本。</w:t>
            </w:r>
          </w:p>
          <w:p>
            <w:pPr>
              <w:jc w:val="left"/>
            </w:pPr>
            <w:r>
              <w:rPr>
                <w:sz w:val="21"/>
              </w:rPr>
              <w:t>5.2售后服务要求：</w:t>
            </w:r>
          </w:p>
          <w:p>
            <w:pPr>
              <w:jc w:val="left"/>
            </w:pPr>
            <w:r>
              <w:rPr>
                <w:sz w:val="21"/>
              </w:rPr>
              <w:t>5.2.1供应商按国家检验规范进行操作，并对标本的检验报告承担相应的责任；并保证检验结果的准确性，不受任何诱使或压力的干扰。</w:t>
            </w:r>
          </w:p>
          <w:p>
            <w:pPr>
              <w:jc w:val="left"/>
            </w:pPr>
            <w:r>
              <w:rPr>
                <w:sz w:val="21"/>
              </w:rPr>
              <w:t>5.2.2供应商按卫生部临检中心质量要求进行操作，按照规范流程进行标本保存、运输与检查诊断，并对标本的检验报告承担相应的责任。供应商有为采购人保密的义务，在未经采购人同意或授权下，不得向采购人以外的任何单位或个人泄露采购人委托检测的任何信息。</w:t>
            </w:r>
          </w:p>
          <w:p>
            <w:pPr>
              <w:jc w:val="left"/>
            </w:pPr>
            <w:r>
              <w:rPr>
                <w:sz w:val="21"/>
              </w:rPr>
              <w:t>5.2.3供应商按日或按检测批次对采购人委托项目进行室内质控，按季度提供室内质量控制报表，其内容包括但不限于质控检测数据、控制标准、质控分析、失控报告，可以随时接受并妥善安排采购人查阅项目检测、质量控制等情况。</w:t>
            </w:r>
          </w:p>
          <w:p>
            <w:pPr>
              <w:jc w:val="left"/>
            </w:pPr>
            <w:r>
              <w:rPr>
                <w:sz w:val="21"/>
              </w:rPr>
              <w:t>5.2.4供应商实验室检测后的剩余标本（如有），由供应商依法处置，供应商按照国家法律法规及相关行业规定的保存期限保存剩余标本（如有），定期返样（如有）。检测样本、检测数据的所有权、使用权为采购人所有，未经许可不得挪作它用。</w:t>
            </w:r>
          </w:p>
          <w:p>
            <w:pPr>
              <w:jc w:val="left"/>
            </w:pPr>
            <w:r>
              <w:rPr>
                <w:sz w:val="21"/>
              </w:rPr>
              <w:t>5.2.5部分特殊检查项目需要的采样器、知情同意书、专用的患者资料登记申请单等由供应商提供。</w:t>
            </w:r>
          </w:p>
          <w:p>
            <w:pPr>
              <w:jc w:val="left"/>
            </w:pPr>
            <w:r>
              <w:rPr>
                <w:sz w:val="21"/>
              </w:rPr>
              <w:t>5.2.6提供电话查询服务，危急值专人电话跟进，确保患者检测信息与临床医生的畅通。</w:t>
            </w:r>
          </w:p>
          <w:p>
            <w:pPr>
              <w:jc w:val="left"/>
            </w:pPr>
            <w:r>
              <w:rPr>
                <w:sz w:val="21"/>
              </w:rPr>
              <w:t>5.2.7供应商应建立快速的客户服务反应机制，如有针对供应商或采购人的投诉或需处理的情况，供应商应派代表在1小时内作出响应，半日内到达采购人处及时沟通处理；若主要针对采购人的投诉或需处理的情况，供应商有义务协助采购人及时沟通处理。</w:t>
            </w:r>
          </w:p>
          <w:p>
            <w:pPr>
              <w:jc w:val="left"/>
            </w:pPr>
            <w:r>
              <w:rPr>
                <w:sz w:val="21"/>
              </w:rPr>
              <w:t>5.2.8供应商按照检测项目常规报告时间提供检测结果，并能满足采购人急诊项目的优先检测。</w:t>
            </w:r>
          </w:p>
          <w:p>
            <w:pPr>
              <w:jc w:val="left"/>
            </w:pPr>
            <w:r>
              <w:rPr>
                <w:b/>
                <w:sz w:val="21"/>
              </w:rPr>
              <w:t>四）其他要求</w:t>
            </w:r>
          </w:p>
          <w:p>
            <w:pPr>
              <w:jc w:val="left"/>
            </w:pPr>
            <w:r>
              <w:rPr>
                <w:sz w:val="21"/>
              </w:rPr>
              <w:t>（</w:t>
            </w:r>
            <w:r>
              <w:rPr>
                <w:sz w:val="21"/>
              </w:rPr>
              <w:t>1）采购人要求供应商涉及本项目的相关信息系统或信息数据与采购人对接的，供应商须无条件配合，供应商须无条件接受采购人质控检查并配合采购人的质量管理工作。</w:t>
            </w:r>
          </w:p>
          <w:p>
            <w:pPr>
              <w:jc w:val="both"/>
            </w:pPr>
            <w:r>
              <w:rPr>
                <w:sz w:val="21"/>
              </w:rPr>
              <w:t>（</w:t>
            </w:r>
            <w:r>
              <w:rPr>
                <w:sz w:val="21"/>
              </w:rPr>
              <w:t>2）本项目包含为满足合同期内临床检验业务的新增需求，采购人根据临床需求增加的其他委托检验项目，供应商须按采购需求各项要求及标准进行服务。供应商提供所报项目明细及医疗服务收费标准、适用的收费编码（加盖公章）。</w:t>
            </w:r>
          </w:p>
          <w:p>
            <w:pPr>
              <w:jc w:val="both"/>
            </w:pPr>
            <w:r>
              <w:rPr>
                <w:sz w:val="21"/>
              </w:rPr>
              <w:t>（</w:t>
            </w:r>
            <w:r>
              <w:rPr>
                <w:sz w:val="21"/>
              </w:rPr>
              <w:t>3）供应商协助采购人加强临床药学学科建设,提高临床药学水平。</w:t>
            </w:r>
          </w:p>
          <w:p>
            <w:pPr>
              <w:jc w:val="both"/>
            </w:pPr>
            <w:r>
              <w:rPr>
                <w:sz w:val="21"/>
              </w:rPr>
              <w:t>（</w:t>
            </w:r>
            <w:r>
              <w:rPr>
                <w:sz w:val="21"/>
              </w:rPr>
              <w:t>4）相关收费标准物价部门作出调整的必须进行相应调整。</w:t>
            </w:r>
          </w:p>
          <w:p>
            <w:pPr>
              <w:jc w:val="both"/>
            </w:pPr>
            <w:r>
              <w:rPr>
                <w:sz w:val="21"/>
              </w:rPr>
              <w:t>（</w:t>
            </w:r>
            <w:r>
              <w:rPr>
                <w:sz w:val="21"/>
              </w:rPr>
              <w:t>5）对以上要求因存在不确定性，供应商需充分考虑经营风险。</w:t>
            </w:r>
          </w:p>
          <w:p>
            <w:pPr>
              <w:jc w:val="both"/>
            </w:pPr>
            <w:r>
              <w:rPr>
                <w:sz w:val="21"/>
              </w:rPr>
              <w:t>（6）在开展本项目时，中标供应商应遵守个性化用药检测的有关政策，不得将检测过程中获得的数据外泄，出具的报告要客观公正，不得有诱导检测的行为，不得越过采购人私联患者，不得诱导患者骗取医保等行为。项目执行过程中存在上述问题或其他违反国家政策或相关行政管理规定的行为，使采购人利益受损的，视为中标供应商严重违约，采购人因此遭受损失的，采购人有权要求中标供应商承担赔偿损失的违约责任，并可单方无责解除合同。</w:t>
            </w:r>
          </w:p>
          <w:p>
            <w:pPr>
              <w:jc w:val="both"/>
            </w:pPr>
            <w:r>
              <w:rPr/>
              <w:t xml:space="preserve"> </w:t>
            </w:r>
          </w:p>
          <w:p>
            <w:pPr>
              <w:jc w:val="left"/>
            </w:pPr>
          </w:p>
          <w:p>
            <w:pPr>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- 70%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年采购预算金额为计算基数参照国家计委颁布的（计价格【2002】1980号）及国家发改委颁布的（发改办价格【2003】857号）收费标准进行计算收取三年服务费。招标代理服务费由中标供应商在领取《中标通知书》前一次性向采购代理机构交纳以下金额： ￥69,000.00元（大写：人民币陆万玖仟元整）。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吕永珊、伍梁敏</w:t>
      </w:r>
    </w:p>
    <w:p>
      <w:pPr>
        <w:ind w:firstLine="480"/>
      </w:pPr>
      <w:r>
        <w:rPr/>
        <w:t>电话：</w:t>
      </w:r>
      <w:r>
        <w:rPr/>
        <w:t>020-37814404、020-87687030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采购包1(个性化用药检测)：综合评分法,是指投标文件满足招标文件全部实质性要求，且按照评审因素的量化指标评审得分最高的投标人为中标候选人的评标方法。（最低报价不是中标的唯一依据。）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采购包1（个性化用药检测）：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采购包1（个性化用药检测）：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特定资格要求（医疗机构执业许可证）</w:t>
            </w:r>
          </w:p>
        </w:tc>
        <w:tc>
          <w:tcPr>
            <w:tcW w:type="dxa" w:w="4238"/>
          </w:tcPr>
          <w:p>
            <w:r>
              <w:rPr/>
              <w:t>具备卫生部门核发且在有效期内的《医疗机构执业许可证》，诊疗科目需包含医学检验科，提供有效的医疗机构执业许可证复印件（如国家另有规定，则适用其规定）</w:t>
            </w:r>
          </w:p>
        </w:tc>
      </w:tr>
      <w:tr>
        <w:tc>
          <w:tcPr>
            <w:tcW w:type="dxa" w:w="890"/>
          </w:tcPr>
          <w:p>
            <w:r>
              <w:rPr/>
              <w:t>9</w:t>
            </w:r>
          </w:p>
        </w:tc>
        <w:tc>
          <w:tcPr>
            <w:tcW w:type="dxa" w:w="3178"/>
          </w:tcPr>
          <w:p>
            <w:r>
              <w:rPr/>
              <w:t>特定资格要求（临床基因扩增检验实验室技术验收合格证书）</w:t>
            </w:r>
          </w:p>
        </w:tc>
        <w:tc>
          <w:tcPr>
            <w:tcW w:type="dxa" w:w="4238"/>
          </w:tcPr>
          <w:p>
            <w:r>
              <w:rPr/>
              <w:t>须获得省级卫生行政部门颁发的临床基因扩增检验实验室技术验收合格证书，提供有效的临床基因扩增检验实验室技术验收合格证书（如国家另有规定，则适用其规定）。</w:t>
            </w:r>
          </w:p>
        </w:tc>
      </w:tr>
      <w:tr>
        <w:tc>
          <w:tcPr>
            <w:tcW w:type="dxa" w:w="890"/>
          </w:tcPr>
          <w:p>
            <w:r>
              <w:rPr/>
              <w:t>10</w:t>
            </w:r>
          </w:p>
        </w:tc>
        <w:tc>
          <w:tcPr>
            <w:tcW w:type="dxa" w:w="3178"/>
          </w:tcPr>
          <w:p>
            <w:r>
              <w:rPr/>
              <w:t>特定资格要求（已获取本项目采购文件）</w:t>
            </w:r>
          </w:p>
        </w:tc>
        <w:tc>
          <w:tcPr>
            <w:tcW w:type="dxa" w:w="4238"/>
          </w:tcPr>
          <w:p>
            <w:r>
              <w:rPr/>
              <w:t>已获取本项目采购文件。</w:t>
            </w:r>
          </w:p>
        </w:tc>
      </w:tr>
      <w:tr>
        <w:tc>
          <w:tcPr>
            <w:tcW w:type="dxa" w:w="890"/>
          </w:tcPr>
          <w:p>
            <w:r>
              <w:rPr/>
              <w:t>11</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 注：本项目的中小企业划分标准所属行业为：其他未列明行业。</w:t>
            </w:r>
          </w:p>
        </w:tc>
      </w:tr>
    </w:tbl>
    <w:p/>
    <w:p>
      <w:pPr>
        <w:ind w:firstLine="480"/>
      </w:pPr>
      <w:r>
        <w:rPr/>
        <w:t>表二符合性审查表：</w:t>
      </w:r>
    </w:p>
    <w:p>
      <w:pPr>
        <w:ind w:firstLine="480"/>
      </w:pPr>
    </w:p>
    <w:p/>
    <w:p>
      <w:r>
        <w:rPr/>
        <w:t>采购包1（个性化用药检测）：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投标折扣率报价确定且没有大于70.00%，也没有为负数或零，且是固定唯一值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采购包1(个性化用药检测):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带“▲”条款响应程度 (6.0分)</w:t>
            </w:r>
          </w:p>
        </w:tc>
        <w:tc>
          <w:tcPr>
            <w:tcW w:type="dxa" w:w="5076"/>
          </w:tcPr>
          <w:p>
            <w:pPr>
              <w:jc w:val="left"/>
            </w:pPr>
            <w:r>
              <w:rPr/>
              <w:t>1.带“▲”条款全部（共4项）完全响应的得6分； 2.带“▲”条款每出现一项不满足扣1.5分，最高扣6分。</w:t>
            </w:r>
          </w:p>
        </w:tc>
      </w:tr>
      <w:tr>
        <w:tc>
          <w:tcPr>
            <w:tcW w:type="dxa" w:w="922"/>
            <w:gridSpan w:val="2"/>
            <w:vMerge/>
          </w:tcPr>
          <w:p/>
        </w:tc>
        <w:tc>
          <w:tcPr>
            <w:tcW w:type="dxa" w:w="2307"/>
          </w:tcPr>
          <w:p>
            <w:pPr>
              <w:jc w:val="left"/>
            </w:pPr>
            <w:r>
              <w:rPr/>
              <w:t>项目实施方案1 (5.0分)</w:t>
            </w:r>
          </w:p>
        </w:tc>
        <w:tc>
          <w:tcPr>
            <w:tcW w:type="dxa" w:w="5076"/>
          </w:tcPr>
          <w:p>
            <w:pPr>
              <w:jc w:val="left"/>
            </w:pPr>
            <w:r>
              <w:rPr/>
              <w:t>根据投标人提供的项目实施方案进行综合评价，方案应包括（投标文件中方案标题应以下列要求名称命名）：①样品采集、②检测方法、③检测设备、④报告周期、⑤组织实施思路。 注：方案涉及以上全部内容得5分，每缺1项扣1分。</w:t>
            </w:r>
          </w:p>
        </w:tc>
      </w:tr>
      <w:tr>
        <w:tc>
          <w:tcPr>
            <w:tcW w:type="dxa" w:w="922"/>
            <w:gridSpan w:val="2"/>
            <w:vMerge/>
          </w:tcPr>
          <w:p/>
        </w:tc>
        <w:tc>
          <w:tcPr>
            <w:tcW w:type="dxa" w:w="2307"/>
          </w:tcPr>
          <w:p>
            <w:pPr>
              <w:jc w:val="left"/>
            </w:pPr>
            <w:r>
              <w:rPr/>
              <w:t>项目实施方案2 (7.0分)</w:t>
            </w:r>
          </w:p>
        </w:tc>
        <w:tc>
          <w:tcPr>
            <w:tcW w:type="dxa" w:w="5076"/>
          </w:tcPr>
          <w:p>
            <w:pPr>
              <w:jc w:val="left"/>
            </w:pPr>
            <w:r>
              <w:rPr/>
              <w:t>根据投标人提供的项目实施方案内容的详细程度和思路阐述进行综合评价： 1.方案全面具体、科学合理、完善可行，组织实施思路清晰、有针对性，得7分；  2.方案较全面、较合理、有部分可行性，组织实施思路较清晰、有部分针对性，得4分；  3.方案不全面或合理性差或可行性欠缺或组织实施思路不清晰，得1分；  4.不提供不得分。</w:t>
            </w:r>
          </w:p>
        </w:tc>
      </w:tr>
      <w:tr>
        <w:tc>
          <w:tcPr>
            <w:tcW w:type="dxa" w:w="922"/>
            <w:gridSpan w:val="2"/>
            <w:vMerge/>
          </w:tcPr>
          <w:p/>
        </w:tc>
        <w:tc>
          <w:tcPr>
            <w:tcW w:type="dxa" w:w="2307"/>
          </w:tcPr>
          <w:p>
            <w:pPr>
              <w:jc w:val="left"/>
            </w:pPr>
            <w:r>
              <w:rPr/>
              <w:t>物流服务方案1 (4.0分)</w:t>
            </w:r>
          </w:p>
        </w:tc>
        <w:tc>
          <w:tcPr>
            <w:tcW w:type="dxa" w:w="5076"/>
          </w:tcPr>
          <w:p>
            <w:pPr>
              <w:jc w:val="left"/>
            </w:pPr>
            <w:r>
              <w:rPr/>
              <w:t>根据投标人提供的物流服务方案进行综合评价，方案应包括（投标文件中方案标题应以下列要求名称命名）：①配送路线规划、②配送人员安排、③物流期间的温度控制措施、④应急配送预案。 注：方案涉及以上全部内容得4分，每缺1项扣1分。</w:t>
            </w:r>
          </w:p>
        </w:tc>
      </w:tr>
      <w:tr>
        <w:tc>
          <w:tcPr>
            <w:tcW w:type="dxa" w:w="922"/>
            <w:gridSpan w:val="2"/>
            <w:vMerge/>
          </w:tcPr>
          <w:p/>
        </w:tc>
        <w:tc>
          <w:tcPr>
            <w:tcW w:type="dxa" w:w="2307"/>
          </w:tcPr>
          <w:p>
            <w:pPr>
              <w:jc w:val="left"/>
            </w:pPr>
            <w:r>
              <w:rPr/>
              <w:t>物流服务方案2 (7.0分)</w:t>
            </w:r>
          </w:p>
        </w:tc>
        <w:tc>
          <w:tcPr>
            <w:tcW w:type="dxa" w:w="5076"/>
          </w:tcPr>
          <w:p>
            <w:pPr>
              <w:jc w:val="left"/>
            </w:pPr>
            <w:r>
              <w:rPr/>
              <w:t>根据投标人提供的物流服务方案内容的详细程度和思路阐述进行综合评价： 1.项目物流服务方案表述清晰、详细，规划安排科学、合理，得7分； 2.项目物流服务方案表述清晰，规划安排合理，得4分； 3.项目物流服务方案表述不清晰，规划安排不合理，得1分； 4.未提供方案的得0分。</w:t>
            </w:r>
          </w:p>
        </w:tc>
      </w:tr>
      <w:tr>
        <w:tc>
          <w:tcPr>
            <w:tcW w:type="dxa" w:w="922"/>
            <w:gridSpan w:val="2"/>
            <w:vMerge/>
          </w:tcPr>
          <w:p/>
        </w:tc>
        <w:tc>
          <w:tcPr>
            <w:tcW w:type="dxa" w:w="2307"/>
          </w:tcPr>
          <w:p>
            <w:pPr>
              <w:jc w:val="left"/>
            </w:pPr>
            <w:r>
              <w:rPr/>
              <w:t>质量控制方案1 (4.0分)</w:t>
            </w:r>
          </w:p>
        </w:tc>
        <w:tc>
          <w:tcPr>
            <w:tcW w:type="dxa" w:w="5076"/>
          </w:tcPr>
          <w:p>
            <w:pPr>
              <w:jc w:val="left"/>
            </w:pPr>
            <w:r>
              <w:rPr/>
              <w:t>根据投标人提供的质量控制方案进行综合评价，方案应包括（投标文件中方案标题应以下列要求名称命名）：①对采购人委托项目进行室内质控、②质量控制报表的设计、③实验结果及数据准确性控制、④其他质量控制措施。 注：方案涉及以上全部内容得4分，每缺1项扣1分。</w:t>
            </w:r>
          </w:p>
        </w:tc>
      </w:tr>
      <w:tr>
        <w:tc>
          <w:tcPr>
            <w:tcW w:type="dxa" w:w="922"/>
            <w:gridSpan w:val="2"/>
            <w:vMerge/>
          </w:tcPr>
          <w:p/>
        </w:tc>
        <w:tc>
          <w:tcPr>
            <w:tcW w:type="dxa" w:w="2307"/>
          </w:tcPr>
          <w:p>
            <w:pPr>
              <w:jc w:val="left"/>
            </w:pPr>
            <w:r>
              <w:rPr/>
              <w:t>质量控制方案2 (7.0分)</w:t>
            </w:r>
          </w:p>
        </w:tc>
        <w:tc>
          <w:tcPr>
            <w:tcW w:type="dxa" w:w="5076"/>
          </w:tcPr>
          <w:p>
            <w:pPr>
              <w:jc w:val="left"/>
            </w:pPr>
            <w:r>
              <w:rPr/>
              <w:t>根据投标人提供的质量控制方案内容的详细程度和思路阐述进行综合评价： 1.方案合理完整细致，针对性强，描述清晰度高，得7分； 2.方案较合理完整，具有一定针对性，描述清晰，得4分； 3.方案合理性一般，部分方案具有针对性，描述不清晰，得1分；  4.未提供方案的得0分。</w:t>
            </w:r>
          </w:p>
        </w:tc>
      </w:tr>
      <w:tr>
        <w:tc>
          <w:tcPr>
            <w:tcW w:type="dxa" w:w="922"/>
            <w:gridSpan w:val="2"/>
            <w:vMerge/>
          </w:tcPr>
          <w:p/>
        </w:tc>
        <w:tc>
          <w:tcPr>
            <w:tcW w:type="dxa" w:w="2307"/>
          </w:tcPr>
          <w:p>
            <w:pPr>
              <w:jc w:val="left"/>
            </w:pPr>
            <w:r>
              <w:rPr/>
              <w:t>培训及科研合作方案1 (4.0分)</w:t>
            </w:r>
          </w:p>
        </w:tc>
        <w:tc>
          <w:tcPr>
            <w:tcW w:type="dxa" w:w="5076"/>
          </w:tcPr>
          <w:p>
            <w:pPr>
              <w:jc w:val="left"/>
            </w:pPr>
            <w:r>
              <w:rPr/>
              <w:t>根据投标人提供的培训及科研方案进行综合评价，方案应包括（投标文件中方案标题应以下列方案名称命名）：①培训课程安排、②培训计划安排、③投标单位科研能力情况介绍、④科研合作实施方案。 注：方案涉及以上全部内容得4分，每缺1项扣1分。</w:t>
            </w:r>
          </w:p>
        </w:tc>
      </w:tr>
      <w:tr>
        <w:tc>
          <w:tcPr>
            <w:tcW w:type="dxa" w:w="922"/>
            <w:gridSpan w:val="2"/>
            <w:vMerge/>
          </w:tcPr>
          <w:p/>
        </w:tc>
        <w:tc>
          <w:tcPr>
            <w:tcW w:type="dxa" w:w="2307"/>
          </w:tcPr>
          <w:p>
            <w:pPr>
              <w:jc w:val="left"/>
            </w:pPr>
            <w:r>
              <w:rPr/>
              <w:t>培训及科研合作方案2  (7.0分)</w:t>
            </w:r>
          </w:p>
        </w:tc>
        <w:tc>
          <w:tcPr>
            <w:tcW w:type="dxa" w:w="5076"/>
          </w:tcPr>
          <w:p>
            <w:pPr>
              <w:jc w:val="left"/>
            </w:pPr>
            <w:r>
              <w:rPr/>
              <w:t>根据供应商提供的本项目培训及科研方案内容的详细程度和思路阐述进行综合评价： 1.方案能够结合采购需求设置，详细完善可行、科学合理，得7分；  2.方案能够结合采购需求设置，有部分可行性、合理性，得4分；  3.方案不能结合采购需求设置或不具备可行性或合理性差，得1分；  4.不提供不得分。</w:t>
            </w:r>
          </w:p>
        </w:tc>
      </w:tr>
      <w:tr>
        <w:tc>
          <w:tcPr>
            <w:tcW w:type="dxa" w:w="922"/>
            <w:gridSpan w:val="2"/>
            <w:vMerge/>
          </w:tcPr>
          <w:p/>
        </w:tc>
        <w:tc>
          <w:tcPr>
            <w:tcW w:type="dxa" w:w="2307"/>
          </w:tcPr>
          <w:p>
            <w:pPr>
              <w:jc w:val="left"/>
            </w:pPr>
            <w:r>
              <w:rPr/>
              <w:t>科研合作能力 (5.0分)</w:t>
            </w:r>
          </w:p>
        </w:tc>
        <w:tc>
          <w:tcPr>
            <w:tcW w:type="dxa" w:w="5076"/>
          </w:tcPr>
          <w:p>
            <w:pPr>
              <w:jc w:val="left"/>
            </w:pPr>
            <w:r>
              <w:rPr/>
              <w:t>供应商具有科研合作能力，承诺向采购人单位科研人员开放相关科研数据并且能提供以往合作的成果证明得5分，不符合或不提供不得分。</w:t>
            </w:r>
          </w:p>
        </w:tc>
      </w:tr>
      <w:tr>
        <w:tc>
          <w:tcPr>
            <w:tcW w:type="dxa" w:w="922"/>
            <w:gridSpan w:val="2"/>
            <w:vMerge/>
          </w:tcPr>
          <w:p/>
        </w:tc>
        <w:tc>
          <w:tcPr>
            <w:tcW w:type="dxa" w:w="2307"/>
          </w:tcPr>
          <w:p>
            <w:pPr>
              <w:jc w:val="left"/>
            </w:pPr>
            <w:r>
              <w:rPr/>
              <w:t>科研能力评估 (4.0分)</w:t>
            </w:r>
          </w:p>
        </w:tc>
        <w:tc>
          <w:tcPr>
            <w:tcW w:type="dxa" w:w="5076"/>
          </w:tcPr>
          <w:p>
            <w:pPr>
              <w:jc w:val="left"/>
            </w:pPr>
            <w:r>
              <w:rPr/>
              <w:t>供应商具有自主申请通过的发明专利技术，每提供一项专利技术证明文件复印件1分，最高4分，不符合或不提供不得分。</w:t>
            </w:r>
          </w:p>
        </w:tc>
      </w:tr>
      <w:tr>
        <w:tc>
          <w:tcPr>
            <w:tcW w:type="dxa" w:w="922"/>
            <w:gridSpan w:val="2"/>
            <w:vMerge w:val="restart"/>
          </w:tcPr>
          <w:p>
            <w:pPr>
              <w:jc w:val="center"/>
            </w:pPr>
            <w:r>
              <w:rPr/>
              <w:t>商务部分</w:t>
            </w:r>
          </w:p>
        </w:tc>
        <w:tc>
          <w:tcPr>
            <w:tcW w:type="dxa" w:w="2307"/>
          </w:tcPr>
          <w:p>
            <w:pPr>
              <w:jc w:val="left"/>
            </w:pPr>
            <w:r>
              <w:rPr/>
              <w:t>供应商业绩（1） (3.0分)</w:t>
            </w:r>
          </w:p>
        </w:tc>
        <w:tc>
          <w:tcPr>
            <w:tcW w:type="dxa" w:w="5076"/>
          </w:tcPr>
          <w:p>
            <w:pPr>
              <w:jc w:val="left"/>
            </w:pPr>
            <w:r>
              <w:rPr/>
              <w:t>供应商2020年1月1日至今（以签订合同的日期为准）具有药物基因组学检测项目业绩，每提供1个得1分，最高得3分。 注：以合同关键页（必须有用户单位名称、合同项目名称、合同标的主要采购内容、签订合同双方的落款盖章、合同签订日期）复印件加盖供应商公章为准，不清晰或未提供不得分。</w:t>
            </w:r>
          </w:p>
        </w:tc>
      </w:tr>
      <w:tr>
        <w:tc>
          <w:tcPr>
            <w:tcW w:type="dxa" w:w="922"/>
            <w:gridSpan w:val="2"/>
            <w:vMerge/>
          </w:tcPr>
          <w:p/>
        </w:tc>
        <w:tc>
          <w:tcPr>
            <w:tcW w:type="dxa" w:w="2307"/>
          </w:tcPr>
          <w:p>
            <w:pPr>
              <w:jc w:val="left"/>
            </w:pPr>
            <w:r>
              <w:rPr/>
              <w:t>供应商业绩（2） (3.0分)</w:t>
            </w:r>
          </w:p>
        </w:tc>
        <w:tc>
          <w:tcPr>
            <w:tcW w:type="dxa" w:w="5076"/>
          </w:tcPr>
          <w:p>
            <w:pPr>
              <w:jc w:val="left"/>
            </w:pPr>
            <w:r>
              <w:rPr/>
              <w:t>供应商2020年1月1日至今（以签订合同的日期为准）具有治疗药物监测项目业绩，每提供1个得1分，最高得3分。 注：以合同关键页（必须有用户单位名称、合同项目名称、合同标的主要采购内容、签订合同双方的落款盖章、合同签订日期）复印件加盖供应商公章为准，不清晰或未提供不得分。</w:t>
            </w:r>
          </w:p>
        </w:tc>
      </w:tr>
      <w:tr>
        <w:tc>
          <w:tcPr>
            <w:tcW w:type="dxa" w:w="922"/>
            <w:gridSpan w:val="2"/>
            <w:vMerge/>
          </w:tcPr>
          <w:p/>
        </w:tc>
        <w:tc>
          <w:tcPr>
            <w:tcW w:type="dxa" w:w="2307"/>
          </w:tcPr>
          <w:p>
            <w:pPr>
              <w:jc w:val="left"/>
            </w:pPr>
            <w:r>
              <w:rPr/>
              <w:t>供应商检测服务能力证书 (3.0分)</w:t>
            </w:r>
          </w:p>
        </w:tc>
        <w:tc>
          <w:tcPr>
            <w:tcW w:type="dxa" w:w="5076"/>
          </w:tcPr>
          <w:p>
            <w:pPr>
              <w:jc w:val="left"/>
            </w:pPr>
            <w:r>
              <w:rPr/>
              <w:t>供应商拥有自己的医学检测实验室，实验室有完善的质量管理体系，提供CNAS（ISO/IEC 17025）实验室认可证书复印件得3分，不提供不得分。</w:t>
            </w:r>
          </w:p>
        </w:tc>
      </w:tr>
      <w:tr>
        <w:tc>
          <w:tcPr>
            <w:tcW w:type="dxa" w:w="922"/>
            <w:gridSpan w:val="2"/>
            <w:vMerge/>
          </w:tcPr>
          <w:p/>
        </w:tc>
        <w:tc>
          <w:tcPr>
            <w:tcW w:type="dxa" w:w="2307"/>
          </w:tcPr>
          <w:p>
            <w:pPr>
              <w:jc w:val="left"/>
            </w:pPr>
            <w:r>
              <w:rPr/>
              <w:t>供应商服务质量评价 (4.0分)</w:t>
            </w:r>
          </w:p>
        </w:tc>
        <w:tc>
          <w:tcPr>
            <w:tcW w:type="dxa" w:w="5076"/>
          </w:tcPr>
          <w:p>
            <w:pPr>
              <w:jc w:val="left"/>
            </w:pPr>
            <w:r>
              <w:rPr/>
              <w:t>供应商2020年1月1日至今取得相关室间质评评价活动合格证书，每提供1个证书复印件得1分，最高得4分，不提供不得分。</w:t>
            </w:r>
          </w:p>
        </w:tc>
      </w:tr>
      <w:tr>
        <w:tc>
          <w:tcPr>
            <w:tcW w:type="dxa" w:w="922"/>
            <w:gridSpan w:val="2"/>
            <w:vMerge/>
          </w:tcPr>
          <w:p/>
        </w:tc>
        <w:tc>
          <w:tcPr>
            <w:tcW w:type="dxa" w:w="2307"/>
          </w:tcPr>
          <w:p>
            <w:pPr>
              <w:jc w:val="left"/>
            </w:pPr>
            <w:r>
              <w:rPr/>
              <w:t>项目人员情况  (4.0分)</w:t>
            </w:r>
          </w:p>
        </w:tc>
        <w:tc>
          <w:tcPr>
            <w:tcW w:type="dxa" w:w="5076"/>
          </w:tcPr>
          <w:p>
            <w:pPr>
              <w:jc w:val="left"/>
            </w:pPr>
            <w:r>
              <w:rPr/>
              <w:t>供应商实验室检验人员具备：持有PCR上岗证的技术人员2名得2分，在此基础上每增加1名加2分，最高4分。  注：本项最高4分。需同时提供人员相关证书复印件、身份证复印件及人员近6个月（扣除招标公告发布当月往前顺推）任意一个月在投标人单位缴纳社保或代缴个税税单的证明文件复印件，不符合或不提供不得分。</w:t>
            </w:r>
          </w:p>
        </w:tc>
      </w:tr>
      <w:tr>
        <w:tc>
          <w:tcPr>
            <w:tcW w:type="dxa" w:w="922"/>
            <w:gridSpan w:val="2"/>
            <w:vMerge/>
          </w:tcPr>
          <w:p/>
        </w:tc>
        <w:tc>
          <w:tcPr>
            <w:tcW w:type="dxa" w:w="2307"/>
          </w:tcPr>
          <w:p>
            <w:pPr>
              <w:jc w:val="left"/>
            </w:pPr>
            <w:r>
              <w:rPr/>
              <w:t>投入本项目设备情况  (5.0分)</w:t>
            </w:r>
          </w:p>
        </w:tc>
        <w:tc>
          <w:tcPr>
            <w:tcW w:type="dxa" w:w="5076"/>
          </w:tcPr>
          <w:p>
            <w:pPr>
              <w:jc w:val="left"/>
            </w:pPr>
            <w:r>
              <w:rPr/>
              <w:t>根据供应商拟为本项目提供的实验室设施设备（包括但不限于药物基因组学检测仪器设备、治疗药物监测仪器设备）情况进行评审：  1.实验室设施设备优于采购需求要求（即具备的设备包含“附件3  实验室必备仪器设备清单”所列设备和数量，其中设备的种类或数量或技术参数有优于采购需求），得5分；  2.实验室设施设备完全满足采购需求要求（即具备的设备与“附件3  实验室必备仪器设备清单”所列设备和数量一致且设备技术参数满足采购需求），得3分；  3.实验室设施设备不满足采购需求要求（即具备的设备与“附件3  实验室必备仪器设备清单”所列设备或数量不一致且设备技术参数有不满足采购需求的），得1分；  4.无或不提供不得分。 注：设备如为自有，需提供购买发票；如为租赁，需提供设备租赁合同复印件（合同有效期需包含本项目服务期限）。</w:t>
            </w:r>
          </w:p>
        </w:tc>
      </w:tr>
      <w:tr>
        <w:tc>
          <w:tcPr>
            <w:tcW w:type="dxa" w:w="922"/>
            <w:gridSpan w:val="2"/>
            <w:vMerge/>
          </w:tcPr>
          <w:p/>
        </w:tc>
        <w:tc>
          <w:tcPr>
            <w:tcW w:type="dxa" w:w="2307"/>
          </w:tcPr>
          <w:p>
            <w:pPr>
              <w:jc w:val="left"/>
            </w:pPr>
            <w:r>
              <w:rPr/>
              <w:t>应急情况及服务投诉处理响应时间 (3.0分)</w:t>
            </w:r>
          </w:p>
        </w:tc>
        <w:tc>
          <w:tcPr>
            <w:tcW w:type="dxa" w:w="5076"/>
          </w:tcPr>
          <w:p>
            <w:pPr>
              <w:jc w:val="left"/>
            </w:pPr>
            <w:r>
              <w:rPr/>
              <w:t>收到采购人通知后，应急情况及服务投诉处理响应时间：  1.可在1小时内（含）进行处理的，得3分；  2.可在1小时（不含）-1.5小时（含）内进行处理的，得2分；  3.可在1.5小时（不含）-2小时（含）内进行处理的，得1分；  4.超过2小时（不含）进行处理的，得0分。  注：提供响应时间承诺函并加盖投标人公章，格式自拟。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t xml:space="preserve"> </w:t>
      </w:r>
    </w:p>
    <w:p>
      <w:pPr>
        <w:jc w:val="center"/>
      </w:pPr>
      <w:r>
        <w:rPr>
          <w:b/>
          <w:sz w:val="28"/>
        </w:rPr>
        <w:t>政府采购合同</w:t>
      </w:r>
    </w:p>
    <w:p>
      <w:pPr>
        <w:jc w:val="center"/>
      </w:pPr>
      <w:r>
        <w:rPr/>
        <w:t xml:space="preserve"> </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广州医科大学附属第五医院个性化用药检测采购项目</w:t>
      </w:r>
      <w:r>
        <w:rPr>
          <w:sz w:val="21"/>
        </w:rPr>
        <w:t>招标文件（项目编号：</w:t>
      </w:r>
      <w:r>
        <w:rPr>
          <w:sz w:val="21"/>
        </w:rPr>
        <w:t>GZGK23P204C0694Z）的要求，经双方协商，本着平等互利和诚实信用的原则，一致同意签订本合同。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rPr>
        <w:t>。</w:t>
      </w:r>
    </w:p>
    <w:p>
      <w:pPr>
        <w:jc w:val="both"/>
      </w:pPr>
      <w:r>
        <w:rPr>
          <w:sz w:val="21"/>
        </w:rPr>
        <w:t>5．</w:t>
      </w:r>
      <w:r>
        <w:rPr>
          <w:sz w:val="21"/>
        </w:rPr>
        <w:t>在开展本项目时，乙方应遵守个性化用药检测的有关政策，不得将检测过程中获得的数据外泄，出具的报告要客观公正，不得有诱导检测的行为，不得越过甲方私联患者，不得诱导患者骗取医保等行为。项目执行过程中存在上述问题或其他违反国家政策或相关行政管理规定的行为，使甲方利益受损的，视为乙方严重违约，甲方因此遭受损失的，甲方有权要求乙方承担赔偿损失的违约责任，并可单方无责解除合同。</w:t>
      </w:r>
    </w:p>
    <w:p>
      <w:pPr>
        <w:jc w:val="both"/>
      </w:pPr>
    </w:p>
    <w:p>
      <w:pPr>
        <w:jc w:val="both"/>
      </w:pPr>
      <w:r>
        <w:rPr>
          <w:sz w:val="21"/>
        </w:rPr>
        <w:t>6</w:t>
      </w:r>
      <w:r>
        <w:rPr>
          <w:sz w:val="21"/>
        </w:rPr>
        <w:t>．</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
      <w:r>
        <w:rPr/>
        <w:t xml:space="preserve"> </w:t>
      </w:r>
    </w:p>
    <w:p>
      <w:pPr>
        <w:jc w:val="center"/>
      </w:pPr>
      <w:r>
        <w:rPr/>
        <w:t xml:space="preserve"> </w:t>
      </w:r>
    </w:p>
    <w:p>
      <w:pPr>
        <w:jc w:val="center"/>
      </w:pPr>
      <w:r>
        <w:rPr/>
        <w:t xml:space="preserve"> </w:t>
      </w:r>
    </w:p>
    <w:p>
      <w:pPr>
        <w:jc w:val="center"/>
      </w:pPr>
      <w:r>
        <w:rPr>
          <w:b/>
          <w:sz w:val="32"/>
        </w:rPr>
        <w:t>广州医科大学附属第五医院招标廉洁协议</w:t>
      </w:r>
    </w:p>
    <w:p>
      <w:pPr>
        <w:jc w:val="center"/>
      </w:pPr>
      <w:r>
        <w:rPr/>
        <w:t xml:space="preserve"> </w:t>
      </w:r>
    </w:p>
    <w:p>
      <w:pPr>
        <w:jc w:val="center"/>
      </w:pPr>
      <w:r>
        <w:rPr/>
        <w:t xml:space="preserve"> </w:t>
      </w:r>
    </w:p>
    <w:p>
      <w:pPr>
        <w:jc w:val="both"/>
      </w:pPr>
    </w:p>
    <w:p>
      <w:pPr>
        <w:ind w:firstLine="480"/>
        <w:jc w:val="both"/>
      </w:pPr>
      <w:r>
        <w:rPr>
          <w:sz w:val="21"/>
        </w:rPr>
        <w:t>甲方：广州医科大学附属第五医院</w:t>
      </w:r>
    </w:p>
    <w:p>
      <w:pPr>
        <w:ind w:firstLine="480"/>
        <w:jc w:val="both"/>
      </w:pPr>
    </w:p>
    <w:p>
      <w:pPr>
        <w:ind w:firstLine="480"/>
        <w:jc w:val="both"/>
      </w:pPr>
      <w:r>
        <w:rPr>
          <w:sz w:val="21"/>
        </w:rPr>
        <w:t>乙方：</w:t>
      </w:r>
      <w:r>
        <w:rPr>
          <w:sz w:val="21"/>
          <w:u w:val="single"/>
        </w:rPr>
        <w:t xml:space="preserve">                       </w:t>
      </w:r>
    </w:p>
    <w:p>
      <w:pPr>
        <w:ind w:firstLine="420"/>
        <w:jc w:val="both"/>
      </w:pPr>
    </w:p>
    <w:p>
      <w:pPr>
        <w:ind w:firstLine="420"/>
        <w:jc w:val="both"/>
      </w:pPr>
      <w:r>
        <w:rPr>
          <w:sz w:val="21"/>
        </w:rPr>
        <w:t>为加强医院廉政建设，促进医院与企业廉洁合作，有效防范商业贿赂行为。经甲、乙双方协商，同意签订本协议，并共同遵守。</w:t>
      </w:r>
    </w:p>
    <w:p>
      <w:pPr>
        <w:ind w:firstLine="422"/>
        <w:jc w:val="both"/>
      </w:pPr>
      <w:r>
        <w:rPr>
          <w:b/>
          <w:sz w:val="21"/>
        </w:rPr>
        <w:t>一、甲方责任和廉洁要求</w:t>
      </w:r>
    </w:p>
    <w:p>
      <w:pPr>
        <w:ind w:firstLine="420"/>
        <w:jc w:val="both"/>
      </w:pPr>
      <w:r>
        <w:rPr>
          <w:sz w:val="21"/>
        </w:rPr>
        <w:t>甲方在招标、遴选、议标、合同签订、合同履约、合同付款、合同结算等过程中，要遵守以下廉洁约定：</w:t>
      </w:r>
    </w:p>
    <w:p>
      <w:pPr>
        <w:ind w:firstLine="420"/>
        <w:jc w:val="both"/>
      </w:pPr>
      <w:r>
        <w:rPr>
          <w:sz w:val="21"/>
        </w:rPr>
        <w:t>1.甲方在进行上述业务活动过程中，应严格遵守国家法律法规、行业纪律和医院规章制度，严格执行双方确定的合同、协议和承诺；</w:t>
      </w:r>
    </w:p>
    <w:p>
      <w:pPr>
        <w:ind w:firstLine="420"/>
        <w:jc w:val="both"/>
      </w:pPr>
      <w:r>
        <w:rPr>
          <w:sz w:val="21"/>
        </w:rPr>
        <w:t>2.甲方人员在进行上述活动，如与乙方存在利益关联或者亲属关系的，应主动向业务主管部门报告，申请回避；</w:t>
      </w:r>
    </w:p>
    <w:p>
      <w:pPr>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ind w:firstLine="422"/>
        <w:jc w:val="both"/>
      </w:pPr>
      <w:r>
        <w:rPr>
          <w:b/>
          <w:sz w:val="21"/>
        </w:rPr>
        <w:t>二、乙方责任和廉洁要求</w:t>
      </w:r>
    </w:p>
    <w:p>
      <w:pPr>
        <w:ind w:firstLine="420"/>
        <w:jc w:val="both"/>
      </w:pPr>
      <w:r>
        <w:rPr>
          <w:sz w:val="21"/>
        </w:rPr>
        <w:t>1.乙方加强对应标项目工作的乙方人员的廉洁教育，主动如实向甲方报告是否与甲方的员工存在利益关联或亲属关系的情况；</w:t>
      </w:r>
    </w:p>
    <w:p>
      <w:pPr>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ind w:firstLine="420"/>
        <w:jc w:val="both"/>
      </w:pPr>
      <w:r>
        <w:rPr>
          <w:sz w:val="21"/>
        </w:rPr>
        <w:t>4.乙方在业务活动过程中发现甲方的人员有不廉洁的行为，须及时采取措施，终止其不廉洁行为的继续发生。</w:t>
      </w:r>
    </w:p>
    <w:p>
      <w:pPr>
        <w:ind w:firstLine="422"/>
        <w:jc w:val="both"/>
      </w:pPr>
      <w:r>
        <w:rPr>
          <w:b/>
          <w:sz w:val="21"/>
        </w:rPr>
        <w:t>三、违约的处理</w:t>
      </w:r>
    </w:p>
    <w:p>
      <w:pPr>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ind w:firstLine="420"/>
        <w:jc w:val="both"/>
      </w:pPr>
      <w:r>
        <w:rPr>
          <w:sz w:val="21"/>
        </w:rPr>
        <w:t>2.如乙方被政府部门列入商业贿赂不良记录，则严格按照《中华人民共和国反不正当竞争法》相关规定处理。</w:t>
      </w:r>
    </w:p>
    <w:p>
      <w:pPr>
        <w:ind w:firstLine="422"/>
        <w:jc w:val="both"/>
      </w:pPr>
      <w:r>
        <w:rPr>
          <w:b/>
          <w:sz w:val="21"/>
        </w:rPr>
        <w:t>四、</w:t>
      </w:r>
      <w:r>
        <w:rPr>
          <w:sz w:val="21"/>
        </w:rPr>
        <w:t>本协议作为甲乙双方业务合同的重要组成部分，与业务合同一并执行，具有同等法律效力。</w:t>
      </w:r>
    </w:p>
    <w:p>
      <w:pPr>
        <w:ind w:firstLine="422"/>
        <w:jc w:val="both"/>
      </w:pPr>
      <w:r>
        <w:rPr>
          <w:b/>
          <w:sz w:val="21"/>
        </w:rPr>
        <w:t>五、</w:t>
      </w:r>
      <w:r>
        <w:rPr>
          <w:sz w:val="21"/>
        </w:rPr>
        <w:t>本协议一式贰份，甲、乙双方各执壹份，并从签订之日起生效。</w:t>
      </w:r>
    </w:p>
    <w:p>
      <w:pPr>
        <w:ind w:firstLine="420"/>
        <w:jc w:val="both"/>
      </w:pPr>
    </w:p>
    <w:p>
      <w:pPr>
        <w:ind w:firstLine="420"/>
        <w:jc w:val="both"/>
      </w:pPr>
    </w:p>
    <w:p>
      <w:pPr>
        <w:jc w:val="both"/>
      </w:pPr>
    </w:p>
    <w:p>
      <w:pPr>
        <w:ind w:firstLine="420"/>
        <w:jc w:val="both"/>
      </w:pPr>
      <w:r>
        <w:rPr>
          <w:sz w:val="21"/>
        </w:rPr>
        <w:t xml:space="preserve"> </w:t>
      </w:r>
    </w:p>
    <w:p>
      <w:pPr>
        <w:ind w:firstLine="420"/>
        <w:jc w:val="both"/>
      </w:pPr>
      <w:r>
        <w:rPr>
          <w:sz w:val="21"/>
        </w:rPr>
        <w:t>甲方（盖章）：</w:t>
      </w:r>
      <w:r>
        <w:rPr>
          <w:sz w:val="21"/>
        </w:rPr>
        <w:t xml:space="preserve">                           </w:t>
      </w:r>
      <w:r>
        <w:rPr>
          <w:sz w:val="21"/>
        </w:rPr>
        <w:t>乙方（盖章）：</w:t>
      </w:r>
    </w:p>
    <w:p>
      <w:pPr>
        <w:ind w:firstLine="420"/>
        <w:jc w:val="both"/>
      </w:pPr>
    </w:p>
    <w:p>
      <w:pPr>
        <w:ind w:firstLine="420"/>
        <w:jc w:val="both"/>
      </w:pPr>
      <w:r>
        <w:rPr>
          <w:sz w:val="21"/>
        </w:rPr>
        <w:t>法人代表（负责人）：</w:t>
      </w:r>
      <w:r>
        <w:rPr>
          <w:sz w:val="21"/>
        </w:rPr>
        <w:t xml:space="preserve">                 </w:t>
      </w:r>
      <w:r>
        <w:rPr>
          <w:sz w:val="21"/>
        </w:rPr>
        <w:t>法人代表（负责人）：</w:t>
      </w:r>
    </w:p>
    <w:p>
      <w:pPr>
        <w:ind w:firstLine="420"/>
        <w:jc w:val="both"/>
      </w:pPr>
    </w:p>
    <w:p>
      <w:pPr>
        <w:ind w:firstLine="420"/>
        <w:jc w:val="both"/>
      </w:pPr>
      <w:r>
        <w:rPr>
          <w:sz w:val="21"/>
        </w:rPr>
        <w:t>经办人签名：</w:t>
      </w:r>
      <w:r>
        <w:rPr>
          <w:sz w:val="21"/>
        </w:rPr>
        <w:t xml:space="preserve">                 </w:t>
      </w:r>
      <w:r>
        <w:rPr>
          <w:sz w:val="21"/>
        </w:rPr>
        <w:t>经办人签名：</w:t>
      </w:r>
    </w:p>
    <w:p>
      <w:pPr>
        <w:ind w:firstLine="420"/>
        <w:jc w:val="both"/>
      </w:pPr>
    </w:p>
    <w:p>
      <w:pPr>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440101-2023-23515</w:t>
      </w:r>
    </w:p>
    <w:p>
      <w:pPr>
        <w:jc w:val="center"/>
      </w:pPr>
      <w:r>
        <w:rPr>
          <w:b/>
          <w:sz w:val="24"/>
        </w:rPr>
        <w:t>采购项目编号：</w:t>
      </w:r>
      <w:r>
        <w:rPr>
          <w:b/>
          <w:sz w:val="24"/>
        </w:rPr>
        <w:t>GZGK23P204C0694Z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广州医科大学附属第五医院个性化用药检测采购项目</w:t>
      </w:r>
      <w:r>
        <w:rPr>
          <w:u w:val="single"/>
        </w:rPr>
        <w:t>”</w:t>
      </w:r>
      <w:r>
        <w:rPr/>
        <w:t>项目的招标[采购项目编号为：</w:t>
      </w:r>
      <w:r>
        <w:rPr>
          <w:u w:val="single"/>
        </w:rPr>
        <w:t>GZGK23P204C0694Z</w:t>
      </w:r>
      <w:r>
        <w:rPr/>
        <w:t>]，我方愿参与投标。</w:t>
      </w:r>
    </w:p>
    <w:p>
      <w:pPr>
        <w:ind w:firstLine="480"/>
      </w:pPr>
      <w:r>
        <w:rPr/>
        <w:t>我方确认收到贵方提供的</w:t>
      </w:r>
      <w:r>
        <w:rPr>
          <w:u w:val="single"/>
        </w:rPr>
        <w:t>“</w:t>
      </w:r>
      <w:r>
        <w:rPr>
          <w:u w:val="single"/>
        </w:rPr>
        <w:t>广州医科大学附属第五医院个性化用药检测采购项目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广州医科大学附属第五医院个性化用药检测采购项目</w:t>
      </w:r>
      <w:r>
        <w:rPr/>
        <w:t>”项目采购[采购项目编号为</w:t>
      </w:r>
      <w:r>
        <w:rPr/>
        <w:t>GZGK23P204C0694Z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广州医科大学附属第五医院个性化用药检测采购项目</w:t>
      </w:r>
      <w:r>
        <w:rPr/>
        <w:t>招标中获中标（采购项目编号：</w:t>
      </w:r>
      <w:r>
        <w:rPr/>
        <w:t>GZGK23P204C0694Z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