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单一来源采购文件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440601-2023-03593</w:t>
      </w:r>
    </w:p>
    <w:p>
      <w:pPr>
        <w:jc w:val="center"/>
      </w:pPr>
      <w:r>
        <w:rPr>
          <w:b/>
          <w:sz w:val="24"/>
        </w:rPr>
        <w:t>采购项目编号：</w:t>
      </w:r>
      <w:r>
        <w:rPr>
          <w:b/>
          <w:sz w:val="24"/>
        </w:rPr>
        <w:t>GZGK23D213C0632D</w:t>
      </w:r>
    </w:p>
    <w:p>
      <w:pPr>
        <w:jc w:val="center"/>
      </w:pPr>
      <w:r>
        <w:rPr>
          <w:b/>
          <w:sz w:val="24"/>
        </w:rPr>
        <w:t>项目名称：</w:t>
      </w:r>
      <w:r>
        <w:rPr>
          <w:b/>
          <w:sz w:val="24"/>
        </w:rPr>
        <w:t>佛山仙湖实验室氨氢融合发动机性能开发试验台架租赁项目</w:t>
      </w:r>
    </w:p>
    <w:p>
      <w:pPr>
        <w:jc w:val="center"/>
      </w:pPr>
      <w:r>
        <w:rPr>
          <w:b/>
          <w:sz w:val="24"/>
        </w:rPr>
        <w:t>采购人：</w:t>
      </w:r>
      <w:r>
        <w:rPr>
          <w:b/>
          <w:sz w:val="24"/>
        </w:rPr>
        <w:t>佛山仙湖实验室</w:t>
      </w:r>
    </w:p>
    <w:p>
      <w:pPr>
        <w:jc w:val="center"/>
      </w:pPr>
      <w:r>
        <w:rPr>
          <w:b/>
          <w:sz w:val="24"/>
        </w:rPr>
        <w:t>采购代理机构：</w:t>
      </w:r>
      <w:r>
        <w:rPr>
          <w:b/>
          <w:sz w:val="24"/>
        </w:rPr>
        <w:t>广州市国科招标代理有限公司</w:t>
      </w:r>
    </w:p>
    <w:p>
      <w:pPr>
        <w:ind w:firstLine="480"/>
      </w:pPr>
    </w:p>
    <w:p>
      <w:r>
        <w:rPr/>
        <w:t xml:space="preserve"> </w:t>
      </w:r>
    </w:p>
    <w:p/>
    <w:p>
      <w:pPr>
        <w:jc w:val="center"/>
      </w:pPr>
      <w:r>
        <w:rPr>
          <w:b/>
          <w:sz w:val="36"/>
        </w:rPr>
        <w:t>第一章 单一来源协商邀请</w:t>
      </w:r>
    </w:p>
    <w:p>
      <w:pPr>
        <w:ind w:firstLine="480"/>
      </w:pPr>
      <w:r>
        <w:rPr/>
        <w:t>广州市国科招标代理有限公司</w:t>
      </w:r>
      <w:r>
        <w:rPr/>
        <w:t>受</w:t>
      </w:r>
      <w:r>
        <w:rPr/>
        <w:t>佛山仙湖实验室</w:t>
      </w:r>
      <w:r>
        <w:rPr/>
        <w:t>的委托，采用</w:t>
      </w:r>
      <w:r>
        <w:rPr/>
        <w:t>单一来源</w:t>
      </w:r>
      <w:r>
        <w:rPr/>
        <w:t>方式组织采购</w:t>
      </w:r>
      <w:r>
        <w:rPr/>
        <w:t>佛山仙湖实验室氨氢融合发动机性能开发试验台架租赁项目</w:t>
      </w:r>
      <w:r>
        <w:rPr/>
        <w:t>。请该项目的潜在供应商参加本项目特定采购包的协商。</w:t>
      </w:r>
    </w:p>
    <w:p>
      <w:r>
        <w:rPr>
          <w:b/>
          <w:sz w:val="28"/>
        </w:rPr>
        <w:t>一.项目概述</w:t>
      </w:r>
    </w:p>
    <w:p>
      <w:r>
        <w:rPr>
          <w:b/>
          <w:sz w:val="24"/>
        </w:rPr>
        <w:t>1.名称与编号</w:t>
      </w:r>
    </w:p>
    <w:p>
      <w:pPr>
        <w:ind w:firstLine="480"/>
      </w:pPr>
      <w:r>
        <w:rPr/>
        <w:t>采购项目名称：</w:t>
      </w:r>
      <w:r>
        <w:rPr/>
        <w:t>佛山仙湖实验室氨氢融合发动机性能开发试验台架租赁项目</w:t>
      </w:r>
    </w:p>
    <w:p>
      <w:pPr>
        <w:ind w:firstLine="480"/>
      </w:pPr>
      <w:r>
        <w:rPr/>
        <w:t>采购计划编号：</w:t>
      </w:r>
      <w:r>
        <w:rPr/>
        <w:t>440601-2023-03593</w:t>
      </w:r>
    </w:p>
    <w:p>
      <w:pPr>
        <w:ind w:firstLine="480"/>
      </w:pPr>
      <w:r>
        <w:rPr/>
        <w:t>采购项目编号：</w:t>
      </w:r>
      <w:r>
        <w:rPr/>
        <w:t>GZGK23D213C0632D</w:t>
      </w:r>
    </w:p>
    <w:p>
      <w:pPr>
        <w:ind w:firstLine="480"/>
      </w:pPr>
      <w:r>
        <w:rPr/>
        <w:t>采购方式：</w:t>
      </w:r>
      <w:r>
        <w:rPr/>
        <w:t>单一来源</w:t>
      </w:r>
    </w:p>
    <w:p>
      <w:pPr>
        <w:ind w:firstLine="480"/>
      </w:pPr>
      <w:r>
        <w:rPr/>
        <w:t>预算金额：</w:t>
      </w:r>
      <w:r>
        <w:rPr/>
        <w:t>3,000,000.00</w:t>
      </w:r>
      <w:r>
        <w:rPr/>
        <w:t>元</w:t>
      </w:r>
    </w:p>
    <w:p>
      <w:r>
        <w:rPr>
          <w:b/>
          <w:sz w:val="24"/>
        </w:rPr>
        <w:t>2.项目内容及需求情况（采购项目技术规格、参数及要求）</w:t>
      </w:r>
    </w:p>
    <w:p>
      <w:pPr>
        <w:ind w:firstLine="480"/>
      </w:pPr>
    </w:p>
    <w:p/>
    <w:p>
      <w:r>
        <w:rPr/>
        <w:t>采购包1(氨氢融合发动机性能开发试验台架租赁):</w:t>
      </w:r>
    </w:p>
    <w:p>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其他租赁服务</w:t>
            </w:r>
          </w:p>
        </w:tc>
        <w:tc>
          <w:tcPr>
            <w:tcW w:type="dxa" w:w="2052"/>
          </w:tcPr>
          <w:p>
            <w:r>
              <w:rPr/>
              <w:t>氨氢融合发动机性能开发试验台架租赁</w:t>
            </w:r>
          </w:p>
        </w:tc>
        <w:tc>
          <w:tcPr>
            <w:tcW w:type="dxa" w:w="977"/>
          </w:tcPr>
          <w:p>
            <w:r>
              <w:rPr/>
              <w:t>1.00(项)</w:t>
            </w:r>
          </w:p>
        </w:tc>
        <w:tc>
          <w:tcPr>
            <w:tcW w:type="dxa" w:w="977"/>
          </w:tcPr>
          <w:p>
            <w:r>
              <w:rPr/>
              <w:t>详见第二章</w:t>
            </w:r>
          </w:p>
        </w:tc>
        <w:tc>
          <w:tcPr>
            <w:tcW w:type="dxa" w:w="977"/>
          </w:tcPr>
          <w:p>
            <w:r>
              <w:rPr/>
              <w:t>3,000,000.00</w:t>
            </w:r>
          </w:p>
        </w:tc>
        <w:tc>
          <w:tcPr>
            <w:tcW w:type="dxa" w:w="977"/>
          </w:tcPr>
          <w:p>
            <w:r>
              <w:rPr/>
              <w:t>否</w:t>
            </w:r>
          </w:p>
        </w:tc>
      </w:tr>
    </w:tbl>
    <w:p/>
    <w:p>
      <w:r>
        <w:rPr/>
        <w:t>本采购包不接受联合体响应</w:t>
      </w:r>
    </w:p>
    <w:p/>
    <w:p>
      <w:r>
        <w:rPr/>
        <w:t>合同履行期限：见“标的提供时间”要求。</w:t>
      </w:r>
    </w:p>
    <w:p/>
    <w:p>
      <w:r>
        <w:rPr>
          <w:b/>
          <w:sz w:val="24"/>
        </w:rPr>
        <w:t>3.邀请参加本项目协商的供应商名单如下：</w:t>
      </w:r>
    </w:p>
    <w:p>
      <w:pPr>
        <w:ind w:firstLine="480"/>
      </w:pP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采购包</w:t>
            </w:r>
          </w:p>
        </w:tc>
        <w:tc>
          <w:tcPr>
            <w:tcW w:type="dxa" w:w="2076"/>
          </w:tcPr>
          <w:p>
            <w:r>
              <w:rPr/>
              <w:t>采购包名称</w:t>
            </w:r>
          </w:p>
        </w:tc>
        <w:tc>
          <w:tcPr>
            <w:tcW w:type="dxa" w:w="2076"/>
          </w:tcPr>
          <w:p>
            <w:r>
              <w:rPr/>
              <w:t>供应商名称</w:t>
            </w:r>
          </w:p>
        </w:tc>
      </w:tr>
      <w:tr>
        <w:tc>
          <w:tcPr>
            <w:tcW w:type="dxa" w:w="2076"/>
          </w:tcPr>
          <w:p>
            <w:r>
              <w:rPr/>
              <w:t>1</w:t>
            </w:r>
          </w:p>
        </w:tc>
        <w:tc>
          <w:tcPr>
            <w:tcW w:type="dxa" w:w="2076"/>
          </w:tcPr>
          <w:p>
            <w:r>
              <w:rPr/>
              <w:t>包1</w:t>
            </w:r>
          </w:p>
        </w:tc>
        <w:tc>
          <w:tcPr>
            <w:tcW w:type="dxa" w:w="2076"/>
          </w:tcPr>
          <w:p>
            <w:r>
              <w:rPr/>
              <w:t>氨氢融合发动机性能开发试验台架租赁</w:t>
            </w:r>
          </w:p>
        </w:tc>
        <w:tc>
          <w:tcPr>
            <w:tcW w:type="dxa" w:w="2076"/>
          </w:tcPr>
          <w:p>
            <w:r>
              <w:rPr/>
              <w:t>苏州英特模科技股份有限公司</w:t>
            </w:r>
          </w:p>
        </w:tc>
      </w:tr>
    </w:tbl>
    <w:p>
      <w:r>
        <w:rPr/>
        <w:t>邀请供应商列表</w:t>
      </w:r>
    </w:p>
    <w:p/>
    <w:p>
      <w:r>
        <w:rPr>
          <w:b/>
          <w:sz w:val="28"/>
        </w:rPr>
        <w:t>二.申请人的资格要求</w:t>
      </w:r>
    </w:p>
    <w:p>
      <w:r>
        <w:rPr>
          <w:b/>
          <w:sz w:val="24"/>
        </w:rPr>
        <w:t>1.满足《中华人民共和国政府采购法》第二十二条规定，提供下列材料：</w:t>
      </w:r>
    </w:p>
    <w:p>
      <w:pPr>
        <w:ind w:firstLine="480"/>
      </w:pPr>
    </w:p>
    <w:p/>
    <w:p>
      <w:r>
        <w:rPr/>
        <w:t>1）具有独立承担民事责任的能力：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或者按照响应文件格式中《政府采购供应商资格信用承诺函》提供承诺函</w:t>
      </w:r>
    </w:p>
    <w:p/>
    <w:p>
      <w:r>
        <w:rPr/>
        <w:t>3）具有良好的商业信誉和健全的财务会计制度：供应商必须具有良好的商业信誉和健全的财务会计制度（提供2021年度或2022年度财务状况报告或基本开户行出具的资信证明）。或者按照响应文件格式中《政府采购供应商资格信用承诺函》提供承诺函</w:t>
      </w:r>
    </w:p>
    <w:p/>
    <w:p>
      <w:r>
        <w:rPr/>
        <w:t>4）履行合同所必需的设备和专业技术能力：提供书面承诺声明函（格式自拟）或具有履行合同所必需的设备和专业技术能力的其他证明材料。</w:t>
      </w:r>
    </w:p>
    <w:p/>
    <w:p>
      <w:r>
        <w:rPr/>
        <w:t>5）参加采购活动前3年内，在经营活动中没有重大违法记录：参照协商承诺书相关承诺格式内容或者按照响应文件格式中《政府采购供应商资格信用承诺函》提供承诺函。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采购包1（氨氢融合发动机性能开发试验台架租赁）：</w:t>
      </w:r>
      <w:r>
        <w:rPr/>
        <w:t>本采购包不属于专门面向中小企业采购的项目。</w:t>
      </w:r>
    </w:p>
    <w:p/>
    <w:p>
      <w:r>
        <w:rPr>
          <w:b/>
          <w:sz w:val="24"/>
        </w:rPr>
        <w:t>3.本项目的特定资格要求：</w:t>
      </w:r>
    </w:p>
    <w:p>
      <w:pPr>
        <w:ind w:firstLine="480"/>
      </w:pPr>
    </w:p>
    <w:p/>
    <w:p>
      <w:r>
        <w:rPr/>
        <w:t>采购包1（氨氢融合发动机性能开发试验台架租赁）：</w:t>
      </w:r>
    </w:p>
    <w:p/>
    <w:p>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2)单位负责人为同一人或者存在直接控股、管理关系的不同供应商，不得同时参加本采购项目（采购包）响应。 为本项目提供整体设计、规范编制或者项目管理、监理、检测等服务的供应商，不得再参与本项目投标。协商承诺书相关承诺要求内容。</w:t>
      </w:r>
    </w:p>
    <w:p/>
    <w:p>
      <w:r>
        <w:rPr/>
        <w:t>3)已获取本项目采购文件。</w:t>
      </w:r>
    </w:p>
    <w:p/>
    <w:p>
      <w:r>
        <w:rPr>
          <w:b/>
          <w:sz w:val="28"/>
        </w:rPr>
        <w:t>三.获取采购文件</w:t>
      </w:r>
    </w:p>
    <w:p>
      <w:pPr>
        <w:ind w:firstLine="480"/>
      </w:pPr>
      <w:r>
        <w:rPr/>
        <w:t>时间：详见协商公告及其变更公告（如有）</w:t>
      </w:r>
    </w:p>
    <w:p>
      <w:pPr>
        <w:ind w:firstLine="480"/>
      </w:pPr>
      <w:r>
        <w:rPr/>
        <w:t>地点：详见协商公告及其变更公告（如有）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提交响应文件截止时间和开启时间：详情请登录广东政府采购智慧云平台查看</w:t>
      </w:r>
    </w:p>
    <w:p>
      <w:pPr>
        <w:ind w:firstLine="480"/>
      </w:pPr>
      <w:r>
        <w:rPr/>
        <w:t>地点：详情请登录广东政府采购智慧云平台查看</w:t>
      </w:r>
    </w:p>
    <w:p>
      <w:r>
        <w:rPr>
          <w:b/>
          <w:sz w:val="28"/>
        </w:rPr>
        <w:t>五.发布公告的媒介：</w:t>
      </w:r>
    </w:p>
    <w:p>
      <w:pPr>
        <w:ind w:firstLine="480"/>
      </w:pPr>
    </w:p>
    <w:p>
      <w:r>
        <w:rPr>
          <w:b/>
          <w:sz w:val="28"/>
        </w:rPr>
        <w:t>六.本项目联系方式：</w:t>
      </w:r>
    </w:p>
    <w:p>
      <w:r>
        <w:rPr>
          <w:b/>
          <w:sz w:val="24"/>
        </w:rPr>
        <w:t>1.采购人信息</w:t>
      </w:r>
    </w:p>
    <w:p>
      <w:pPr>
        <w:ind w:firstLine="480"/>
      </w:pPr>
      <w:r>
        <w:rPr/>
        <w:t>名称：</w:t>
      </w:r>
      <w:r>
        <w:rPr/>
        <w:t>佛山仙湖实验室</w:t>
      </w:r>
    </w:p>
    <w:p>
      <w:pPr>
        <w:ind w:firstLine="480"/>
      </w:pPr>
      <w:r>
        <w:rPr/>
        <w:t>地址：</w:t>
      </w:r>
      <w:r>
        <w:rPr/>
        <w:t>广东省佛山市南海区丹灶镇仙湖度假区阳明路1号</w:t>
      </w:r>
    </w:p>
    <w:p>
      <w:pPr>
        <w:ind w:firstLine="480"/>
      </w:pPr>
      <w:r>
        <w:rPr/>
        <w:t>联系方式：</w:t>
      </w:r>
      <w:r>
        <w:rPr/>
        <w:t>0757-81229095</w:t>
      </w:r>
    </w:p>
    <w:p>
      <w:r>
        <w:rPr>
          <w:b/>
          <w:sz w:val="24"/>
        </w:rPr>
        <w:t>2.采购代理机构信息</w:t>
      </w:r>
    </w:p>
    <w:p>
      <w:pPr>
        <w:ind w:firstLine="480"/>
      </w:pPr>
      <w:r>
        <w:rPr/>
        <w:t>名称：</w:t>
      </w:r>
      <w:r>
        <w:rPr/>
        <w:t>广州市国科招标代理有限公司</w:t>
      </w:r>
    </w:p>
    <w:p>
      <w:pPr>
        <w:ind w:firstLine="480"/>
      </w:pPr>
      <w:r>
        <w:rPr/>
        <w:t>地址：</w:t>
      </w:r>
      <w:r>
        <w:rPr/>
        <w:t>广州市先烈中路100号科学院大院9号楼东座2楼（中国广州分析测试中心对面）</w:t>
      </w:r>
    </w:p>
    <w:p>
      <w:pPr>
        <w:ind w:firstLine="480"/>
      </w:pPr>
      <w:r>
        <w:rPr/>
        <w:t>联系方式：</w:t>
      </w:r>
      <w:r>
        <w:rPr/>
        <w:t>0757-83277829、020-87688847</w:t>
      </w:r>
    </w:p>
    <w:p>
      <w:r>
        <w:rPr>
          <w:b/>
          <w:sz w:val="24"/>
        </w:rPr>
        <w:t>3.项目联系方式</w:t>
      </w:r>
    </w:p>
    <w:p>
      <w:pPr>
        <w:ind w:firstLine="480"/>
      </w:pPr>
      <w:r>
        <w:rPr/>
        <w:t>项目联系人：</w:t>
      </w:r>
      <w:r>
        <w:rPr/>
        <w:t>黄兰香、李年秀</w:t>
      </w:r>
    </w:p>
    <w:p>
      <w:pPr>
        <w:ind w:firstLine="480"/>
      </w:pPr>
      <w:r>
        <w:rPr/>
        <w:t>电话：</w:t>
      </w:r>
      <w:r>
        <w:rPr/>
        <w:t>0757-83277829、020-87688847</w:t>
      </w:r>
    </w:p>
    <w:p>
      <w:r>
        <w:rPr>
          <w:b/>
          <w:sz w:val="24"/>
        </w:rPr>
        <w:t>4.技术支持联系方式</w:t>
      </w:r>
    </w:p>
    <w:p>
      <w:pPr>
        <w:ind w:firstLine="480"/>
      </w:pPr>
      <w:r>
        <w:rPr/>
        <w:t>云平台联系方式：020-88696588</w:t>
      </w:r>
    </w:p>
    <w:p>
      <w:r>
        <w:rPr/>
        <w:t>采购代理机构：</w:t>
      </w:r>
      <w:r>
        <w:rPr/>
        <w:t>广州市国科招标代理有限公司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（一）</w:t>
      </w:r>
      <w:r>
        <w:rPr>
          <w:b/>
          <w:sz w:val="21"/>
        </w:rPr>
        <w:t>项目编号：</w:t>
      </w:r>
      <w:r>
        <w:rPr>
          <w:sz w:val="21"/>
        </w:rPr>
        <w:t>GZGK23D213C0632D</w:t>
      </w:r>
    </w:p>
    <w:p>
      <w:pPr>
        <w:jc w:val="both"/>
      </w:pPr>
      <w:r>
        <w:rPr>
          <w:b/>
          <w:sz w:val="21"/>
        </w:rPr>
        <w:t>（二）</w:t>
      </w:r>
      <w:r>
        <w:rPr>
          <w:b/>
          <w:sz w:val="21"/>
        </w:rPr>
        <w:t>项目名称：</w:t>
      </w:r>
      <w:r>
        <w:rPr>
          <w:sz w:val="21"/>
        </w:rPr>
        <w:t>佛山仙湖实验室氨氢融合发动机性能开发试验台架租赁项目</w:t>
      </w:r>
    </w:p>
    <w:p>
      <w:pPr>
        <w:jc w:val="both"/>
      </w:pPr>
      <w:r>
        <w:rPr>
          <w:b/>
          <w:sz w:val="21"/>
        </w:rPr>
        <w:t>（三）</w:t>
      </w:r>
      <w:r>
        <w:rPr>
          <w:b/>
          <w:sz w:val="21"/>
        </w:rPr>
        <w:t>总体要求说明：</w:t>
      </w:r>
    </w:p>
    <w:p>
      <w:pPr>
        <w:jc w:val="both"/>
      </w:pPr>
      <w:r>
        <w:rPr>
          <w:sz w:val="21"/>
        </w:rPr>
        <w:t>1、</w:t>
      </w:r>
      <w:r>
        <w:rPr>
          <w:sz w:val="21"/>
        </w:rPr>
        <w:t>标有</w:t>
      </w:r>
      <w:r>
        <w:rPr>
          <w:sz w:val="21"/>
        </w:rPr>
        <w:t>“★”的条款</w:t>
      </w:r>
      <w:r>
        <w:rPr>
          <w:sz w:val="21"/>
        </w:rPr>
        <w:t>为必须完全满足的实质性要求</w:t>
      </w:r>
      <w:r>
        <w:rPr>
          <w:sz w:val="21"/>
        </w:rPr>
        <w:t>，响应供应商如有一项带</w:t>
      </w:r>
      <w:r>
        <w:rPr>
          <w:sz w:val="21"/>
        </w:rPr>
        <w:t>“★”的条款未响应或</w:t>
      </w:r>
      <w:r>
        <w:rPr>
          <w:sz w:val="21"/>
        </w:rPr>
        <w:t>不满足</w:t>
      </w:r>
      <w:r>
        <w:rPr>
          <w:sz w:val="21"/>
        </w:rPr>
        <w:t>，将按无效投标处理。</w:t>
      </w:r>
    </w:p>
    <w:p>
      <w:pPr>
        <w:jc w:val="both"/>
      </w:pPr>
      <w:r>
        <w:rPr>
          <w:sz w:val="21"/>
        </w:rPr>
        <w:t>2、</w:t>
      </w:r>
      <w:r>
        <w:rPr>
          <w:sz w:val="21"/>
        </w:rPr>
        <w:t>标有</w:t>
      </w:r>
      <w:r>
        <w:rPr>
          <w:sz w:val="21"/>
        </w:rPr>
        <w:t>“▲”的条款为重要性要求，响应供应商如有“▲”的条款未响应或负偏离的将被严重扣分。</w:t>
      </w:r>
    </w:p>
    <w:p>
      <w:pPr>
        <w:jc w:val="both"/>
      </w:pPr>
      <w:r>
        <w:rPr>
          <w:sz w:val="21"/>
        </w:rPr>
        <w:t>3、</w:t>
      </w:r>
      <w:r>
        <w:rPr>
          <w:sz w:val="21"/>
        </w:rPr>
        <w:t>响应供应商必须承诺提供符合国家及用户提出的有关质量标准的设备。</w:t>
      </w:r>
    </w:p>
    <w:p>
      <w:pPr>
        <w:jc w:val="both"/>
      </w:pPr>
      <w:r>
        <w:rPr>
          <w:sz w:val="21"/>
        </w:rPr>
        <w:t>4、</w:t>
      </w:r>
      <w:r>
        <w:rPr>
          <w:sz w:val="21"/>
        </w:rPr>
        <w:t>响应供应商应对采购需求中的设备性能和技术（服务）指标在响应详细内容中列出具体数值或明确承诺。如果响应供应商只注明</w:t>
      </w:r>
      <w:r>
        <w:rPr>
          <w:sz w:val="21"/>
        </w:rPr>
        <w:t>“正偏离”或“无偏离”，将</w:t>
      </w:r>
      <w:r>
        <w:rPr>
          <w:sz w:val="21"/>
        </w:rPr>
        <w:t>可能</w:t>
      </w:r>
      <w:r>
        <w:rPr>
          <w:sz w:val="21"/>
        </w:rPr>
        <w:t>被视为</w:t>
      </w:r>
      <w:r>
        <w:rPr>
          <w:sz w:val="21"/>
        </w:rPr>
        <w:t>“负偏离”，从而可能导致严重影响评标结果。</w:t>
      </w:r>
    </w:p>
    <w:p>
      <w:pPr>
        <w:jc w:val="both"/>
      </w:pPr>
      <w:r>
        <w:rPr>
          <w:sz w:val="21"/>
        </w:rPr>
        <w:t>5、</w:t>
      </w:r>
      <w:r>
        <w:rPr>
          <w:sz w:val="21"/>
        </w:rPr>
        <w:t>响应供应商所响应产品除项目采购文件中明确规定要求提供彩页或相应检测报告等证明材料以外，所有技术参数描述均以响应文件为准（响应文件内厂家提供的技术参数描述与响应供应商响应技术参数描述不一致时，以厂家提供的技术参数描述为准）。响应供应商须对所响应产品技术参数的真实性承担法律责任。</w:t>
      </w:r>
    </w:p>
    <w:p>
      <w:pPr>
        <w:jc w:val="both"/>
      </w:pPr>
      <w:r>
        <w:rPr>
          <w:sz w:val="21"/>
        </w:rPr>
        <w:t>6、</w:t>
      </w:r>
      <w:r>
        <w:rPr>
          <w:sz w:val="21"/>
        </w:rPr>
        <w:t>凡列入《中华人民共和国实施强制性产品认证的产品目录》的产品在验收时必须出具</w:t>
      </w:r>
      <w:r>
        <w:rPr>
          <w:sz w:val="21"/>
        </w:rPr>
        <w:t>CCC认证证书复印件，并以在产品外部加施认证标志作为验收依据之一。</w:t>
      </w:r>
    </w:p>
    <w:p>
      <w:pPr>
        <w:jc w:val="both"/>
      </w:pPr>
      <w:r>
        <w:rPr>
          <w:sz w:val="21"/>
        </w:rPr>
        <w:t>7、</w:t>
      </w:r>
      <w:r>
        <w:rPr>
          <w:sz w:val="21"/>
        </w:rPr>
        <w:t>涉及到软件产品的，必须采购和使用正版软件，项目中涉及计算机办公产品的，必须预装正版操作系统软件。</w:t>
      </w:r>
    </w:p>
    <w:p>
      <w:pPr>
        <w:jc w:val="both"/>
      </w:pPr>
      <w:r>
        <w:rPr>
          <w:sz w:val="21"/>
        </w:rPr>
        <w:t>8、</w:t>
      </w:r>
      <w:r>
        <w:rPr>
          <w:sz w:val="21"/>
        </w:rPr>
        <w:t>响应供应商没有在响应文件中注明偏离（文字说明或在响应表注明）的参数、配置、条款视为被响应供应商完全接受。</w:t>
      </w:r>
    </w:p>
    <w:p>
      <w:pPr>
        <w:jc w:val="both"/>
      </w:pPr>
      <w:r>
        <w:rPr>
          <w:sz w:val="21"/>
        </w:rPr>
        <w:t>9、</w:t>
      </w:r>
      <w:r>
        <w:rPr>
          <w:sz w:val="21"/>
        </w:rPr>
        <w:t>响应供应商应保证，采购人在中华人民共和国使用该货物（服务）或货物（服务）的任何一部分时，免受第三方提出的侵犯其专利权、商标权、著作权或其它知识产权的起诉。</w:t>
      </w:r>
    </w:p>
    <w:p>
      <w:pPr>
        <w:jc w:val="both"/>
      </w:pPr>
      <w:r>
        <w:rPr>
          <w:sz w:val="21"/>
        </w:rPr>
        <w:t>10、</w:t>
      </w:r>
      <w:r>
        <w:rPr>
          <w:sz w:val="21"/>
        </w:rPr>
        <w:t>不允许中标（成交）供应商</w:t>
      </w:r>
      <w:r>
        <w:rPr>
          <w:sz w:val="21"/>
        </w:rPr>
        <w:t>转包、分包项目内容</w:t>
      </w:r>
      <w:r>
        <w:rPr>
          <w:sz w:val="21"/>
        </w:rPr>
        <w:t>。</w:t>
      </w:r>
    </w:p>
    <w:p>
      <w:pPr>
        <w:jc w:val="both"/>
      </w:pPr>
      <w:r>
        <w:rPr>
          <w:b/>
          <w:sz w:val="21"/>
        </w:rPr>
        <w:t>（四）</w:t>
      </w:r>
      <w:r>
        <w:rPr>
          <w:b/>
          <w:sz w:val="21"/>
        </w:rPr>
        <w:t>其他说明：</w:t>
      </w:r>
    </w:p>
    <w:p>
      <w:pPr>
        <w:jc w:val="both"/>
      </w:pPr>
      <w:r>
        <w:rPr>
          <w:sz w:val="21"/>
        </w:rPr>
        <w:t>1、</w:t>
      </w:r>
      <w:r>
        <w:rPr>
          <w:sz w:val="21"/>
        </w:rPr>
        <w:t>本项目开标方式为远程开标。参与全流程云平台采购项目的供应商登录云平台通过</w:t>
      </w:r>
      <w:r>
        <w:rPr>
          <w:sz w:val="21"/>
        </w:rPr>
        <w:t>“新供应商开标大厅”进行签到及响应文件的解密，签到需在开标时间前</w:t>
      </w:r>
      <w:r>
        <w:rPr>
          <w:sz w:val="21"/>
        </w:rPr>
        <w:t>30</w:t>
      </w:r>
      <w:r>
        <w:rPr>
          <w:sz w:val="21"/>
        </w:rPr>
        <w:t>分钟内完成，不需要委派代表前往开标现场。但为了保证开标程序顺利、高效地完成，响应供应商亦可委派代表携带</w:t>
      </w:r>
      <w:r>
        <w:rPr>
          <w:sz w:val="21"/>
        </w:rPr>
        <w:t>CA-key</w:t>
      </w:r>
      <w:r>
        <w:rPr>
          <w:sz w:val="21"/>
        </w:rPr>
        <w:t>、存储有非加密响应文件的</w:t>
      </w:r>
      <w:r>
        <w:rPr>
          <w:sz w:val="21"/>
        </w:rPr>
        <w:t>U</w:t>
      </w:r>
      <w:r>
        <w:rPr>
          <w:sz w:val="21"/>
        </w:rPr>
        <w:t>盘及纸质响应文件前往开标现场进行签到、解密。</w:t>
      </w:r>
    </w:p>
    <w:p>
      <w:pPr>
        <w:jc w:val="both"/>
      </w:pPr>
      <w:r>
        <w:rPr>
          <w:sz w:val="21"/>
        </w:rPr>
        <w:t>2、</w:t>
      </w:r>
      <w:r>
        <w:rPr>
          <w:sz w:val="21"/>
        </w:rPr>
        <w:t>纸质响应文件邮寄地址（邮寄地址：广东省佛山市禅城区季华二路佛山国家火炬创新创业园火炬大楼</w:t>
      </w:r>
      <w:r>
        <w:rPr>
          <w:sz w:val="21"/>
        </w:rPr>
        <w:t>5</w:t>
      </w:r>
      <w:r>
        <w:rPr>
          <w:sz w:val="21"/>
        </w:rPr>
        <w:t>楼</w:t>
      </w:r>
      <w:r>
        <w:rPr>
          <w:sz w:val="21"/>
        </w:rPr>
        <w:t>501</w:t>
      </w:r>
      <w:r>
        <w:rPr>
          <w:sz w:val="21"/>
        </w:rPr>
        <w:t>室），收件人及电话：详见项目公告的项目联系人）。响应供应商如选择邮寄响应文件，请提前安排时间邮寄，务必保证响应文件于提交响应文件截止时间前到达上述地址（以签收时间为准），并及时将快递单号发送至招标代理机构邮箱：</w:t>
      </w:r>
      <w:r>
        <w:rPr>
          <w:sz w:val="21"/>
        </w:rPr>
        <w:t>gzgk@gzgkbidding.com</w:t>
      </w:r>
      <w:r>
        <w:rPr>
          <w:sz w:val="21"/>
        </w:rPr>
        <w:t>。</w:t>
      </w:r>
    </w:p>
    <w:p>
      <w:pPr>
        <w:jc w:val="both"/>
      </w:pPr>
      <w:r>
        <w:rPr>
          <w:sz w:val="21"/>
        </w:rPr>
        <w:t>3、</w:t>
      </w:r>
      <w:r>
        <w:rPr>
          <w:sz w:val="21"/>
        </w:rPr>
        <w:t>采用单一来源采购方式的项目，进入评标阶段时，如需进行协商的，供应商登录云平台通过</w:t>
      </w:r>
      <w:r>
        <w:rPr>
          <w:sz w:val="21"/>
        </w:rPr>
        <w:t>“等候大厅”对专家发起的协商进行响应。</w:t>
      </w:r>
    </w:p>
    <w:p>
      <w:pPr>
        <w:jc w:val="both"/>
      </w:pPr>
      <w:r>
        <w:rPr>
          <w:sz w:val="21"/>
        </w:rPr>
        <w:t>4、</w:t>
      </w:r>
      <w:r>
        <w:rPr>
          <w:sz w:val="21"/>
        </w:rPr>
        <w:t>上述流程中供应商电脑需提前安装</w:t>
      </w:r>
      <w:r>
        <w:rPr>
          <w:sz w:val="21"/>
        </w:rPr>
        <w:t>CA</w:t>
      </w:r>
      <w:r>
        <w:rPr>
          <w:sz w:val="21"/>
        </w:rPr>
        <w:t>签章客户端，并运行</w:t>
      </w:r>
      <w:r>
        <w:rPr>
          <w:sz w:val="21"/>
        </w:rPr>
        <w:t>CA</w:t>
      </w:r>
      <w:r>
        <w:rPr>
          <w:sz w:val="21"/>
        </w:rPr>
        <w:t>证书。</w:t>
      </w:r>
    </w:p>
    <w:p>
      <w:pPr>
        <w:jc w:val="both"/>
      </w:pPr>
      <w:r>
        <w:rPr>
          <w:sz w:val="21"/>
        </w:rPr>
        <w:t>5、</w:t>
      </w:r>
      <w:r>
        <w:rPr>
          <w:b/>
          <w:sz w:val="21"/>
        </w:rPr>
        <w:t>请各响应供应商在编制响应文件时注意，涉及到签字或签章的地方，请按要求签字或签章后再上传系统。响应文件加密前请注意所有需要签字、签章、盖章的地方是否齐全无缺漏。请保管好</w:t>
      </w:r>
      <w:r>
        <w:rPr>
          <w:b/>
          <w:sz w:val="21"/>
        </w:rPr>
        <w:t>CA</w:t>
      </w:r>
      <w:r>
        <w:rPr>
          <w:b/>
          <w:sz w:val="21"/>
        </w:rPr>
        <w:t>证书的密码，如遗忘，请及时重置，以免影响响应文件的解密。</w:t>
      </w:r>
    </w:p>
    <w:p>
      <w:pPr>
        <w:jc w:val="both"/>
      </w:pPr>
      <w:r>
        <w:rPr>
          <w:b/>
          <w:sz w:val="21"/>
        </w:rPr>
        <w:t>（五）</w:t>
      </w:r>
      <w:r>
        <w:rPr>
          <w:b/>
          <w:sz w:val="21"/>
        </w:rPr>
        <w:t>响应报价说明：</w:t>
      </w:r>
    </w:p>
    <w:p>
      <w:pPr>
        <w:ind w:firstLine="420"/>
        <w:jc w:val="both"/>
      </w:pPr>
      <w:r>
        <w:rPr>
          <w:sz w:val="21"/>
        </w:rPr>
        <w:t>1.响应报价包括：试验台架租赁期间的货款、设计、安装、随机零配件、标配工具、运输保险、调试、培训、质量保证期服务、各项税费及合同实施过程中不可预见费用等。</w:t>
      </w:r>
    </w:p>
    <w:p>
      <w:pPr>
        <w:ind w:firstLine="420"/>
        <w:jc w:val="both"/>
      </w:pPr>
      <w:r>
        <w:rPr>
          <w:sz w:val="21"/>
        </w:rPr>
        <w:t>2.</w:t>
      </w:r>
      <w:r>
        <w:rPr>
          <w:sz w:val="21"/>
        </w:rPr>
        <w:t>本项目采用折扣率报价形式，</w:t>
      </w:r>
      <w:r>
        <w:rPr>
          <w:sz w:val="21"/>
        </w:rPr>
        <w:t>所有报价项目</w:t>
      </w:r>
      <w:r>
        <w:rPr>
          <w:sz w:val="21"/>
        </w:rPr>
        <w:t>均</w:t>
      </w:r>
      <w:r>
        <w:rPr>
          <w:sz w:val="21"/>
        </w:rPr>
        <w:t>适用于同一个折扣率，</w:t>
      </w:r>
      <w:r>
        <w:rPr>
          <w:sz w:val="21"/>
        </w:rPr>
        <w:t>单价基准价详见下表，</w:t>
      </w:r>
      <w:r>
        <w:rPr>
          <w:sz w:val="21"/>
        </w:rPr>
        <w:t>响应</w:t>
      </w:r>
      <w:r>
        <w:rPr>
          <w:sz w:val="21"/>
        </w:rPr>
        <w:t>综合折扣率须为固定报价（</w:t>
      </w:r>
      <w:r>
        <w:rPr>
          <w:sz w:val="21"/>
        </w:rPr>
        <w:t>□□.□□％），不接受区间报价（例如□□.□□％～□□.□□％），在0%-100%范围内取值，若报价超出此范围则响应无效。例如：耐久试验基准价为1,050.00元/时，报价拟优惠105元/时，实际单价为945.00元/时，那么响应综合折扣率则为：945.00/1050.00*100%=90.00%。</w:t>
      </w:r>
    </w:p>
    <w:tbl>
      <w:tblPr>
        <w:tblW w:w="0" w:type="auto"/>
        <w:tblBorders>
          <w:top w:val="none" w:color="000000" w:sz="4"/>
          <w:left w:val="none" w:color="000000" w:sz="4"/>
          <w:bottom w:val="none" w:color="000000" w:sz="4"/>
          <w:right w:val="none" w:color="000000" w:sz="4"/>
          <w:insideH w:val="none"/>
          <w:insideV w:val="none"/>
        </w:tblBorders>
      </w:tblPr>
      <w:tblGrid>
        <w:gridCol w:w="1481"/>
        <w:gridCol w:w="1966"/>
        <w:gridCol w:w="1203"/>
        <w:gridCol w:w="1423"/>
        <w:gridCol w:w="2232"/>
      </w:tblGrid>
      <w:tr>
        <w:tc>
          <w:tcPr>
            <w:tcW w:type="dxa" w:w="8305"/>
            <w:gridSpan w:val="5"/>
            <w:tcBorders>
              <w:top w:val="single" w:color="000000" w:sz="4"/>
              <w:left w:val="single" w:color="000000" w:sz="4"/>
              <w:bottom w:val="single" w:color="000000" w:sz="4"/>
              <w:right w:val="single" w:color="000000" w:sz="4"/>
            </w:tcBorders>
            <w:vAlign w:val="top"/>
          </w:tcPr>
          <w:p>
            <w:pPr>
              <w:jc w:val="center"/>
            </w:pPr>
            <w:r>
              <w:rPr>
                <w:b/>
                <w:sz w:val="21"/>
              </w:rPr>
              <w:t>单价基准价</w:t>
            </w:r>
          </w:p>
        </w:tc>
      </w:tr>
      <w:tr>
        <w:tc>
          <w:tcPr>
            <w:tcW w:type="dxa" w:w="148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1966"/>
            <w:tcBorders>
              <w:top w:val="none" w:color="000000" w:sz="4"/>
              <w:left w:val="none" w:color="000000" w:sz="4"/>
              <w:bottom w:val="single" w:color="000000" w:sz="4"/>
              <w:right w:val="single" w:color="000000" w:sz="4"/>
            </w:tcBorders>
            <w:vAlign w:val="top"/>
          </w:tcPr>
          <w:p>
            <w:pPr>
              <w:jc w:val="center"/>
            </w:pPr>
            <w:r>
              <w:rPr>
                <w:b/>
                <w:sz w:val="21"/>
              </w:rPr>
              <w:t>项目收费明细</w:t>
            </w:r>
          </w:p>
        </w:tc>
        <w:tc>
          <w:tcPr>
            <w:tcW w:type="dxa" w:w="1203"/>
            <w:tcBorders>
              <w:top w:val="none" w:color="000000" w:sz="4"/>
              <w:left w:val="none" w:color="000000" w:sz="4"/>
              <w:bottom w:val="single" w:color="000000" w:sz="4"/>
              <w:right w:val="single" w:color="000000" w:sz="4"/>
            </w:tcBorders>
            <w:vAlign w:val="top"/>
          </w:tcPr>
          <w:p>
            <w:pPr>
              <w:jc w:val="center"/>
            </w:pPr>
            <w:r>
              <w:rPr>
                <w:b/>
                <w:sz w:val="21"/>
              </w:rPr>
              <w:t>单价基准价</w:t>
            </w:r>
          </w:p>
        </w:tc>
        <w:tc>
          <w:tcPr>
            <w:tcW w:type="dxa" w:w="1423"/>
            <w:tcBorders>
              <w:top w:val="none" w:color="000000" w:sz="4"/>
              <w:left w:val="none" w:color="000000" w:sz="4"/>
              <w:bottom w:val="single" w:color="000000" w:sz="4"/>
              <w:right w:val="single" w:color="000000" w:sz="4"/>
            </w:tcBorders>
            <w:vAlign w:val="top"/>
          </w:tcPr>
          <w:p>
            <w:pPr>
              <w:jc w:val="center"/>
            </w:pPr>
            <w:r>
              <w:rPr>
                <w:b/>
                <w:sz w:val="21"/>
              </w:rPr>
              <w:t>单位</w:t>
            </w:r>
          </w:p>
        </w:tc>
        <w:tc>
          <w:tcPr>
            <w:tcW w:type="dxa" w:w="2232"/>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1481"/>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66"/>
            <w:tcBorders>
              <w:top w:val="none" w:color="000000" w:sz="4"/>
              <w:left w:val="none" w:color="000000" w:sz="4"/>
              <w:bottom w:val="single" w:color="000000" w:sz="4"/>
              <w:right w:val="single" w:color="000000" w:sz="4"/>
            </w:tcBorders>
            <w:vAlign w:val="top"/>
          </w:tcPr>
          <w:p>
            <w:pPr>
              <w:jc w:val="center"/>
            </w:pPr>
            <w:r>
              <w:rPr>
                <w:sz w:val="21"/>
              </w:rPr>
              <w:t>耐久试验</w:t>
            </w:r>
          </w:p>
        </w:tc>
        <w:tc>
          <w:tcPr>
            <w:tcW w:type="dxa" w:w="1203"/>
            <w:tcBorders>
              <w:top w:val="none" w:color="000000" w:sz="4"/>
              <w:left w:val="none" w:color="000000" w:sz="4"/>
              <w:bottom w:val="single" w:color="000000" w:sz="4"/>
              <w:right w:val="single" w:color="000000" w:sz="4"/>
            </w:tcBorders>
            <w:vAlign w:val="top"/>
          </w:tcPr>
          <w:p>
            <w:pPr>
              <w:jc w:val="center"/>
            </w:pPr>
            <w:r>
              <w:rPr>
                <w:sz w:val="21"/>
              </w:rPr>
              <w:t>￥</w:t>
            </w:r>
            <w:r>
              <w:rPr>
                <w:sz w:val="21"/>
              </w:rPr>
              <w:t>1,050.00</w:t>
            </w:r>
          </w:p>
        </w:tc>
        <w:tc>
          <w:tcPr>
            <w:tcW w:type="dxa" w:w="1423"/>
            <w:tcBorders>
              <w:top w:val="none" w:color="000000" w:sz="4"/>
              <w:left w:val="none" w:color="000000" w:sz="4"/>
              <w:bottom w:val="single" w:color="000000" w:sz="4"/>
              <w:right w:val="single" w:color="000000" w:sz="4"/>
            </w:tcBorders>
            <w:vAlign w:val="top"/>
          </w:tcPr>
          <w:p>
            <w:pPr>
              <w:jc w:val="center"/>
            </w:pPr>
            <w:r>
              <w:rPr>
                <w:sz w:val="21"/>
              </w:rPr>
              <w:t>小时</w:t>
            </w:r>
          </w:p>
        </w:tc>
        <w:tc>
          <w:tcPr>
            <w:tcW w:type="dxa" w:w="2232"/>
            <w:tcBorders>
              <w:top w:val="none" w:color="000000" w:sz="4"/>
              <w:left w:val="none" w:color="000000" w:sz="4"/>
              <w:bottom w:val="single" w:color="000000" w:sz="4"/>
              <w:right w:val="single" w:color="000000" w:sz="4"/>
            </w:tcBorders>
            <w:vAlign w:val="top"/>
          </w:tcPr>
          <w:p>
            <w:pPr>
              <w:jc w:val="center"/>
            </w:pPr>
            <w:r>
              <w:rPr>
                <w:sz w:val="21"/>
              </w:rPr>
              <w:t>每天最低按</w:t>
            </w:r>
            <w:r>
              <w:rPr>
                <w:sz w:val="21"/>
              </w:rPr>
              <w:t>20h计费，超过20h按实际时间计算</w:t>
            </w:r>
          </w:p>
        </w:tc>
      </w:tr>
      <w:tr>
        <w:tc>
          <w:tcPr>
            <w:tcW w:type="dxa" w:w="1481"/>
            <w:vMerge/>
            <w:tcBorders>
              <w:top w:val="none" w:color="000000" w:sz="4"/>
              <w:left w:val="single" w:color="000000" w:sz="4"/>
              <w:bottom w:val="single" w:color="000000" w:sz="4"/>
              <w:right w:val="single" w:color="000000" w:sz="4"/>
            </w:tcBorders>
          </w:tcPr>
          <w:p/>
        </w:tc>
        <w:tc>
          <w:tcPr>
            <w:tcW w:type="dxa" w:w="1966"/>
            <w:tcBorders>
              <w:top w:val="none" w:color="000000" w:sz="4"/>
              <w:left w:val="none" w:color="000000" w:sz="4"/>
              <w:bottom w:val="single" w:color="000000" w:sz="4"/>
              <w:right w:val="single" w:color="000000" w:sz="4"/>
            </w:tcBorders>
            <w:vAlign w:val="top"/>
          </w:tcPr>
          <w:p>
            <w:pPr>
              <w:jc w:val="center"/>
            </w:pPr>
            <w:r>
              <w:rPr>
                <w:sz w:val="21"/>
              </w:rPr>
              <w:t>性能排放试验</w:t>
            </w:r>
          </w:p>
        </w:tc>
        <w:tc>
          <w:tcPr>
            <w:tcW w:type="dxa" w:w="1203"/>
            <w:tcBorders>
              <w:top w:val="none" w:color="000000" w:sz="4"/>
              <w:left w:val="none" w:color="000000" w:sz="4"/>
              <w:bottom w:val="single" w:color="000000" w:sz="4"/>
              <w:right w:val="single" w:color="000000" w:sz="4"/>
            </w:tcBorders>
            <w:vAlign w:val="top"/>
          </w:tcPr>
          <w:p>
            <w:pPr>
              <w:jc w:val="center"/>
            </w:pPr>
            <w:r>
              <w:rPr>
                <w:sz w:val="21"/>
              </w:rPr>
              <w:t>￥</w:t>
            </w:r>
            <w:r>
              <w:rPr>
                <w:sz w:val="21"/>
              </w:rPr>
              <w:t>1,750.00</w:t>
            </w:r>
          </w:p>
        </w:tc>
        <w:tc>
          <w:tcPr>
            <w:tcW w:type="dxa" w:w="1423"/>
            <w:tcBorders>
              <w:top w:val="none" w:color="000000" w:sz="4"/>
              <w:left w:val="none" w:color="000000" w:sz="4"/>
              <w:bottom w:val="single" w:color="000000" w:sz="4"/>
              <w:right w:val="single" w:color="000000" w:sz="4"/>
            </w:tcBorders>
            <w:vAlign w:val="top"/>
          </w:tcPr>
          <w:p>
            <w:pPr>
              <w:jc w:val="center"/>
            </w:pPr>
            <w:r>
              <w:rPr>
                <w:sz w:val="21"/>
              </w:rPr>
              <w:t>小时</w:t>
            </w:r>
          </w:p>
        </w:tc>
        <w:tc>
          <w:tcPr>
            <w:tcW w:type="dxa" w:w="2232"/>
            <w:tcBorders>
              <w:top w:val="none" w:color="000000" w:sz="4"/>
              <w:left w:val="none" w:color="000000" w:sz="4"/>
              <w:bottom w:val="single" w:color="000000" w:sz="4"/>
              <w:right w:val="single" w:color="000000" w:sz="4"/>
            </w:tcBorders>
            <w:vAlign w:val="top"/>
          </w:tcPr>
          <w:p>
            <w:pPr>
              <w:jc w:val="center"/>
            </w:pPr>
            <w:r>
              <w:rPr>
                <w:sz w:val="21"/>
              </w:rPr>
              <w:t>每天最低按</w:t>
            </w:r>
            <w:r>
              <w:rPr>
                <w:sz w:val="21"/>
              </w:rPr>
              <w:t>12h计费，超过20h按实际时间计算</w:t>
            </w:r>
          </w:p>
        </w:tc>
      </w:tr>
      <w:tr>
        <w:tc>
          <w:tcPr>
            <w:tcW w:type="dxa" w:w="148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966"/>
            <w:tcBorders>
              <w:top w:val="none" w:color="000000" w:sz="4"/>
              <w:left w:val="none" w:color="000000" w:sz="4"/>
              <w:bottom w:val="single" w:color="000000" w:sz="4"/>
              <w:right w:val="single" w:color="000000" w:sz="4"/>
            </w:tcBorders>
            <w:vAlign w:val="top"/>
          </w:tcPr>
          <w:p>
            <w:pPr>
              <w:jc w:val="center"/>
            </w:pPr>
            <w:r>
              <w:rPr>
                <w:sz w:val="21"/>
              </w:rPr>
              <w:t>氢气</w:t>
            </w:r>
          </w:p>
        </w:tc>
        <w:tc>
          <w:tcPr>
            <w:tcW w:type="dxa" w:w="1203"/>
            <w:tcBorders>
              <w:top w:val="none" w:color="000000" w:sz="4"/>
              <w:left w:val="none" w:color="000000" w:sz="4"/>
              <w:bottom w:val="single" w:color="000000" w:sz="4"/>
              <w:right w:val="single" w:color="000000" w:sz="4"/>
            </w:tcBorders>
            <w:vAlign w:val="top"/>
          </w:tcPr>
          <w:p>
            <w:pPr>
              <w:jc w:val="center"/>
            </w:pPr>
            <w:r>
              <w:rPr>
                <w:sz w:val="21"/>
              </w:rPr>
              <w:t>￥</w:t>
            </w:r>
            <w:r>
              <w:rPr>
                <w:sz w:val="21"/>
              </w:rPr>
              <w:t>90.00</w:t>
            </w:r>
          </w:p>
        </w:tc>
        <w:tc>
          <w:tcPr>
            <w:tcW w:type="dxa" w:w="1423"/>
            <w:tcBorders>
              <w:top w:val="none" w:color="000000" w:sz="4"/>
              <w:left w:val="none" w:color="000000" w:sz="4"/>
              <w:bottom w:val="single" w:color="000000" w:sz="4"/>
              <w:right w:val="single" w:color="000000" w:sz="4"/>
            </w:tcBorders>
            <w:vAlign w:val="top"/>
          </w:tcPr>
          <w:p>
            <w:pPr>
              <w:jc w:val="center"/>
            </w:pPr>
            <w:r>
              <w:rPr>
                <w:sz w:val="21"/>
              </w:rPr>
              <w:t>KG</w:t>
            </w:r>
          </w:p>
        </w:tc>
        <w:tc>
          <w:tcPr>
            <w:tcW w:type="dxa" w:w="2232"/>
            <w:vMerge w:val="restart"/>
            <w:tcBorders>
              <w:top w:val="none" w:color="000000" w:sz="4"/>
              <w:left w:val="none" w:color="000000" w:sz="4"/>
              <w:bottom w:val="single" w:color="000000" w:sz="4"/>
              <w:right w:val="single" w:color="000000" w:sz="4"/>
            </w:tcBorders>
            <w:vAlign w:val="top"/>
          </w:tcPr>
          <w:p>
            <w:pPr>
              <w:jc w:val="center"/>
            </w:pPr>
            <w:r>
              <w:rPr>
                <w:sz w:val="21"/>
              </w:rPr>
              <w:t>已包含管理费</w:t>
            </w:r>
          </w:p>
        </w:tc>
      </w:tr>
      <w:tr>
        <w:tc>
          <w:tcPr>
            <w:tcW w:type="dxa" w:w="148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966"/>
            <w:tcBorders>
              <w:top w:val="none" w:color="000000" w:sz="4"/>
              <w:left w:val="none" w:color="000000" w:sz="4"/>
              <w:bottom w:val="single" w:color="000000" w:sz="4"/>
              <w:right w:val="single" w:color="000000" w:sz="4"/>
            </w:tcBorders>
            <w:vAlign w:val="top"/>
          </w:tcPr>
          <w:p>
            <w:pPr>
              <w:jc w:val="center"/>
            </w:pPr>
            <w:r>
              <w:rPr>
                <w:sz w:val="21"/>
              </w:rPr>
              <w:t>氨气</w:t>
            </w:r>
          </w:p>
        </w:tc>
        <w:tc>
          <w:tcPr>
            <w:tcW w:type="dxa" w:w="1203"/>
            <w:tcBorders>
              <w:top w:val="none" w:color="000000" w:sz="4"/>
              <w:left w:val="none" w:color="000000" w:sz="4"/>
              <w:bottom w:val="single" w:color="000000" w:sz="4"/>
              <w:right w:val="single" w:color="000000" w:sz="4"/>
            </w:tcBorders>
            <w:vAlign w:val="top"/>
          </w:tcPr>
          <w:p>
            <w:pPr>
              <w:jc w:val="center"/>
            </w:pPr>
            <w:r>
              <w:rPr>
                <w:sz w:val="21"/>
              </w:rPr>
              <w:t>￥</w:t>
            </w:r>
            <w:r>
              <w:rPr>
                <w:sz w:val="21"/>
              </w:rPr>
              <w:t>6.00</w:t>
            </w:r>
          </w:p>
        </w:tc>
        <w:tc>
          <w:tcPr>
            <w:tcW w:type="dxa" w:w="1423"/>
            <w:tcBorders>
              <w:top w:val="none" w:color="000000" w:sz="4"/>
              <w:left w:val="none" w:color="000000" w:sz="4"/>
              <w:bottom w:val="single" w:color="000000" w:sz="4"/>
              <w:right w:val="single" w:color="000000" w:sz="4"/>
            </w:tcBorders>
            <w:vAlign w:val="top"/>
          </w:tcPr>
          <w:p>
            <w:pPr>
              <w:jc w:val="center"/>
            </w:pPr>
            <w:r>
              <w:rPr>
                <w:sz w:val="21"/>
              </w:rPr>
              <w:t>KG</w:t>
            </w:r>
          </w:p>
        </w:tc>
      </w:tr>
      <w:tr>
        <w:tc>
          <w:tcPr>
            <w:tcW w:type="dxa" w:w="148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966"/>
            <w:tcBorders>
              <w:top w:val="none" w:color="000000" w:sz="4"/>
              <w:left w:val="none" w:color="000000" w:sz="4"/>
              <w:bottom w:val="single" w:color="000000" w:sz="4"/>
              <w:right w:val="single" w:color="000000" w:sz="4"/>
            </w:tcBorders>
            <w:vAlign w:val="top"/>
          </w:tcPr>
          <w:p>
            <w:pPr>
              <w:jc w:val="center"/>
            </w:pPr>
            <w:r>
              <w:rPr>
                <w:sz w:val="21"/>
              </w:rPr>
              <w:t>机油</w:t>
            </w:r>
          </w:p>
        </w:tc>
        <w:tc>
          <w:tcPr>
            <w:tcW w:type="dxa" w:w="1203"/>
            <w:tcBorders>
              <w:top w:val="none" w:color="000000" w:sz="4"/>
              <w:left w:val="none" w:color="000000" w:sz="4"/>
              <w:bottom w:val="single" w:color="000000" w:sz="4"/>
              <w:right w:val="single" w:color="000000" w:sz="4"/>
            </w:tcBorders>
            <w:vAlign w:val="top"/>
          </w:tcPr>
          <w:p>
            <w:pPr>
              <w:jc w:val="center"/>
            </w:pPr>
            <w:r>
              <w:rPr>
                <w:sz w:val="21"/>
              </w:rPr>
              <w:t>￥</w:t>
            </w:r>
            <w:r>
              <w:rPr>
                <w:sz w:val="21"/>
              </w:rPr>
              <w:t>80.00</w:t>
            </w:r>
          </w:p>
        </w:tc>
        <w:tc>
          <w:tcPr>
            <w:tcW w:type="dxa" w:w="1423"/>
            <w:tcBorders>
              <w:top w:val="none" w:color="000000" w:sz="4"/>
              <w:left w:val="none" w:color="000000" w:sz="4"/>
              <w:bottom w:val="single" w:color="000000" w:sz="4"/>
              <w:right w:val="single" w:color="000000" w:sz="4"/>
            </w:tcBorders>
            <w:vAlign w:val="top"/>
          </w:tcPr>
          <w:p>
            <w:pPr>
              <w:jc w:val="center"/>
            </w:pPr>
            <w:r>
              <w:rPr>
                <w:sz w:val="21"/>
              </w:rPr>
              <w:t>L</w:t>
            </w:r>
          </w:p>
        </w:tc>
      </w:tr>
      <w:tr>
        <w:tc>
          <w:tcPr>
            <w:tcW w:type="dxa" w:w="148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966"/>
            <w:tcBorders>
              <w:top w:val="none" w:color="000000" w:sz="4"/>
              <w:left w:val="none" w:color="000000" w:sz="4"/>
              <w:bottom w:val="single" w:color="000000" w:sz="4"/>
              <w:right w:val="single" w:color="000000" w:sz="4"/>
            </w:tcBorders>
            <w:vAlign w:val="top"/>
          </w:tcPr>
          <w:p>
            <w:pPr>
              <w:jc w:val="center"/>
            </w:pPr>
            <w:r>
              <w:rPr>
                <w:sz w:val="21"/>
              </w:rPr>
              <w:t>发动机工装</w:t>
            </w:r>
          </w:p>
        </w:tc>
        <w:tc>
          <w:tcPr>
            <w:tcW w:type="dxa" w:w="1203"/>
            <w:tcBorders>
              <w:top w:val="none" w:color="000000" w:sz="4"/>
              <w:left w:val="none" w:color="000000" w:sz="4"/>
              <w:bottom w:val="single" w:color="000000" w:sz="4"/>
              <w:right w:val="single" w:color="000000" w:sz="4"/>
            </w:tcBorders>
            <w:vAlign w:val="top"/>
          </w:tcPr>
          <w:p>
            <w:pPr>
              <w:jc w:val="center"/>
            </w:pPr>
            <w:r>
              <w:rPr>
                <w:sz w:val="21"/>
              </w:rPr>
              <w:t>￥</w:t>
            </w:r>
            <w:r>
              <w:rPr>
                <w:sz w:val="21"/>
              </w:rPr>
              <w:t>5,000.00</w:t>
            </w:r>
          </w:p>
        </w:tc>
        <w:tc>
          <w:tcPr>
            <w:tcW w:type="dxa" w:w="1423"/>
            <w:tcBorders>
              <w:top w:val="none" w:color="000000" w:sz="4"/>
              <w:left w:val="none" w:color="000000" w:sz="4"/>
              <w:bottom w:val="single" w:color="000000" w:sz="4"/>
              <w:right w:val="single" w:color="000000" w:sz="4"/>
            </w:tcBorders>
            <w:vAlign w:val="top"/>
          </w:tcPr>
          <w:p>
            <w:pPr>
              <w:jc w:val="center"/>
            </w:pPr>
            <w:r>
              <w:rPr>
                <w:sz w:val="21"/>
              </w:rPr>
              <w:t>套</w:t>
            </w:r>
          </w:p>
        </w:tc>
        <w:tc>
          <w:tcPr>
            <w:tcW w:type="dxa" w:w="2232"/>
            <w:tcBorders>
              <w:top w:val="none" w:color="000000" w:sz="4"/>
              <w:left w:val="none" w:color="000000" w:sz="4"/>
              <w:bottom w:val="single" w:color="000000" w:sz="4"/>
              <w:right w:val="single" w:color="000000" w:sz="4"/>
            </w:tcBorders>
            <w:vAlign w:val="top"/>
          </w:tcPr>
          <w:p>
            <w:pPr>
              <w:jc w:val="center"/>
            </w:pPr>
            <w:r>
              <w:rPr>
                <w:sz w:val="21"/>
              </w:rPr>
              <w:t>不重复计费，服务过程只收取</w:t>
            </w:r>
            <w:r>
              <w:rPr>
                <w:sz w:val="21"/>
              </w:rPr>
              <w:t>1套的费用</w:t>
            </w:r>
          </w:p>
        </w:tc>
      </w:tr>
      <w:tr>
        <w:tc>
          <w:tcPr>
            <w:tcW w:type="dxa" w:w="148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966"/>
            <w:tcBorders>
              <w:top w:val="none" w:color="000000" w:sz="4"/>
              <w:left w:val="none" w:color="000000" w:sz="4"/>
              <w:bottom w:val="single" w:color="000000" w:sz="4"/>
              <w:right w:val="single" w:color="000000" w:sz="4"/>
            </w:tcBorders>
            <w:vAlign w:val="top"/>
          </w:tcPr>
          <w:p>
            <w:pPr>
              <w:jc w:val="center"/>
            </w:pPr>
            <w:r>
              <w:rPr>
                <w:sz w:val="21"/>
              </w:rPr>
              <w:t>发动机上下台架</w:t>
            </w:r>
          </w:p>
        </w:tc>
        <w:tc>
          <w:tcPr>
            <w:tcW w:type="dxa" w:w="1203"/>
            <w:tcBorders>
              <w:top w:val="none" w:color="000000" w:sz="4"/>
              <w:left w:val="none" w:color="000000" w:sz="4"/>
              <w:bottom w:val="single" w:color="000000" w:sz="4"/>
              <w:right w:val="single" w:color="000000" w:sz="4"/>
            </w:tcBorders>
            <w:vAlign w:val="top"/>
          </w:tcPr>
          <w:p>
            <w:pPr>
              <w:jc w:val="center"/>
            </w:pPr>
            <w:r>
              <w:rPr>
                <w:sz w:val="21"/>
              </w:rPr>
              <w:t>￥</w:t>
            </w:r>
            <w:r>
              <w:rPr>
                <w:sz w:val="21"/>
              </w:rPr>
              <w:t>5,000.00</w:t>
            </w:r>
          </w:p>
        </w:tc>
        <w:tc>
          <w:tcPr>
            <w:tcW w:type="dxa" w:w="1423"/>
            <w:tcBorders>
              <w:top w:val="none" w:color="000000" w:sz="4"/>
              <w:left w:val="none" w:color="000000" w:sz="4"/>
              <w:bottom w:val="single" w:color="000000" w:sz="4"/>
              <w:right w:val="single" w:color="000000" w:sz="4"/>
            </w:tcBorders>
            <w:vAlign w:val="top"/>
          </w:tcPr>
          <w:p>
            <w:pPr>
              <w:jc w:val="center"/>
            </w:pPr>
            <w:r>
              <w:rPr>
                <w:sz w:val="21"/>
              </w:rPr>
              <w:t>次</w:t>
            </w:r>
          </w:p>
        </w:tc>
        <w:tc>
          <w:tcPr>
            <w:tcW w:type="dxa" w:w="2232"/>
            <w:tcBorders>
              <w:top w:val="none" w:color="000000" w:sz="4"/>
              <w:left w:val="none" w:color="000000" w:sz="4"/>
              <w:bottom w:val="single" w:color="000000" w:sz="4"/>
              <w:right w:val="single" w:color="000000" w:sz="4"/>
            </w:tcBorders>
            <w:vAlign w:val="top"/>
          </w:tcPr>
          <w:p>
            <w:pPr>
              <w:jc w:val="center"/>
            </w:pPr>
            <w:r>
              <w:rPr>
                <w:sz w:val="21"/>
              </w:rPr>
              <w:t>发动机上、下台架合计为一次，试验开始后，由于采购人原因引起的试验终止导致台架闲置按半价即</w:t>
            </w:r>
            <w:r>
              <w:rPr>
                <w:sz w:val="21"/>
              </w:rPr>
              <w:t>2500元/次进行收费，由于成交供应商导致的台架闲置不收费　</w:t>
            </w:r>
          </w:p>
        </w:tc>
      </w:tr>
      <w:tr>
        <w:tc>
          <w:tcPr>
            <w:tcW w:type="dxa" w:w="8305"/>
            <w:gridSpan w:val="5"/>
            <w:tcBorders>
              <w:top w:val="none" w:color="000000" w:sz="4"/>
              <w:left w:val="single" w:color="000000" w:sz="4"/>
              <w:bottom w:val="single" w:color="000000" w:sz="4"/>
              <w:right w:val="single" w:color="000000" w:sz="4"/>
            </w:tcBorders>
            <w:vAlign w:val="top"/>
          </w:tcPr>
          <w:p>
            <w:pPr>
              <w:jc w:val="left"/>
            </w:pPr>
            <w:r>
              <w:rPr>
                <w:sz w:val="21"/>
              </w:rPr>
              <w:t>备注</w:t>
            </w:r>
            <w:r>
              <w:br/>
            </w:r>
            <w:r>
              <w:rPr>
                <w:sz w:val="21"/>
              </w:rPr>
              <w:t>1、性能试验每天排班12h，耐久试验每天排班24h。</w:t>
            </w:r>
            <w:r>
              <w:br/>
            </w:r>
            <w:r>
              <w:rPr>
                <w:sz w:val="21"/>
              </w:rPr>
              <w:t>2、以上价格包含6%增值税。</w:t>
            </w:r>
          </w:p>
          <w:p>
            <w:pPr>
              <w:jc w:val="both"/>
            </w:pPr>
            <w:r>
              <w:rPr>
                <w:sz w:val="21"/>
              </w:rPr>
              <w:t>3、当天因</w:t>
            </w:r>
            <w:r>
              <w:rPr>
                <w:sz w:val="21"/>
              </w:rPr>
              <w:t>成交供应商</w:t>
            </w:r>
            <w:r>
              <w:rPr>
                <w:sz w:val="21"/>
              </w:rPr>
              <w:t>原因导致的台架停滞等待时间超过</w:t>
            </w:r>
            <w:r>
              <w:rPr>
                <w:sz w:val="21"/>
              </w:rPr>
              <w:t>2个小时，当天台架占用时间无最低占用时间（即耐久试验最低20</w:t>
            </w:r>
            <w:r>
              <w:rPr>
                <w:sz w:val="21"/>
              </w:rPr>
              <w:t>h/天、性能排放试验</w:t>
            </w:r>
            <w:r>
              <w:rPr>
                <w:sz w:val="21"/>
              </w:rPr>
              <w:t>最低</w:t>
            </w:r>
            <w:r>
              <w:rPr>
                <w:sz w:val="21"/>
              </w:rPr>
              <w:t>12</w:t>
            </w:r>
            <w:r>
              <w:rPr>
                <w:sz w:val="21"/>
              </w:rPr>
              <w:t>h/天</w:t>
            </w:r>
            <w:r>
              <w:rPr>
                <w:sz w:val="21"/>
              </w:rPr>
              <w:t>）要求，按实际计算，当天费用按实际占用时间计算。</w:t>
            </w:r>
          </w:p>
        </w:tc>
      </w:tr>
    </w:tbl>
    <w:p>
      <w:pPr>
        <w:jc w:val="both"/>
      </w:pPr>
    </w:p>
    <w:p>
      <w:pPr>
        <w:ind w:firstLine="420"/>
        <w:jc w:val="both"/>
      </w:pPr>
      <w:r>
        <w:rPr>
          <w:sz w:val="21"/>
        </w:rPr>
        <w:t>3.</w:t>
      </w:r>
      <w:r>
        <w:rPr>
          <w:sz w:val="21"/>
        </w:rPr>
        <w:t xml:space="preserve"> </w:t>
      </w:r>
      <w:r>
        <w:rPr>
          <w:sz w:val="21"/>
        </w:rPr>
        <w:t>本项目</w:t>
      </w:r>
      <w:r>
        <w:rPr>
          <w:sz w:val="21"/>
        </w:rPr>
        <w:t>根据实际发生量实结算，最终结算金额</w:t>
      </w:r>
      <w:r>
        <w:rPr>
          <w:sz w:val="21"/>
        </w:rPr>
        <w:t>=（</w:t>
      </w:r>
      <w:r>
        <w:rPr>
          <w:b/>
          <w:sz w:val="21"/>
        </w:rPr>
        <w:t>耐久试验</w:t>
      </w:r>
      <w:r>
        <w:rPr>
          <w:sz w:val="21"/>
        </w:rPr>
        <w:t>单价基准价</w:t>
      </w:r>
      <w:r>
        <w:rPr>
          <w:sz w:val="21"/>
        </w:rPr>
        <w:t>×实际试验时长+</w:t>
      </w:r>
      <w:r>
        <w:rPr>
          <w:b/>
          <w:sz w:val="21"/>
        </w:rPr>
        <w:t>性能排放试</w:t>
      </w:r>
      <w:r>
        <w:rPr>
          <w:sz w:val="21"/>
        </w:rPr>
        <w:t>验</w:t>
      </w:r>
      <w:r>
        <w:rPr>
          <w:sz w:val="21"/>
        </w:rPr>
        <w:t>单价基准价</w:t>
      </w:r>
      <w:r>
        <w:rPr>
          <w:sz w:val="21"/>
        </w:rPr>
        <w:t>×实际试验时长+</w:t>
      </w:r>
      <w:r>
        <w:rPr>
          <w:b/>
          <w:sz w:val="21"/>
        </w:rPr>
        <w:t>氢气</w:t>
      </w:r>
      <w:r>
        <w:rPr>
          <w:sz w:val="21"/>
        </w:rPr>
        <w:t>单价基准价</w:t>
      </w:r>
      <w:r>
        <w:rPr>
          <w:sz w:val="21"/>
        </w:rPr>
        <w:t>×实际使用量+</w:t>
      </w:r>
      <w:r>
        <w:rPr>
          <w:b/>
          <w:sz w:val="21"/>
        </w:rPr>
        <w:t>氨气</w:t>
      </w:r>
      <w:r>
        <w:rPr>
          <w:sz w:val="21"/>
        </w:rPr>
        <w:t>单价基准价</w:t>
      </w:r>
      <w:r>
        <w:rPr>
          <w:sz w:val="21"/>
        </w:rPr>
        <w:t>×实际使用量+</w:t>
      </w:r>
      <w:r>
        <w:rPr>
          <w:b/>
          <w:sz w:val="21"/>
        </w:rPr>
        <w:t>机油</w:t>
      </w:r>
      <w:r>
        <w:rPr>
          <w:sz w:val="21"/>
        </w:rPr>
        <w:t>单价基准价</w:t>
      </w:r>
      <w:r>
        <w:rPr>
          <w:sz w:val="21"/>
        </w:rPr>
        <w:t>×实际使用量+</w:t>
      </w:r>
      <w:r>
        <w:rPr>
          <w:b/>
          <w:sz w:val="21"/>
        </w:rPr>
        <w:t>工装</w:t>
      </w:r>
      <w:r>
        <w:rPr>
          <w:sz w:val="21"/>
        </w:rPr>
        <w:t>单价基准价</w:t>
      </w:r>
      <w:r>
        <w:rPr>
          <w:sz w:val="21"/>
        </w:rPr>
        <w:t>+</w:t>
      </w:r>
      <w:r>
        <w:rPr>
          <w:b/>
          <w:sz w:val="21"/>
        </w:rPr>
        <w:t>发动机上下台架</w:t>
      </w:r>
      <w:r>
        <w:rPr>
          <w:sz w:val="21"/>
        </w:rPr>
        <w:t>单价基准价</w:t>
      </w:r>
      <w:r>
        <w:rPr>
          <w:sz w:val="21"/>
        </w:rPr>
        <w:t>×实际发生次数）*</w:t>
      </w:r>
      <w:r>
        <w:rPr>
          <w:sz w:val="21"/>
        </w:rPr>
        <w:t xml:space="preserve"> </w:t>
      </w:r>
      <w:r>
        <w:rPr>
          <w:sz w:val="21"/>
        </w:rPr>
        <w:t>成交综合折扣率</w:t>
      </w:r>
    </w:p>
    <w:p>
      <w:pPr>
        <w:jc w:val="both"/>
      </w:pPr>
      <w:r>
        <w:rPr>
          <w:b/>
          <w:sz w:val="21"/>
        </w:rPr>
        <w:t>（六）</w:t>
      </w:r>
      <w:r>
        <w:rPr>
          <w:b/>
          <w:sz w:val="21"/>
        </w:rPr>
        <w:t>需执行国家相关标准、行业标准、地方标准或者其他标准、规范</w:t>
      </w:r>
    </w:p>
    <w:p/>
    <w:p>
      <w:pPr>
        <w:ind w:firstLine="480"/>
      </w:pPr>
    </w:p>
    <w:p/>
    <w:p>
      <w:r>
        <w:rPr/>
        <w:t>采购包1（氨氢融合发动机性能开发试验台架租赁）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氨氢融合发动机性能开发试验周期为3-6月，依据项目计划安排预计本项目的试验开始时间为2023年10月-2024年6月，最终时间以实际发生为准，或采购金额累计达人民币300万元止，以先到者为准。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试验服务结束且出具正式的过程记录单（签字）后，双方据此结合具体试验服务的收费标准结算，双方最终结算后，成交供应商应向采购人提交相关《付款申请书》，采购人在确认无误且收到成交供应商开具的发票后20个工作日内向成交供应商支付服务款项。收款方、出具发票方必须与成交供应商名称一致。</w:t>
            </w:r>
          </w:p>
        </w:tc>
      </w:tr>
      <w:tr>
        <w:tc>
          <w:tcPr>
            <w:tcW w:type="dxa" w:w="4153"/>
          </w:tcPr>
          <w:p>
            <w:r>
              <w:rPr/>
              <w:t>验收要求</w:t>
            </w:r>
          </w:p>
        </w:tc>
        <w:tc>
          <w:tcPr>
            <w:tcW w:type="dxa" w:w="4153"/>
          </w:tcPr>
          <w:p/>
          <w:p/>
          <w:p/>
          <w:p>
            <w:r>
              <w:rPr/>
              <w:t>1期：1、成交供应商按要求提供试验服务，并按要求提供过程记录单。 2、成交供应商须按照国家、省、市、地方及行业主管部门发布的相关技术标准、规范和规定提供试验服务。但是，本项目合同约定的标准高于国家标准的，则按约定的标准执行。在既无约定的标准、亦无国家标准时，则按行业标准执行；无行业标准的，按商业惯例。 3、成交供应商作为具有独立法人资格的第三方试验机构，应保证拥有提供本项目合同所约定试验服务的资质及设备，所提供的试验服务及过程记录单应当完全基于客观事实及第三方公正立场，不受货物供应商和其他方的干预与影响。</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其他租赁服务</w:t>
            </w:r>
          </w:p>
        </w:tc>
        <w:tc>
          <w:tcPr>
            <w:tcW w:type="dxa" w:w="831"/>
          </w:tcPr>
          <w:p>
            <w:pPr>
              <w:jc w:val="left"/>
            </w:pPr>
            <w:r>
              <w:rPr/>
              <w:t>氨氢融合发动机性能开发试验台架租赁</w:t>
            </w:r>
          </w:p>
        </w:tc>
        <w:tc>
          <w:tcPr>
            <w:tcW w:type="dxa" w:w="831"/>
          </w:tcPr>
          <w:p>
            <w:pPr>
              <w:jc w:val="left"/>
            </w:pPr>
            <w:r>
              <w:rPr/>
              <w:t>项</w:t>
            </w:r>
          </w:p>
        </w:tc>
        <w:tc>
          <w:tcPr>
            <w:tcW w:type="dxa" w:w="831"/>
          </w:tcPr>
          <w:p>
            <w:pPr>
              <w:jc w:val="right"/>
            </w:pPr>
            <w:r>
              <w:rPr/>
              <w:t>1.00</w:t>
            </w:r>
          </w:p>
        </w:tc>
        <w:tc>
          <w:tcPr>
            <w:tcW w:type="dxa" w:w="831"/>
          </w:tcPr>
          <w:p>
            <w:pPr>
              <w:jc w:val="right"/>
            </w:pPr>
            <w:r>
              <w:rPr/>
              <w:t>3,000,000.00</w:t>
            </w:r>
          </w:p>
        </w:tc>
        <w:tc>
          <w:tcPr>
            <w:tcW w:type="dxa" w:w="831"/>
          </w:tcPr>
          <w:p>
            <w:pPr>
              <w:jc w:val="right"/>
            </w:pPr>
            <w:r>
              <w:rPr/>
              <w:t>3,000,000.00</w:t>
            </w:r>
          </w:p>
        </w:tc>
        <w:tc>
          <w:tcPr>
            <w:tcW w:type="dxa" w:w="831"/>
          </w:tcPr>
          <w:p>
            <w:r>
              <w:rPr/>
              <w:t>100.0</w:t>
            </w:r>
          </w:p>
        </w:tc>
        <w:tc>
          <w:tcPr>
            <w:tcW w:type="dxa" w:w="831"/>
          </w:tcPr>
          <w:p>
            <w:r>
              <w:rPr/>
              <w:t>租赁和商务服务业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氨氢融合发动机性能开发试验台架租赁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（一）主要功能及应用范围</w:t>
            </w:r>
          </w:p>
          <w:p>
            <w:pPr>
              <w:jc w:val="both"/>
            </w:pPr>
            <w:r>
              <w:rPr>
                <w:sz w:val="21"/>
              </w:rPr>
              <w:t>1.本项目为氨氢融合发动机性能开发试验租赁试验台架，用于测试氨氢融合发动机的动力性、经济性及排放特性；用于氨氢融合发动机的燃烧系统、换气系统开发；用于氨氢融合发动机的控制策略开发；用于氨氢融合发动机的关键部件的功能开发；用于氨氢融合发动机的的优化标定试验。</w:t>
            </w:r>
          </w:p>
          <w:p>
            <w:pPr>
              <w:jc w:val="left"/>
            </w:pPr>
            <w:r>
              <w:rPr>
                <w:b/>
                <w:sz w:val="21"/>
              </w:rPr>
              <w:t>（二）主要技术指标</w:t>
            </w:r>
          </w:p>
          <w:p>
            <w:pPr>
              <w:jc w:val="both"/>
            </w:pPr>
            <w:r>
              <w:rPr>
                <w:sz w:val="21"/>
              </w:rPr>
              <w:t>1</w:t>
            </w:r>
            <w:r>
              <w:rPr>
                <w:sz w:val="21"/>
              </w:rPr>
              <w:t>.交流电力测功机额定吸收扭矩≥2800Nm，额定吸收功率≥420kW，最高制动/驱动转速≥1900r/min；测功机最大扭矩测量误差要求≤0.05％，系统稳态控制时的扭矩偏差≤±0.4％；系统最大转速测量误差≤±1r/min，系统稳态控制时的转速偏差≤±1r/min。</w:t>
            </w:r>
          </w:p>
          <w:p>
            <w:pPr>
              <w:jc w:val="both"/>
            </w:pPr>
            <w:r>
              <w:rPr>
                <w:sz w:val="21"/>
              </w:rPr>
              <w:t>2.液态氨燃料消耗量测量范围</w:t>
            </w:r>
            <w:r>
              <w:rPr>
                <w:sz w:val="21"/>
              </w:rPr>
              <w:t>0～270kg</w:t>
            </w:r>
            <w:r>
              <w:rPr>
                <w:sz w:val="21"/>
              </w:rPr>
              <w:t>/h，液态氨燃料计量设备输出压力30-50bar，液态氨燃料燃油温度控制范围25±2℃，燃料消耗量测量精度≤</w:t>
            </w:r>
            <w:r>
              <w:rPr>
                <w:sz w:val="21"/>
              </w:rPr>
              <w:t>±1%</w:t>
            </w:r>
            <w:r>
              <w:rPr>
                <w:sz w:val="21"/>
              </w:rPr>
              <w:t>。</w:t>
            </w:r>
          </w:p>
          <w:p>
            <w:pPr>
              <w:jc w:val="both"/>
            </w:pPr>
            <w:r>
              <w:rPr>
                <w:sz w:val="21"/>
              </w:rPr>
              <w:t>3.气态氨燃料消耗量测量范围0～130kg/h，气态氨燃料计量设备输出压力8±1bar，气态氨燃料燃油温度控制范围25-80℃，燃料消耗量测量精度≤±1%。</w:t>
            </w:r>
          </w:p>
          <w:p>
            <w:pPr>
              <w:jc w:val="both"/>
            </w:pPr>
            <w:r>
              <w:rPr>
                <w:sz w:val="21"/>
              </w:rPr>
              <w:t>4.气态氢燃料消耗量测量范围0～5kg/h，氢气燃料计量设备输出压力20-25bar，气态氢燃料温度控制范围25±2℃，燃料消耗量测量精度≤±0.5%。</w:t>
            </w:r>
          </w:p>
          <w:p>
            <w:pPr>
              <w:jc w:val="both"/>
            </w:pPr>
            <w:r>
              <w:rPr>
                <w:sz w:val="21"/>
              </w:rPr>
              <w:t>5.空气流量计测量范围0～2000kg/h。</w:t>
            </w:r>
          </w:p>
          <w:p>
            <w:pPr>
              <w:jc w:val="both"/>
            </w:pPr>
            <w:r>
              <w:rPr>
                <w:sz w:val="21"/>
              </w:rPr>
              <w:t>6.气体排放分析仪要求可以同时进行氨氢融合发动机后处理器前、后排气成分测量，要求能够测试的排放气体包括NH</w:t>
            </w:r>
            <w:r>
              <w:rPr>
                <w:sz w:val="21"/>
                <w:vertAlign w:val="subscript"/>
              </w:rPr>
              <w:t>3</w:t>
            </w:r>
            <w:r>
              <w:rPr>
                <w:sz w:val="21"/>
              </w:rPr>
              <w:t>、</w:t>
            </w:r>
            <w:r>
              <w:rPr>
                <w:sz w:val="21"/>
              </w:rPr>
              <w:t>NO</w:t>
            </w:r>
            <w:r>
              <w:rPr>
                <w:sz w:val="21"/>
                <w:vertAlign w:val="subscript"/>
              </w:rPr>
              <w:t>x</w:t>
            </w:r>
            <w:r>
              <w:rPr>
                <w:sz w:val="21"/>
              </w:rPr>
              <w:t>、</w:t>
            </w:r>
            <w:r>
              <w:rPr>
                <w:sz w:val="21"/>
              </w:rPr>
              <w:t>H</w:t>
            </w:r>
            <w:r>
              <w:rPr>
                <w:sz w:val="21"/>
                <w:vertAlign w:val="subscript"/>
              </w:rPr>
              <w:t>2</w:t>
            </w:r>
            <w:r>
              <w:rPr>
                <w:sz w:val="21"/>
              </w:rPr>
              <w:t>、</w:t>
            </w:r>
            <w:r>
              <w:rPr>
                <w:sz w:val="21"/>
              </w:rPr>
              <w:t>N</w:t>
            </w:r>
            <w:r>
              <w:rPr>
                <w:sz w:val="21"/>
                <w:vertAlign w:val="subscript"/>
              </w:rPr>
              <w:t>2</w:t>
            </w:r>
            <w:r>
              <w:rPr>
                <w:sz w:val="21"/>
              </w:rPr>
              <w:t>O等；NO</w:t>
            </w:r>
            <w:r>
              <w:rPr>
                <w:sz w:val="21"/>
                <w:vertAlign w:val="subscript"/>
              </w:rPr>
              <w:t>x</w:t>
            </w:r>
            <w:r>
              <w:rPr>
                <w:sz w:val="21"/>
              </w:rPr>
              <w:t>测量最大量程要求达到</w:t>
            </w:r>
            <w:r>
              <w:rPr>
                <w:sz w:val="21"/>
              </w:rPr>
              <w:t>8000ppm，NH</w:t>
            </w:r>
            <w:r>
              <w:rPr>
                <w:sz w:val="21"/>
                <w:vertAlign w:val="subscript"/>
              </w:rPr>
              <w:t>3</w:t>
            </w:r>
            <w:r>
              <w:rPr>
                <w:sz w:val="21"/>
              </w:rPr>
              <w:t>测量最大量程要求达到</w:t>
            </w:r>
            <w:r>
              <w:rPr>
                <w:sz w:val="21"/>
              </w:rPr>
              <w:t>1000-15000ppm，H</w:t>
            </w:r>
            <w:r>
              <w:rPr>
                <w:sz w:val="21"/>
                <w:vertAlign w:val="subscript"/>
              </w:rPr>
              <w:t>2</w:t>
            </w:r>
            <w:r>
              <w:rPr>
                <w:sz w:val="21"/>
              </w:rPr>
              <w:t>测量最大量程要求达到</w:t>
            </w:r>
            <w:r>
              <w:rPr>
                <w:sz w:val="21"/>
              </w:rPr>
              <w:t>15000ppm，N</w:t>
            </w:r>
            <w:r>
              <w:rPr>
                <w:sz w:val="21"/>
                <w:vertAlign w:val="subscript"/>
              </w:rPr>
              <w:t>2</w:t>
            </w:r>
            <w:r>
              <w:rPr>
                <w:sz w:val="21"/>
              </w:rPr>
              <w:t>O测量最大量程要求达到200ppm。</w:t>
            </w:r>
          </w:p>
          <w:p>
            <w:pPr>
              <w:jc w:val="both"/>
            </w:pPr>
            <w:r>
              <w:rPr>
                <w:sz w:val="21"/>
              </w:rPr>
              <w:t>7.内燃机进气空调最大空气流量要求为3000m</w:t>
            </w:r>
            <w:r>
              <w:rPr>
                <w:sz w:val="21"/>
                <w:vertAlign w:val="superscript"/>
              </w:rPr>
              <w:t>3</w:t>
            </w:r>
            <w:r>
              <w:rPr>
                <w:sz w:val="21"/>
              </w:rPr>
              <w:t>/h，内燃机进气温度控制范围为25℃±1℃，温度控制精度≤±</w:t>
            </w:r>
            <w:r>
              <w:rPr>
                <w:sz w:val="21"/>
              </w:rPr>
              <w:t>0.3</w:t>
            </w:r>
            <w:r>
              <w:rPr>
                <w:sz w:val="21"/>
              </w:rPr>
              <w:t>℃，内燃机进气湿度控制范围为50%RH±5%RH，湿度测量精度要求为相对湿度精度≤±3%RH（温度在10℃～30℃）。</w:t>
            </w:r>
          </w:p>
          <w:p>
            <w:pPr>
              <w:jc w:val="both"/>
            </w:pPr>
            <w:r>
              <w:rPr>
                <w:b/>
                <w:sz w:val="21"/>
              </w:rPr>
              <w:t>（三）服务要求</w:t>
            </w:r>
          </w:p>
          <w:p>
            <w:pPr>
              <w:jc w:val="both"/>
            </w:pPr>
            <w:r>
              <w:rPr>
                <w:sz w:val="21"/>
              </w:rPr>
              <w:t>1.服务内容：成交供应商提供能够满足采购人试验要求的场地、设备和人员，双方按采购人的试验任务单完成试验。合同签署后或者项目正式开始前两周，采购人及时提供试验任</w:t>
            </w:r>
            <w:r>
              <w:rPr>
                <w:sz w:val="21"/>
              </w:rPr>
              <w:t>务单（具体试验任务、试验条件、试验方法、试验标准、试验要求及设备准备要求）。双方确认后，成交供应商支持采购人按照试验任务单开展相关试验服务工作。</w:t>
            </w:r>
          </w:p>
          <w:p>
            <w:pPr>
              <w:jc w:val="both"/>
            </w:pPr>
            <w:r>
              <w:rPr>
                <w:sz w:val="21"/>
              </w:rPr>
              <w:t>2.样品提供：采购人负责试验样品的准备和运输。成交供应商提供试验样品的保管场地，并负责样品在成交供应商试验期间的管理和保密工作，未经采购人授权成交供应商不能拆卸属于采购人的任何零件的包装及零件本身。</w:t>
            </w:r>
          </w:p>
          <w:p>
            <w:pPr>
              <w:jc w:val="both"/>
            </w:pPr>
            <w:r>
              <w:rPr>
                <w:sz w:val="21"/>
              </w:rPr>
              <w:t>3.试验消耗品说明：试验期间，消耗品（冷却液、液氨、</w:t>
            </w:r>
            <w:r>
              <w:rPr>
                <w:sz w:val="21"/>
              </w:rPr>
              <w:t>氢气</w:t>
            </w:r>
            <w:r>
              <w:rPr>
                <w:sz w:val="21"/>
              </w:rPr>
              <w:t>、工装等）成交供应商可以按照采购人要求提供，其费用由采购人承担。</w:t>
            </w:r>
          </w:p>
          <w:p>
            <w:pPr>
              <w:jc w:val="both"/>
            </w:pPr>
            <w:r>
              <w:rPr>
                <w:sz w:val="21"/>
              </w:rPr>
              <w:t>4.试验结果提供形式：采购人负责试验数据采集、记录和管理，成交供应商协助采购人进行数据采集。</w:t>
            </w:r>
          </w:p>
          <w:p>
            <w:pPr>
              <w:jc w:val="both"/>
            </w:pPr>
            <w:r>
              <w:rPr>
                <w:sz w:val="21"/>
              </w:rPr>
              <w:t>5.工作统计和计算：成交供应商负责统计试验时间、液氨以及氢气的用量，成交供应商负责记录每日的试验运行日志，并由采购人确认。试验项目结束时，由甲、乙双方现场工程师或项目经理对试验运行日志签字确认，该运行日志是最终费用核算的依据。</w:t>
            </w:r>
          </w:p>
          <w:p>
            <w:pPr>
              <w:jc w:val="both"/>
            </w:pPr>
            <w:r>
              <w:rPr>
                <w:sz w:val="21"/>
              </w:rPr>
              <w:t>6.成交供应商严格按照计划进行设备的日常点检和维护，并做好易损件的备品工作。试验结束后，成交供应商须派专人配合采购人进行消耗品用量确认。</w:t>
            </w:r>
          </w:p>
          <w:p>
            <w:pPr>
              <w:jc w:val="both"/>
            </w:pPr>
            <w:r>
              <w:rPr>
                <w:sz w:val="21"/>
              </w:rPr>
              <w:t>7.在试验工作中，</w:t>
            </w:r>
            <w:r>
              <w:rPr>
                <w:sz w:val="21"/>
              </w:rPr>
              <w:t>成交供应商</w:t>
            </w:r>
            <w:r>
              <w:rPr>
                <w:sz w:val="21"/>
              </w:rPr>
              <w:t>应严格执行试验室规章制度，负责对试验人员进行培训及安全教育，否则所有安全事故责任由</w:t>
            </w:r>
            <w:r>
              <w:rPr>
                <w:sz w:val="21"/>
              </w:rPr>
              <w:t>成交供应商</w:t>
            </w:r>
            <w:r>
              <w:rPr>
                <w:sz w:val="21"/>
              </w:rPr>
              <w:t>承担。由</w:t>
            </w:r>
            <w:r>
              <w:rPr>
                <w:sz w:val="21"/>
              </w:rPr>
              <w:t>成交供应商</w:t>
            </w:r>
            <w:r>
              <w:rPr>
                <w:sz w:val="21"/>
              </w:rPr>
              <w:t>原因导致的安全事故，由</w:t>
            </w:r>
            <w:r>
              <w:rPr>
                <w:sz w:val="21"/>
              </w:rPr>
              <w:t>成交供应商</w:t>
            </w:r>
            <w:r>
              <w:rPr>
                <w:sz w:val="21"/>
              </w:rPr>
              <w:t>承担全部损失。</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响应供应商须知</w:t>
      </w:r>
    </w:p>
    <w:p>
      <w:pPr>
        <w:ind w:firstLine="480"/>
      </w:pPr>
      <w:r>
        <w:rPr/>
        <w:t>供应商必须认真阅读采购文件中所有的事项、格式、条款和采购需求等。供应商没有按照采购文件要求提交全部资料，或者响应文件没有对采购文件在各方面都做出实质性响应的可能导致其响应无效或被拒绝。</w:t>
      </w:r>
    </w:p>
    <w:p>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w:t>
      </w:r>
      <w:r>
        <w:rPr/>
        <w:t>广州市国科招标代理有限公司</w:t>
      </w:r>
      <w:r>
        <w:rPr/>
        <w:t>，负责整个采购活动的组织，依法负责编制和发布采购文件，对采购文件拥有最终的解释权，不以任何身份出任单一来源采购人员。</w:t>
      </w:r>
    </w:p>
    <w:p>
      <w:pPr>
        <w:ind w:firstLine="480"/>
      </w:pPr>
      <w:r>
        <w:rPr/>
        <w:t>2.采购人：本项目是指</w:t>
      </w:r>
      <w:r>
        <w:rPr/>
        <w:t>佛山仙湖实验室</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4.“单一来源采购人员”是指根据《中华人民共和国政府采购法》等法律法规规定，由采购人代表和有关专业人员组成以确定成交供应商或者推荐成交候选供应商的临时组织。</w:t>
      </w:r>
    </w:p>
    <w:p>
      <w:pPr>
        <w:ind w:firstLine="480"/>
      </w:pPr>
      <w:r>
        <w:rPr/>
        <w:t>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ind w:firstLine="480"/>
      </w:pPr>
      <w:r>
        <w:rPr/>
        <w:t>6.采购文件：是指包括采购文件及其补充、变更和澄清等一系列文件。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本表与采购文件对应章节的内容若不一致，以本表为准。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报价形式</w:t>
            </w:r>
          </w:p>
        </w:tc>
        <w:tc>
          <w:tcPr>
            <w:tcW w:type="dxa" w:w="5004"/>
          </w:tcPr>
          <w:p/>
          <w:p>
            <w:r>
              <w:rPr/>
              <w:t>采购包1：折扣率</w:t>
            </w:r>
          </w:p>
        </w:tc>
      </w:tr>
      <w:tr>
        <w:tc>
          <w:tcPr>
            <w:tcW w:type="dxa" w:w="1051"/>
          </w:tcPr>
          <w:p>
            <w:pPr>
              <w:jc w:val="center"/>
            </w:pPr>
            <w:r>
              <w:rPr/>
              <w:t>5</w:t>
            </w:r>
          </w:p>
        </w:tc>
        <w:tc>
          <w:tcPr>
            <w:tcW w:type="dxa" w:w="2252"/>
          </w:tcPr>
          <w:p>
            <w:r>
              <w:rPr/>
              <w:t>报价要求</w:t>
            </w:r>
          </w:p>
        </w:tc>
        <w:tc>
          <w:tcPr>
            <w:tcW w:type="dxa" w:w="5004"/>
          </w:tcPr>
          <w:p/>
          <w:p>
            <w:r>
              <w:rPr/>
              <w:t>采购包1：0% - 100%</w:t>
            </w:r>
          </w:p>
        </w:tc>
      </w:tr>
      <w:tr>
        <w:tc>
          <w:tcPr>
            <w:tcW w:type="dxa" w:w="1051"/>
          </w:tcPr>
          <w:p>
            <w:pPr>
              <w:jc w:val="center"/>
            </w:pPr>
            <w:r>
              <w:rPr/>
              <w:t>6</w:t>
            </w:r>
          </w:p>
        </w:tc>
        <w:tc>
          <w:tcPr>
            <w:tcW w:type="dxa" w:w="2252"/>
          </w:tcPr>
          <w:p>
            <w:r>
              <w:rPr/>
              <w:t>现场踏勘</w:t>
            </w:r>
          </w:p>
        </w:tc>
        <w:tc>
          <w:tcPr>
            <w:tcW w:type="dxa" w:w="5004"/>
          </w:tcPr>
          <w:p/>
          <w:p>
            <w:r>
              <w:rPr/>
              <w:t>否</w:t>
            </w:r>
          </w:p>
        </w:tc>
      </w:tr>
      <w:tr>
        <w:tc>
          <w:tcPr>
            <w:tcW w:type="dxa" w:w="1051"/>
          </w:tcPr>
          <w:p>
            <w:pPr>
              <w:jc w:val="center"/>
            </w:pPr>
            <w:r>
              <w:rPr/>
              <w:t>7</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8</w:t>
            </w:r>
          </w:p>
        </w:tc>
        <w:tc>
          <w:tcPr>
            <w:tcW w:type="dxa" w:w="2252"/>
          </w:tcPr>
          <w:p>
            <w:r>
              <w:rPr/>
              <w:t>响应保证金</w:t>
            </w:r>
          </w:p>
        </w:tc>
        <w:tc>
          <w:tcPr>
            <w:tcW w:type="dxa" w:w="5004"/>
          </w:tcPr>
          <w:p/>
          <w:p>
            <w:r>
              <w:rPr/>
              <w:t>采购包1：保证金人民币：60,000.00元整。</w:t>
            </w:r>
          </w:p>
          <w:p>
            <w:r>
              <w:rPr/>
              <w:t>开户单位：</w:t>
            </w:r>
            <w:r>
              <w:rPr/>
              <w:t>广州市国科招标代理有限公司</w:t>
            </w:r>
          </w:p>
          <w:p>
            <w:r>
              <w:rPr/>
              <w:t>开户账号：</w:t>
            </w:r>
            <w:r>
              <w:rPr/>
              <w:t>101007512010001727</w:t>
            </w:r>
          </w:p>
          <w:p>
            <w:r>
              <w:rPr/>
              <w:t>开户银行：</w:t>
            </w:r>
            <w:r>
              <w:rPr/>
              <w:t>广发银行股份有限公司广州财富广场支行</w:t>
            </w:r>
          </w:p>
          <w:p>
            <w:r>
              <w:rPr/>
              <w:t>支票提交方式：</w:t>
            </w:r>
            <w:r>
              <w:rPr/>
              <w:t>提交响应文件截止时间前原件递交至采购代理机构。</w:t>
            </w:r>
          </w:p>
          <w:p>
            <w:r>
              <w:rPr/>
              <w:t>汇票、本票提交方式：</w:t>
            </w:r>
            <w:r>
              <w:rPr/>
              <w:t>提交响应文件截止时间前原件递交至采购代理机构。</w:t>
            </w:r>
          </w:p>
          <w:p/>
          <w:p>
            <w:r>
              <w:rPr/>
              <w:t>响应保证金有效期∶与响应有效期一致。</w:t>
            </w:r>
          </w:p>
          <w:p>
            <w:r>
              <w:rPr/>
              <w:t>其他补充事宜：</w:t>
            </w:r>
          </w:p>
        </w:tc>
      </w:tr>
      <w:tr>
        <w:tc>
          <w:tcPr>
            <w:tcW w:type="dxa" w:w="1051"/>
          </w:tcPr>
          <w:p>
            <w:pPr>
              <w:jc w:val="center"/>
            </w:pPr>
            <w:r>
              <w:rPr/>
              <w:t>9</w:t>
            </w:r>
          </w:p>
        </w:tc>
        <w:tc>
          <w:tcPr>
            <w:tcW w:type="dxa" w:w="2252"/>
          </w:tcPr>
          <w:p>
            <w:r>
              <w:rPr/>
              <w:t>成交供应商确定方式</w:t>
            </w:r>
          </w:p>
        </w:tc>
        <w:tc>
          <w:tcPr>
            <w:tcW w:type="dxa" w:w="5004"/>
          </w:tcPr>
          <w:p>
            <w:r>
              <w:rPr/>
              <w:t>采购人授权评标委员会按照评审原则直接确定中标（成交）人。</w:t>
            </w:r>
          </w:p>
        </w:tc>
      </w:tr>
      <w:tr>
        <w:tc>
          <w:tcPr>
            <w:tcW w:type="dxa" w:w="1051"/>
          </w:tcPr>
          <w:p>
            <w:pPr>
              <w:jc w:val="center"/>
            </w:pPr>
            <w:r>
              <w:rPr/>
              <w:t>10</w:t>
            </w:r>
          </w:p>
        </w:tc>
        <w:tc>
          <w:tcPr>
            <w:tcW w:type="dxa" w:w="2252"/>
          </w:tcPr>
          <w:p>
            <w:r>
              <w:rPr/>
              <w:t>项目兼投兼中规则</w:t>
            </w:r>
          </w:p>
        </w:tc>
        <w:tc>
          <w:tcPr>
            <w:tcW w:type="dxa" w:w="5004"/>
          </w:tcPr>
          <w:p>
            <w:r>
              <w:rPr/>
              <w:t>无：-</w:t>
            </w:r>
          </w:p>
        </w:tc>
      </w:tr>
      <w:tr>
        <w:tc>
          <w:tcPr>
            <w:tcW w:type="dxa" w:w="1051"/>
          </w:tcPr>
          <w:p>
            <w:pPr>
              <w:jc w:val="center"/>
            </w:pPr>
            <w:r>
              <w:rPr/>
              <w:t>11</w:t>
            </w:r>
          </w:p>
        </w:tc>
        <w:tc>
          <w:tcPr>
            <w:tcW w:type="dxa" w:w="2252"/>
          </w:tcPr>
          <w:p>
            <w:r>
              <w:rPr/>
              <w:t>代理服务费</w:t>
            </w:r>
          </w:p>
        </w:tc>
        <w:tc>
          <w:tcPr>
            <w:tcW w:type="dxa" w:w="5004"/>
          </w:tcPr>
          <w:p>
            <w:r>
              <w:rPr/>
              <w:t>收取。</w:t>
            </w:r>
          </w:p>
          <w:p>
            <w:r>
              <w:rPr/>
              <w:t>采购机构代理服务收费标准：本项目的招标代理服务费收费标准以采购预算金额为计算基数参照国家计委颁布的（计价格【2002】1980号）及国家发改委颁布的（发改办价格【2003】857号）收取。 中标金额（万元）：100以下，服务类型（服务招标）：1.5%； 中标金额（万元）：100-500，服务类型（服务招标）：0.8%； 中标金额（万元）：500-1000，服务类型（服务招标）：0.45%； 中标金额（万元）：1000-5000 ，服务类型（服务招标）：0.25%； 中标金额（万元）：5000-10000，服务类型（服务招标）：0.1%； 中标金额（万元）：10000-100000，服务类型（服务招标）：0.05%； 中标金额（万元）：100000以上，服务类型（服务招标）： 0.01%。</w:t>
            </w:r>
          </w:p>
        </w:tc>
      </w:tr>
      <w:tr>
        <w:tc>
          <w:tcPr>
            <w:tcW w:type="dxa" w:w="1051"/>
          </w:tcPr>
          <w:p>
            <w:pPr>
              <w:jc w:val="center"/>
            </w:pPr>
            <w:r>
              <w:rPr/>
              <w:t>12</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13</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2</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14</w:t>
            </w:r>
          </w:p>
        </w:tc>
        <w:tc>
          <w:tcPr>
            <w:tcW w:type="dxa" w:w="2252"/>
          </w:tcPr>
          <w:p>
            <w:r>
              <w:rPr/>
              <w:t>其他</w:t>
            </w:r>
          </w:p>
        </w:tc>
        <w:tc>
          <w:tcPr>
            <w:tcW w:type="dxa" w:w="5004"/>
          </w:tcPr>
          <w:p/>
        </w:tc>
      </w:tr>
      <w:tr>
        <w:tc>
          <w:tcPr>
            <w:tcW w:type="dxa" w:w="1051"/>
          </w:tcPr>
          <w:p>
            <w:pPr>
              <w:jc w:val="center"/>
            </w:pPr>
            <w:r>
              <w:rPr/>
              <w:t>15</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pPr>
              <w:jc w:val="center"/>
            </w:pPr>
            <w:r>
              <w:rPr/>
              <w:t>16</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ind w:firstLine="480"/>
      </w:pPr>
      <w:r>
        <w:rPr/>
        <w:t>本次单一来源项目，是以协商公告的方式邀请特定的供应商参加协商。</w:t>
      </w:r>
    </w:p>
    <w:p>
      <w:r>
        <w:rPr>
          <w:b/>
          <w:sz w:val="24"/>
        </w:rPr>
        <w:t>2.适用范围</w:t>
      </w:r>
    </w:p>
    <w:p>
      <w:pPr>
        <w:ind w:firstLine="480"/>
      </w:pPr>
      <w:r>
        <w:rPr/>
        <w:t>本采购文件仅适用于本次协商公告中所涉及的项目和内容。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4.响应的费用</w:t>
      </w:r>
    </w:p>
    <w:p>
      <w:pPr>
        <w:ind w:firstLine="480"/>
      </w:pPr>
      <w:r>
        <w:rPr/>
        <w:t xml:space="preserve">不论协商结果如何，供应商应承担所有与准备和参加协商有关的费用。采购代理机构和采购人均无义务和责任承担相关费用。  </w:t>
      </w:r>
    </w:p>
    <w:p>
      <w:r>
        <w:rPr>
          <w:b/>
          <w:sz w:val="24"/>
        </w:rPr>
        <w:t>5.以联合体形式参加协商的，应符合以下规定：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w:t>
        <w:tab/>
        <w:tab/>
        <w:t xml:space="preserve">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r>
        <w:rPr>
          <w:b/>
          <w:sz w:val="24"/>
        </w:rPr>
        <w:t>6.关于中小微企业响应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7.纪律与保密事项</w:t>
      </w:r>
    </w:p>
    <w:p>
      <w:pPr>
        <w:ind w:firstLine="480"/>
      </w:pPr>
      <w:r>
        <w:rPr/>
        <w:t>7.1供应商不得以向采购人、单一来源采购人员行贿或者采取其他不正当手段谋取成交。</w:t>
      </w:r>
    </w:p>
    <w:p>
      <w:pPr>
        <w:ind w:firstLine="480"/>
      </w:pPr>
      <w:r>
        <w:rPr/>
        <w:t>7.2在确定结果之前，供应商试图在响应文件审查、澄清和评价时对单一来源采购人员、采购人和采购代理机构施加任何影响都可能导致其响应无效。</w:t>
      </w:r>
    </w:p>
    <w:p>
      <w:pPr>
        <w:ind w:firstLine="480"/>
      </w:pPr>
      <w:r>
        <w:rPr/>
        <w:t>7.3获得本采购文件者，须履行本项目下保密义务，不得将因本次协商获得的信息向第三人外传，不得将采购文件用作本次响应以外的任何用途。</w:t>
      </w:r>
    </w:p>
    <w:p>
      <w:pPr>
        <w:ind w:firstLine="480"/>
      </w:pPr>
      <w:r>
        <w:rPr/>
        <w:t>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ind w:firstLine="480"/>
      </w:pPr>
      <w:r>
        <w:rPr/>
        <w:t>7.5采购人或采购代理机构有权将供应商提供的所有资料向有关政府部门或单一来源采购人员披露。</w:t>
      </w:r>
    </w:p>
    <w:p>
      <w:pPr>
        <w:ind w:firstLine="480"/>
      </w:pPr>
      <w:r>
        <w:rPr/>
        <w:t>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8.语言文字以及度量衡单位</w:t>
      </w:r>
    </w:p>
    <w:p>
      <w:pPr>
        <w:ind w:firstLine="480"/>
      </w:pPr>
      <w:r>
        <w:rPr/>
        <w:t>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8.2除非采购文件的技术规格中另有规定，供应商在响应文件中及其与采购人和采购代理机构的所有往来文件中的计量单位均应采用中华人民共和国法定计量单位。</w:t>
      </w:r>
    </w:p>
    <w:p>
      <w:pPr>
        <w:ind w:firstLine="480"/>
      </w:pPr>
      <w:r>
        <w:rPr/>
        <w:t>8.3供应商所提供的货物和服务均应以人民币报价，货币单位：元。</w:t>
      </w:r>
    </w:p>
    <w:p>
      <w:r>
        <w:rPr>
          <w:b/>
          <w:sz w:val="28"/>
        </w:rPr>
        <w:t>四、采购文件的澄清和修改</w:t>
      </w:r>
    </w:p>
    <w:p>
      <w:pPr>
        <w:ind w:firstLine="480"/>
      </w:pPr>
      <w:r>
        <w:rPr/>
        <w:t>1.提交响应文件截止之日前，采购代理机构可对采购文件进行必要的澄清或者修改，为使供应商有合理的时间理解采购文件的修改，采购代理机构可酌情延长响应文件提交截止时间。</w:t>
      </w:r>
    </w:p>
    <w:p>
      <w:pPr>
        <w:ind w:firstLine="480"/>
      </w:pPr>
      <w:r>
        <w:rPr/>
        <w:t>如有重新发布电子采购文件的，供应商应登录云平台项目采购系统下载最新发布的电子采购文件制作响应文件。</w:t>
      </w:r>
    </w:p>
    <w:p>
      <w:r>
        <w:rPr>
          <w:b/>
          <w:sz w:val="28"/>
        </w:rPr>
        <w:t>五、响应要求</w:t>
      </w:r>
    </w:p>
    <w:p>
      <w:r>
        <w:rPr>
          <w:b/>
          <w:sz w:val="24"/>
        </w:rPr>
        <w:t>1.响应登记</w:t>
      </w:r>
    </w:p>
    <w:p>
      <w:pPr>
        <w:ind w:firstLine="480"/>
      </w:pPr>
      <w:r>
        <w:rPr/>
        <w:t>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ind w:firstLine="480"/>
      </w:pPr>
      <w:r>
        <w:rPr/>
        <w:t>(1)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ind w:firstLine="480"/>
      </w:pPr>
      <w:r>
        <w:rPr/>
        <w:t>(2)响应报价包括本项目采购需求和投入使用的所有费用，包括但不限于主件、标准附件、备品备件、施工、服务、专用工具、安装、调试、检验、培训、运输、保险、税款等。</w:t>
      </w:r>
    </w:p>
    <w:p>
      <w:pPr>
        <w:ind w:firstLine="480"/>
      </w:pPr>
      <w:r>
        <w:rPr/>
        <w:t>(3)响应报价不得有选择性报价和附有条件的报价，否则将导致响应无效。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2.4供应商不得将同一个项目或同一个采购包的内容拆开响应，否则其响应将被视为非实质性响应。</w:t>
      </w:r>
    </w:p>
    <w:p>
      <w:pPr>
        <w:ind w:firstLine="480"/>
      </w:pPr>
      <w:r>
        <w:rPr/>
        <w:t>2.5供应商须对采购文件的对应要求给予唯一的实质性响应，否则将视为不响应。</w:t>
      </w:r>
    </w:p>
    <w:p>
      <w:pPr>
        <w:ind w:firstLine="480"/>
      </w:pPr>
      <w:r>
        <w:rPr/>
        <w:t>2.6采购文件中，凡标有“★”的地方均为实质性响应条款，供应商若有一项带“★”的条款未响应或不满足，将按无效响应处理。</w:t>
      </w:r>
    </w:p>
    <w:p>
      <w:pPr>
        <w:ind w:firstLine="480"/>
      </w:pPr>
      <w:r>
        <w:rPr/>
        <w:t>2.7供应商必须按采购文件指定的格式填写各种报价，各报价应计算正确。除在采购文件另有规定外（如：报折扣、报优惠率等），计量单位应使用中华人民共和国法定计量单位，以人民币填报所有报价。</w:t>
      </w:r>
    </w:p>
    <w:p>
      <w:pPr>
        <w:ind w:firstLine="480"/>
      </w:pPr>
      <w:r>
        <w:rPr/>
        <w:t>2.8响应文件以及供应商与采购人、采购代理机构就有关协商的往来函电均应使用中文。供应商提交的支持性文件和印制的文件可以用另一种语言，但相应内容应翻译成中文，在解释响应文件时以中文文本为准。</w:t>
      </w:r>
    </w:p>
    <w:p>
      <w:pPr>
        <w:ind w:firstLine="480"/>
      </w:pPr>
      <w:r>
        <w:rPr/>
        <w:t>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ind w:firstLine="480"/>
      </w:pPr>
      <w:r>
        <w:rPr/>
        <w:t>3.2采购代理机构对因不可抗力事件造成的响应文件的损坏、丢失的，不承担责任。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（1）至提交响应文件截止时，响应文件未成功完整上传并取得响应回执的。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广州市国科招标代理有限公司</w:t>
      </w:r>
      <w:r>
        <w:rPr/>
        <w:t>代收。具体操作要求详见</w:t>
      </w:r>
      <w:r>
        <w:rPr/>
        <w:t>广州市国科招标代理有限公司</w:t>
      </w:r>
      <w:r>
        <w:rPr/>
        <w:t>有关指引，递交事宜请自行咨询</w:t>
      </w:r>
      <w:r>
        <w:rPr/>
        <w:t>广州市国科招标代理有限公司</w:t>
      </w:r>
      <w:r>
        <w:rPr/>
        <w:t>；请各供应商在响应文件递交截止时间前按须知前附表规定的金额递交至</w:t>
      </w:r>
      <w:r>
        <w:rPr/>
        <w:t>广州市国科招标代理有限公司</w:t>
      </w:r>
      <w:r>
        <w:rPr/>
        <w:t>，到账情况以协商时</w:t>
      </w:r>
      <w:r>
        <w:rPr/>
        <w:t>广州市国科招标代理有限公司</w:t>
      </w:r>
      <w:r>
        <w:rPr/>
        <w:t>查询的信息为准。</w:t>
      </w:r>
    </w:p>
    <w:p>
      <w:pPr>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（1）供应商在响应截止时间前放弃响应的，自所参与采购包结果公告发出后5个工作日内退还。</w:t>
      </w:r>
    </w:p>
    <w:p>
      <w:pPr>
        <w:ind w:firstLine="480"/>
      </w:pPr>
      <w:r>
        <w:rPr/>
        <w:t>（2）未成交的供应商保证金，在成交通知书发出后5个工作日内原额退还。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（2）供应商在采购文件规定的响应有效期内撤销其响应；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（5）法律法规和采购文件规定的其他情形。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8.除采购文件另有规定外，有下列情形之一的，响应无效：</w:t>
      </w:r>
    </w:p>
    <w:p>
      <w:pPr>
        <w:ind w:firstLine="480"/>
      </w:pPr>
      <w:r>
        <w:rPr/>
        <w:t>8.1响应文件未按照采购文件要求签署、盖章；</w:t>
      </w:r>
    </w:p>
    <w:p>
      <w:pPr>
        <w:ind w:firstLine="480"/>
      </w:pPr>
      <w:r>
        <w:rPr/>
        <w:t>8.2不符合采购文件中规定的资格要求；</w:t>
      </w:r>
    </w:p>
    <w:p>
      <w:pPr>
        <w:ind w:firstLine="480"/>
      </w:pPr>
      <w:r>
        <w:rPr/>
        <w:t>8.3响应报价超过采购文件中规定的预算金额或最高限价；</w:t>
      </w:r>
    </w:p>
    <w:p>
      <w:pPr>
        <w:ind w:firstLine="480"/>
      </w:pPr>
      <w:r>
        <w:rPr/>
        <w:t>8.4响应文件含有采购人不能接受的附加条件；</w:t>
      </w:r>
    </w:p>
    <w:p>
      <w:pPr>
        <w:ind w:firstLine="480"/>
      </w:pPr>
      <w:r>
        <w:rPr/>
        <w:t>8.5有关法律、法规和规章及采购文件规定的其他无效情形。</w:t>
      </w:r>
    </w:p>
    <w:p>
      <w:r>
        <w:rPr>
          <w:b/>
          <w:sz w:val="28"/>
        </w:rPr>
        <w:t>六、开启、协商和结果确认</w:t>
      </w:r>
    </w:p>
    <w:p>
      <w:r>
        <w:rPr>
          <w:b/>
          <w:sz w:val="24"/>
        </w:rPr>
        <w:t>1. 响应文件的开启</w:t>
      </w:r>
    </w:p>
    <w:p>
      <w:pPr>
        <w:ind w:firstLine="480"/>
      </w:pPr>
      <w:r>
        <w:rPr/>
        <w:t>1.1 开启程序</w:t>
      </w:r>
    </w:p>
    <w:p>
      <w:pPr>
        <w:ind w:firstLine="480"/>
      </w:pPr>
      <w:r>
        <w:rPr/>
        <w:t>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ind w:firstLine="480"/>
      </w:pPr>
      <w:r>
        <w:rPr/>
        <w:t>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ind w:firstLine="480"/>
      </w:pPr>
      <w:r>
        <w:rPr/>
        <w:t>1.2异议</w:t>
      </w:r>
    </w:p>
    <w:p>
      <w:pPr>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ind w:firstLine="480"/>
      </w:pPr>
      <w:r>
        <w:rPr/>
        <w:t>1.3 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3.结果确认</w:t>
      </w:r>
    </w:p>
    <w:p>
      <w:pPr>
        <w:ind w:firstLine="480"/>
      </w:pPr>
      <w:r>
        <w:rPr/>
        <w:t>3.1结果公告：</w:t>
      </w:r>
    </w:p>
    <w:p>
      <w:pPr>
        <w:ind w:firstLine="480"/>
      </w:pPr>
      <w:r>
        <w:rPr/>
        <w:t>成交结果确定之日起2个工作日内，</w:t>
        <w:tab/>
        <w:tab/>
        <w:t xml:space="preserve"> 采购人或采购代理机构将在中国政府采购网(www.ccgp.gov.cn)、广东省政府采购网(https://gdgpo.czt.gd.gov.cn/)、</w:t>
      </w:r>
      <w:r>
        <w:rPr/>
        <w:t>广州市国科招标代理有限公司网（www.gzgkbidding.com）</w:t>
      </w:r>
      <w:r>
        <w:rPr/>
        <w:t>上以公告的形式发布成交结果，结果公告的公告期限为 1</w:t>
        <w:tab/>
        <w:tab/>
        <w:t xml:space="preserve"> 个工作日。</w:t>
      </w:r>
    </w:p>
    <w:p>
      <w:pPr>
        <w:ind w:firstLine="480"/>
      </w:pPr>
      <w:r>
        <w:rPr/>
        <w:t>3.2成交通知书：</w:t>
      </w:r>
    </w:p>
    <w:p>
      <w:pPr>
        <w:ind w:firstLine="480"/>
      </w:pPr>
      <w:r>
        <w:rPr/>
        <w:t>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终止采购活动后，采购人或采购代理机构将在中国政府采购网(www.ccgp.gov.cn)、广东省政府采购网(https://gdgpo.czt.gd.gov.cn/)、</w:t>
      </w:r>
      <w:r>
        <w:rPr/>
        <w:t>广州市国科招标代理有限公司网（www.gzgkbidding.com）</w:t>
      </w:r>
      <w:r>
        <w:rPr/>
        <w:t>上发布终止公告，终止公告的公告期限为 1</w:t>
        <w:tab/>
        <w:tab/>
        <w:t xml:space="preserve"> 个工作日。</w:t>
      </w:r>
    </w:p>
    <w:p>
      <w:r>
        <w:rPr>
          <w:b/>
          <w:sz w:val="28"/>
        </w:rPr>
        <w:t>七、询问、质疑与投诉</w:t>
      </w:r>
    </w:p>
    <w:p>
      <w:r>
        <w:rPr>
          <w:b/>
          <w:sz w:val="24"/>
        </w:rPr>
        <w:t>1.询问</w:t>
      </w:r>
    </w:p>
    <w:p>
      <w:pPr>
        <w:ind w:firstLine="480"/>
      </w:pPr>
      <w:r>
        <w:rPr/>
        <w:t>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r>
        <w:rPr>
          <w:b/>
          <w:sz w:val="24"/>
        </w:rPr>
        <w:t>2.质疑</w:t>
      </w:r>
    </w:p>
    <w:p>
      <w:pPr>
        <w:ind w:firstLine="480"/>
      </w:pPr>
      <w:r>
        <w:rPr/>
        <w:t>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(1)对采购文件提出质疑的，为获取采购文件之日或者采购文件公告期限届满之日；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黄兰香、李年秀</w:t>
      </w:r>
    </w:p>
    <w:p>
      <w:pPr>
        <w:ind w:firstLine="480"/>
      </w:pPr>
      <w:r>
        <w:rPr/>
        <w:t>电话：</w:t>
      </w:r>
      <w:r>
        <w:rPr/>
        <w:t>0757-83277829、020-87688847</w:t>
      </w:r>
    </w:p>
    <w:p>
      <w:pPr>
        <w:ind w:firstLine="480"/>
      </w:pPr>
      <w:r>
        <w:rPr/>
        <w:t>传真：</w:t>
      </w:r>
      <w:r>
        <w:rPr/>
        <w:t>020-87685201</w:t>
      </w:r>
    </w:p>
    <w:p>
      <w:pPr>
        <w:ind w:firstLine="480"/>
      </w:pPr>
      <w:r>
        <w:rPr/>
        <w:t>邮箱：</w:t>
      </w:r>
      <w:r>
        <w:rPr/>
        <w:t>gzgk@gzgkbidding.com</w:t>
      </w:r>
    </w:p>
    <w:p>
      <w:pPr>
        <w:ind w:firstLine="480"/>
      </w:pPr>
      <w:r>
        <w:rPr/>
        <w:t>地址：</w:t>
      </w:r>
      <w:r>
        <w:rPr/>
        <w:t>广州市先烈中路100号科学院大院9号楼东座2楼（中国广州分析测试中心对面）</w:t>
      </w:r>
    </w:p>
    <w:p>
      <w:pPr>
        <w:ind w:firstLine="480"/>
      </w:pPr>
      <w:r>
        <w:rPr/>
        <w:t>邮编：</w:t>
      </w:r>
      <w:r>
        <w:rPr/>
        <w:t>510070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1.合同的签订</w:t>
      </w:r>
    </w:p>
    <w:p>
      <w:pPr>
        <w:ind w:firstLine="480"/>
      </w:pPr>
      <w:r>
        <w:rPr/>
        <w:t>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协商要求及程序</w:t>
      </w:r>
    </w:p>
    <w:p>
      <w:r>
        <w:rPr>
          <w:b/>
          <w:sz w:val="28"/>
        </w:rPr>
        <w:t>一、协商要求</w:t>
      </w:r>
    </w:p>
    <w:p>
      <w:r>
        <w:rPr>
          <w:b/>
          <w:sz w:val="24"/>
        </w:rPr>
        <w:t>1.协商原则</w:t>
      </w:r>
    </w:p>
    <w:p>
      <w:pPr>
        <w:ind w:firstLine="480"/>
      </w:pPr>
      <w:r>
        <w:rPr/>
        <w:t>协商活动遵循公平、公正、科学和择优的原则，以采购文件和响应文件为协商的基本依据，并按照采购文件规定的方法和标准与供应商商定合理的成交价格并保证采购项目质量。</w:t>
      </w:r>
    </w:p>
    <w:p>
      <w:r>
        <w:rPr>
          <w:b/>
          <w:sz w:val="24"/>
        </w:rPr>
        <w:t>2.单一来源采购人员</w:t>
      </w:r>
    </w:p>
    <w:p>
      <w:pPr>
        <w:ind w:firstLine="480"/>
      </w:pPr>
      <w:r>
        <w:rPr/>
        <w:t>2.1单一来源采购人员由采购人代表和采购专业人员组成，成员人数为3人及以上单数。</w:t>
      </w:r>
    </w:p>
    <w:p>
      <w:pPr>
        <w:ind w:firstLine="480"/>
      </w:pPr>
      <w:r>
        <w:rPr/>
        <w:t>2.2单一来源采购人员有下列情形之一的，应当回避：</w:t>
      </w:r>
    </w:p>
    <w:p>
      <w:pPr>
        <w:ind w:firstLine="480"/>
      </w:pPr>
      <w:r>
        <w:rPr/>
        <w:t>（1）参加采购活动前3年内与供应商存在劳动关系；</w:t>
      </w:r>
    </w:p>
    <w:p>
      <w:pPr>
        <w:ind w:firstLine="480"/>
      </w:pPr>
      <w:r>
        <w:rPr/>
        <w:t>（2）参加采购活动前3年内担任供应商的董事、监事；</w:t>
      </w:r>
    </w:p>
    <w:p>
      <w:pPr>
        <w:ind w:firstLine="480"/>
      </w:pPr>
      <w:r>
        <w:rPr/>
        <w:t>（3）参加采购活动前3年内是供应商的控股股东或者实际控制人；</w:t>
      </w:r>
    </w:p>
    <w:p>
      <w:pPr>
        <w:ind w:firstLine="480"/>
      </w:pPr>
      <w:r>
        <w:rPr/>
        <w:t>（4）与供应商的法定代表人或者负责人有夫妻、直系血亲、三代以内旁系血亲或者近姻亲关系；</w:t>
      </w:r>
    </w:p>
    <w:p>
      <w:pPr>
        <w:ind w:firstLine="480"/>
      </w:pPr>
      <w:r>
        <w:rPr/>
        <w:t>（5）与供应商有其他可能影响政府采购活动公平、公正进行的关系。</w:t>
      </w:r>
    </w:p>
    <w:p>
      <w:pPr>
        <w:ind w:firstLine="480"/>
      </w:pPr>
      <w:r>
        <w:rPr/>
        <w:t>2.3单一来源采购人员应遵守下列评审纪律：</w:t>
      </w:r>
    </w:p>
    <w:p>
      <w:pPr>
        <w:ind w:firstLine="480"/>
      </w:pPr>
      <w:r>
        <w:rPr/>
        <w:t>（1）评审情况不得私自外泄，有关信息由</w:t>
      </w:r>
      <w:r>
        <w:rPr/>
        <w:t>广州市国科招标代理有限公司</w:t>
      </w:r>
      <w:r>
        <w:rPr/>
        <w:t>统一对外发布。</w:t>
      </w:r>
    </w:p>
    <w:p>
      <w:pPr>
        <w:ind w:firstLine="480"/>
      </w:pPr>
      <w:r>
        <w:rPr/>
        <w:t>（2）对</w:t>
      </w:r>
      <w:r>
        <w:rPr/>
        <w:t>广州市国科招标代理有限公司</w:t>
      </w:r>
      <w:r>
        <w:rPr/>
        <w:t>或供应商提供的要求保密的资料，不得摘记翻印和外传。</w:t>
      </w:r>
    </w:p>
    <w:p>
      <w:pPr>
        <w:ind w:firstLine="480"/>
      </w:pPr>
      <w:r>
        <w:rPr/>
        <w:t>（3）不得收受响应供应商或有关人员的任何礼物，不得串联鼓动其他人袒护供应商。若与供应商存在利害关系，则应主动声明并回避。</w:t>
      </w:r>
    </w:p>
    <w:p>
      <w:pPr>
        <w:ind w:firstLine="480"/>
      </w:pPr>
      <w:r>
        <w:rPr/>
        <w:t>（4）全体评委应按照采购文件规定进行评审，一切认定事项应查有实据且不得弄虚作假。</w:t>
      </w:r>
    </w:p>
    <w:p>
      <w:pPr>
        <w:ind w:firstLine="480"/>
      </w:pPr>
      <w:r>
        <w:rPr/>
        <w:t>※对违反评审纪律的评委，将取消其评委资格，对评审工作造成严重损失者将予以通报批评乃至追究法律责任。</w:t>
      </w:r>
    </w:p>
    <w:p>
      <w:r>
        <w:rPr>
          <w:b/>
          <w:sz w:val="24"/>
        </w:rPr>
        <w:t>3.价格修正</w:t>
      </w:r>
    </w:p>
    <w:p>
      <w:pPr>
        <w:ind w:firstLine="480"/>
      </w:pPr>
      <w:r>
        <w:rPr/>
        <w:t>对报价的计算错误按以下原则修正：</w:t>
      </w:r>
    </w:p>
    <w:p>
      <w:pPr>
        <w:ind w:firstLine="480"/>
      </w:pPr>
      <w:r>
        <w:rPr/>
        <w:t>（1）响应文件中报价一览表（报价表）内容与响应文件中相应内容不一致的，以报价一览表（报价表）为准；</w:t>
      </w:r>
    </w:p>
    <w:p>
      <w:pPr>
        <w:ind w:firstLine="480"/>
      </w:pPr>
      <w:r>
        <w:rPr/>
        <w:t>（2）大写金额和小写金额不一致的，以大写金额为准；</w:t>
      </w:r>
    </w:p>
    <w:p>
      <w:pPr>
        <w:ind w:firstLine="480"/>
      </w:pPr>
      <w:r>
        <w:rPr/>
        <w:t>（3）单价金额小数点或者百分比有明显错位的，以报价一览表的总价为准，并修改单价；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r>
        <w:rPr>
          <w:b/>
          <w:sz w:val="28"/>
        </w:rPr>
        <w:t>二、协商程序</w:t>
      </w:r>
    </w:p>
    <w:p>
      <w:r>
        <w:rPr>
          <w:b/>
          <w:sz w:val="24"/>
        </w:rPr>
        <w:t>1.确定供应商资格</w:t>
      </w:r>
      <w:r>
        <w:rPr/>
        <w:t>　　</w:t>
      </w:r>
    </w:p>
    <w:p>
      <w:pPr>
        <w:ind w:firstLine="480"/>
      </w:pPr>
      <w:r>
        <w:rPr/>
        <w:t>资格性审查。单一来源采购人员应当依法对供应商的资格进行审查，以确定供应商是否具备响应资格。（详见后附表一资格性审查表）</w:t>
      </w:r>
    </w:p>
    <w:p>
      <w:pPr>
        <w:ind w:firstLine="480"/>
      </w:pPr>
      <w:r>
        <w:rPr/>
        <w:t>符合性审查。单一来源采购人员依据采购文件的规定，从响应文件的有效性、完整性和对采购文件的响应程度进行审查，以确定供应商是否对采购文件的实质性要求作出响应。（详见后附表二符合性审查表）</w:t>
      </w:r>
    </w:p>
    <w:p>
      <w:pPr>
        <w:ind w:firstLine="480"/>
      </w:pPr>
      <w:r>
        <w:rPr/>
        <w:t>资格性审查和符合性审查中凡有其中任意一项未通过的，评审结果为未通过，未通过资格性审查、符合性审查的供应商按无效响应处理。</w:t>
      </w:r>
    </w:p>
    <w:p>
      <w:pPr>
        <w:ind w:firstLine="480"/>
      </w:pPr>
      <w:r>
        <w:rPr/>
        <w:t>对供应商进行资格审查和符合性审查过程中，对初步被认定为无效响应者，由单一来源采购人员组长或采购人代表将集体意见及时告知供应商，以让其核证、澄清事实。</w:t>
      </w:r>
    </w:p>
    <w:p>
      <w:pPr>
        <w:ind w:firstLine="480"/>
      </w:pPr>
      <w:r>
        <w:rPr/>
        <w:t>表一资格性审查表：</w:t>
      </w:r>
    </w:p>
    <w:p>
      <w:pPr>
        <w:ind w:firstLine="480"/>
      </w:pPr>
    </w:p>
    <w:p/>
    <w:p>
      <w:r>
        <w:rPr/>
        <w:t>采购包1（氨氢融合发动机性能开发试验台架租赁）：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或者按照响应文件格式中《政府采购供应商资格信用承诺函》提供承诺函</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供应商必须具有良好的商业信誉和健全的财务会计制度（提供2021年度或2022年度财务状况报告或基本开户行出具的资信证明）。或者按照响应文件格式中《政府采购供应商资格信用承诺函》提供承诺函</w:t>
            </w:r>
          </w:p>
        </w:tc>
      </w:tr>
      <w:tr>
        <w:tc>
          <w:tcPr>
            <w:tcW w:type="dxa" w:w="890"/>
          </w:tcPr>
          <w:p>
            <w:r>
              <w:rPr/>
              <w:t>4</w:t>
            </w:r>
          </w:p>
        </w:tc>
        <w:tc>
          <w:tcPr>
            <w:tcW w:type="dxa" w:w="3178"/>
          </w:tcPr>
          <w:p>
            <w:r>
              <w:rPr/>
              <w:t>履行合同所必需的设备和专业技术能力</w:t>
            </w:r>
          </w:p>
        </w:tc>
        <w:tc>
          <w:tcPr>
            <w:tcW w:type="dxa" w:w="4238"/>
          </w:tcPr>
          <w:p>
            <w:r>
              <w:rPr/>
              <w:t>提供书面承诺声明函（格式自拟）或具有履行合同所必需的设备和专业技术能力的其他证明材料。</w:t>
            </w:r>
          </w:p>
        </w:tc>
      </w:tr>
      <w:tr>
        <w:tc>
          <w:tcPr>
            <w:tcW w:type="dxa" w:w="890"/>
          </w:tcPr>
          <w:p>
            <w:r>
              <w:rPr/>
              <w:t>5</w:t>
            </w:r>
          </w:p>
        </w:tc>
        <w:tc>
          <w:tcPr>
            <w:tcW w:type="dxa" w:w="3178"/>
          </w:tcPr>
          <w:p>
            <w:r>
              <w:rPr/>
              <w:t>参加采购活动前3年内，在经营活动中没有重大违法记录</w:t>
            </w:r>
          </w:p>
        </w:tc>
        <w:tc>
          <w:tcPr>
            <w:tcW w:type="dxa" w:w="4238"/>
          </w:tcPr>
          <w:p>
            <w:r>
              <w:rPr/>
              <w:t>参照协商承诺书相关承诺格式内容或者按照响应文件格式中《政府采购供应商资格信用承诺函》提供承诺函。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单位负责人为同一人或者存在直接控股、管理关系的不同供应商，不得同时参加本采购项目（采购包）响应。 为本项目提供整体设计、规范编制或者项目管理、监理、检测等服务的供应商，不得再参与本项目投标。协商承诺书相关承诺要求内容。</w:t>
            </w:r>
          </w:p>
        </w:tc>
      </w:tr>
      <w:tr>
        <w:tc>
          <w:tcPr>
            <w:tcW w:type="dxa" w:w="890"/>
          </w:tcPr>
          <w:p>
            <w:r>
              <w:rPr/>
              <w:t>8</w:t>
            </w:r>
          </w:p>
        </w:tc>
        <w:tc>
          <w:tcPr>
            <w:tcW w:type="dxa" w:w="3178"/>
          </w:tcPr>
          <w:p>
            <w:r>
              <w:rPr/>
              <w:t>特定资格要求（已获取本项目采购文件）</w:t>
            </w:r>
          </w:p>
        </w:tc>
        <w:tc>
          <w:tcPr>
            <w:tcW w:type="dxa" w:w="4238"/>
          </w:tcPr>
          <w:p>
            <w:r>
              <w:rPr/>
              <w:t>已获取本项目采购文件。</w:t>
            </w:r>
          </w:p>
        </w:tc>
      </w:tr>
      <w:tr>
        <w:tc>
          <w:tcPr>
            <w:tcW w:type="dxa" w:w="890"/>
          </w:tcPr>
          <w:p>
            <w:r>
              <w:rPr/>
              <w:t>9</w:t>
            </w:r>
          </w:p>
        </w:tc>
        <w:tc>
          <w:tcPr>
            <w:tcW w:type="dxa" w:w="3178"/>
          </w:tcPr>
          <w:p>
            <w:r>
              <w:rPr/>
              <w:t>落实政府采购政策需满足的资格要求</w:t>
            </w:r>
          </w:p>
        </w:tc>
        <w:tc>
          <w:tcPr>
            <w:tcW w:type="dxa" w:w="4238"/>
          </w:tcPr>
          <w:p>
            <w:r>
              <w:rPr/>
              <w:t>本采购包不属于专门面向中小企业采购的项目。</w:t>
            </w:r>
          </w:p>
        </w:tc>
      </w:tr>
    </w:tbl>
    <w:p/>
    <w:p>
      <w:pPr>
        <w:ind w:firstLine="480"/>
      </w:pPr>
      <w:r>
        <w:rPr/>
        <w:t>表二符合性审查表：</w:t>
      </w:r>
    </w:p>
    <w:p>
      <w:pPr>
        <w:ind w:firstLine="480"/>
      </w:pPr>
    </w:p>
    <w:p/>
    <w:p>
      <w:r>
        <w:rPr/>
        <w:t>采购包1（氨氢融合发动机性能开发试验台架租赁）：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协商承诺书</w:t>
            </w:r>
          </w:p>
        </w:tc>
        <w:tc>
          <w:tcPr>
            <w:tcW w:type="dxa" w:w="4238"/>
          </w:tcPr>
          <w:p>
            <w:r>
              <w:rPr/>
              <w:t>协商承诺书</w:t>
            </w:r>
          </w:p>
        </w:tc>
      </w:tr>
      <w:tr>
        <w:tc>
          <w:tcPr>
            <w:tcW w:type="dxa" w:w="890"/>
          </w:tcPr>
          <w:p>
            <w:r>
              <w:rPr/>
              <w:t>2</w:t>
            </w:r>
          </w:p>
        </w:tc>
        <w:tc>
          <w:tcPr>
            <w:tcW w:type="dxa" w:w="3178"/>
          </w:tcPr>
          <w:p>
            <w:r>
              <w:rPr/>
              <w:t>授权文件</w:t>
            </w:r>
          </w:p>
        </w:tc>
        <w:tc>
          <w:tcPr>
            <w:tcW w:type="dxa" w:w="4238"/>
          </w:tcPr>
          <w:p>
            <w:r>
              <w:rPr/>
              <w:t>法定代表人（负责人）证明书、法定代表人（负责人）授权委托书</w:t>
            </w:r>
          </w:p>
        </w:tc>
      </w:tr>
      <w:tr>
        <w:tc>
          <w:tcPr>
            <w:tcW w:type="dxa" w:w="890"/>
          </w:tcPr>
          <w:p>
            <w:r>
              <w:rPr/>
              <w:t>3</w:t>
            </w:r>
          </w:p>
        </w:tc>
        <w:tc>
          <w:tcPr>
            <w:tcW w:type="dxa" w:w="3178"/>
          </w:tcPr>
          <w:p>
            <w:r>
              <w:rPr/>
              <w:t>响应有效期</w:t>
            </w:r>
          </w:p>
        </w:tc>
        <w:tc>
          <w:tcPr>
            <w:tcW w:type="dxa" w:w="4238"/>
          </w:tcPr>
          <w:p>
            <w:r>
              <w:rPr/>
              <w:t>响应有效期：90天</w:t>
            </w:r>
          </w:p>
        </w:tc>
      </w:tr>
      <w:tr>
        <w:tc>
          <w:tcPr>
            <w:tcW w:type="dxa" w:w="890"/>
          </w:tcPr>
          <w:p>
            <w:r>
              <w:rPr/>
              <w:t>4</w:t>
            </w:r>
          </w:p>
        </w:tc>
        <w:tc>
          <w:tcPr>
            <w:tcW w:type="dxa" w:w="3178"/>
          </w:tcPr>
          <w:p>
            <w:r>
              <w:rPr/>
              <w:t>签署、盖章</w:t>
            </w:r>
          </w:p>
        </w:tc>
        <w:tc>
          <w:tcPr>
            <w:tcW w:type="dxa" w:w="4238"/>
          </w:tcPr>
          <w:p>
            <w:r>
              <w:rPr/>
              <w:t>响应文件按照项目采购文件规定要求签署、盖章</w:t>
            </w:r>
          </w:p>
        </w:tc>
      </w:tr>
      <w:tr>
        <w:tc>
          <w:tcPr>
            <w:tcW w:type="dxa" w:w="890"/>
          </w:tcPr>
          <w:p>
            <w:r>
              <w:rPr/>
              <w:t>5</w:t>
            </w:r>
          </w:p>
        </w:tc>
        <w:tc>
          <w:tcPr>
            <w:tcW w:type="dxa" w:w="3178"/>
          </w:tcPr>
          <w:p>
            <w:r>
              <w:rPr/>
              <w:t>响应报价</w:t>
            </w:r>
          </w:p>
        </w:tc>
        <w:tc>
          <w:tcPr>
            <w:tcW w:type="dxa" w:w="4238"/>
          </w:tcPr>
          <w:p>
            <w:r>
              <w:rPr/>
              <w:t>响应折扣率在“0%＜响应折扣率≤100%”范围内，且为唯一、固定报价</w:t>
            </w:r>
          </w:p>
        </w:tc>
      </w:tr>
      <w:tr>
        <w:tc>
          <w:tcPr>
            <w:tcW w:type="dxa" w:w="890"/>
          </w:tcPr>
          <w:p>
            <w:r>
              <w:rPr/>
              <w:t>6</w:t>
            </w:r>
          </w:p>
        </w:tc>
        <w:tc>
          <w:tcPr>
            <w:tcW w:type="dxa" w:w="3178"/>
          </w:tcPr>
          <w:p>
            <w:r>
              <w:rPr/>
              <w:t>附加条件</w:t>
            </w:r>
          </w:p>
        </w:tc>
        <w:tc>
          <w:tcPr>
            <w:tcW w:type="dxa" w:w="4238"/>
          </w:tcPr>
          <w:p>
            <w:r>
              <w:rPr/>
              <w:t>响应文件没有采购人不能接受的附加条件</w:t>
            </w:r>
          </w:p>
        </w:tc>
      </w:tr>
      <w:tr>
        <w:tc>
          <w:tcPr>
            <w:tcW w:type="dxa" w:w="890"/>
          </w:tcPr>
          <w:p>
            <w:r>
              <w:rPr/>
              <w:t>7</w:t>
            </w:r>
          </w:p>
        </w:tc>
        <w:tc>
          <w:tcPr>
            <w:tcW w:type="dxa" w:w="3178"/>
          </w:tcPr>
          <w:p>
            <w:r>
              <w:rPr/>
              <w:t>其他无效情形</w:t>
            </w:r>
          </w:p>
        </w:tc>
        <w:tc>
          <w:tcPr>
            <w:tcW w:type="dxa" w:w="4238"/>
          </w:tcPr>
          <w:p>
            <w:r>
              <w:rPr/>
              <w:t>未出现法律、法规和项目采购文件规定的其他无效情形</w:t>
            </w:r>
          </w:p>
        </w:tc>
      </w:tr>
      <w:tr>
        <w:tc>
          <w:tcPr>
            <w:tcW w:type="dxa" w:w="890"/>
          </w:tcPr>
          <w:p>
            <w:r>
              <w:rPr/>
              <w:t>8</w:t>
            </w:r>
          </w:p>
        </w:tc>
        <w:tc>
          <w:tcPr>
            <w:tcW w:type="dxa" w:w="3178"/>
          </w:tcPr>
          <w:p>
            <w:r>
              <w:rPr/>
              <w:t>响应保证金</w:t>
            </w:r>
          </w:p>
        </w:tc>
        <w:tc>
          <w:tcPr>
            <w:tcW w:type="dxa" w:w="4238"/>
          </w:tcPr>
          <w:p>
            <w:r>
              <w:rPr/>
              <w:t>响应供应商按项目采购文件要求缴纳保证金或保证缴纳金额满足项目采购文件要求的或者按照响应文件格式中《政府采购投标保证金信用承诺函》提供承诺函</w:t>
            </w:r>
          </w:p>
        </w:tc>
      </w:tr>
    </w:tbl>
    <w:p/>
    <w:p>
      <w:r>
        <w:rPr>
          <w:b/>
          <w:sz w:val="24"/>
        </w:rPr>
        <w:t>2.响应文件澄清</w:t>
      </w:r>
    </w:p>
    <w:p>
      <w:pPr>
        <w:ind w:firstLine="480"/>
      </w:pPr>
      <w:r>
        <w:rPr/>
        <w:t>2.1对于响应文件中含义不明确、同类问题表述不一致或者有明显文字和计算错误的内容，单一来源采购人员可在评审过程中发起在线澄清，要求供应商针对价格或内容做出必要的澄清、说明或补正。代理机构可根据开启环节记录的授权代表人联系方式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2.2单一来源采购人员不接受供应商主动提出的澄清、说明或补正。</w:t>
      </w:r>
    </w:p>
    <w:p>
      <w:pPr>
        <w:ind w:firstLine="480"/>
      </w:pPr>
      <w:r>
        <w:rPr/>
        <w:t>2.3单一来源采购人员对供应商提交的澄清、说明或补正有疑问的，可以要求供应商进一步澄清、说明或补正。</w:t>
      </w:r>
    </w:p>
    <w:p>
      <w:r>
        <w:rPr>
          <w:b/>
          <w:sz w:val="24"/>
        </w:rPr>
        <w:t>3.协商</w:t>
      </w:r>
    </w:p>
    <w:p>
      <w:pPr>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ind w:firstLine="480"/>
      </w:pPr>
      <w:r>
        <w:rPr/>
        <w:t>已提交响应文件的供应商，在提交最后报价之前，可以根据协商情况退出协商。最终报价逾时不交的，可视同供应商自动放弃。</w:t>
      </w:r>
    </w:p>
    <w:p>
      <w:pPr>
        <w:ind w:firstLine="480"/>
      </w:pPr>
      <w:r>
        <w:rPr/>
        <w:t>在协商过程中，单一来源采购人员应当严格遵循保密原则，未经响应供应商同意不得向任何人透露当事人技术服务指标、价格和其他重要信息。</w:t>
      </w:r>
    </w:p>
    <w:p>
      <w:r>
        <w:rPr>
          <w:b/>
          <w:sz w:val="24"/>
        </w:rPr>
        <w:t>4.确定成交供应商</w:t>
      </w:r>
    </w:p>
    <w:p>
      <w:pPr>
        <w:ind w:firstLine="480"/>
      </w:pPr>
      <w:r>
        <w:rPr/>
        <w:t>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r>
        <w:rPr>
          <w:b/>
          <w:sz w:val="24"/>
        </w:rPr>
        <w:t>5.其他无效响应的情形</w:t>
      </w:r>
    </w:p>
    <w:p>
      <w:pPr>
        <w:ind w:firstLine="480"/>
      </w:pPr>
      <w:r>
        <w:rPr/>
        <w:t>(1)评审期间，供应商没有按单一来源采购人员的要求提交法定代表人或其委托代理人签字的澄清、说明、补正或改变了响应文件的实质性内容的。</w:t>
      </w:r>
    </w:p>
    <w:p>
      <w:pPr>
        <w:ind w:firstLine="480"/>
      </w:pPr>
      <w:r>
        <w:rPr/>
        <w:t>(2)响应文件提供虚假材料的。</w:t>
      </w:r>
    </w:p>
    <w:p>
      <w:pPr>
        <w:ind w:firstLine="480"/>
      </w:pPr>
      <w:r>
        <w:rPr/>
        <w:t>(3)供应商以行贿手段谋取成交或者以其他弄虚作假方式响应的。</w:t>
      </w:r>
    </w:p>
    <w:p>
      <w:pPr>
        <w:ind w:firstLine="480"/>
      </w:pPr>
      <w:r>
        <w:rPr/>
        <w:t>(4)供应商对采购人、采购代理机构、单一来源采购人员及其工作人员施加影响，有碍协商公平、公正的。</w:t>
      </w:r>
    </w:p>
    <w:p>
      <w:pPr>
        <w:ind w:firstLine="480"/>
      </w:pPr>
      <w:r>
        <w:rPr/>
        <w:t>(5)响应文件含有采购人不能接受的附加条件的。</w:t>
      </w:r>
    </w:p>
    <w:p>
      <w:pPr>
        <w:ind w:firstLine="480"/>
      </w:pPr>
      <w:r>
        <w:rPr/>
        <w:t>(6)法律、法规和采购文件规定的其他无效情形。</w:t>
      </w:r>
    </w:p>
    <w:p>
      <w:pPr>
        <w:ind w:firstLine="480"/>
      </w:pPr>
    </w:p>
    <w:p>
      <w:r>
        <w:rPr/>
        <w:t xml:space="preserve"> </w:t>
      </w:r>
    </w:p>
    <w:p/>
    <w:p>
      <w:pPr>
        <w:jc w:val="center"/>
      </w:pPr>
      <w:r>
        <w:rPr>
          <w:b/>
          <w:sz w:val="36"/>
        </w:rPr>
        <w:t>第五章 合同文本</w:t>
      </w:r>
    </w:p>
    <w:p>
      <w:pPr>
        <w:ind w:firstLine="480"/>
      </w:pPr>
    </w:p>
    <w:p/>
    <w:p>
      <w:pPr>
        <w:jc w:val="left"/>
      </w:pPr>
      <w:r>
        <w:rPr>
          <w:b/>
          <w:sz w:val="21"/>
        </w:rPr>
        <w:t>注：</w:t>
      </w:r>
    </w:p>
    <w:p>
      <w:pPr>
        <w:ind w:firstLine="211"/>
        <w:jc w:val="left"/>
      </w:pPr>
      <w:r>
        <w:rPr>
          <w:b/>
          <w:sz w:val="21"/>
        </w:rPr>
        <w:t>1、合同具体事项须根据采购文件的约定及乙方响应文件的承诺执行；</w:t>
      </w:r>
    </w:p>
    <w:p>
      <w:pPr>
        <w:ind w:firstLine="211"/>
        <w:jc w:val="left"/>
      </w:pPr>
    </w:p>
    <w:p>
      <w:pPr>
        <w:ind w:firstLine="420"/>
        <w:jc w:val="both"/>
      </w:pPr>
    </w:p>
    <w:p>
      <w:pPr>
        <w:jc w:val="both"/>
      </w:pPr>
    </w:p>
    <w:p>
      <w:pPr>
        <w:jc w:val="both"/>
      </w:pPr>
    </w:p>
    <w:p/>
    <w:p>
      <w:pPr>
        <w:jc w:val="center"/>
      </w:pPr>
      <w:r>
        <w:rPr>
          <w:sz w:val="96"/>
        </w:rPr>
        <w:t>佛</w:t>
      </w:r>
      <w:r>
        <w:rPr>
          <w:sz w:val="96"/>
        </w:rPr>
        <w:t>山</w:t>
      </w:r>
      <w:r>
        <w:rPr>
          <w:sz w:val="96"/>
        </w:rPr>
        <w:t>仙</w:t>
      </w:r>
      <w:r>
        <w:rPr>
          <w:sz w:val="96"/>
        </w:rPr>
        <w:t>湖</w:t>
      </w:r>
      <w:r>
        <w:rPr>
          <w:sz w:val="96"/>
        </w:rPr>
        <w:t>实</w:t>
      </w:r>
      <w:r>
        <w:rPr>
          <w:sz w:val="96"/>
        </w:rPr>
        <w:t>验</w:t>
      </w:r>
      <w:r>
        <w:rPr>
          <w:sz w:val="96"/>
        </w:rPr>
        <w:t>室</w:t>
      </w:r>
    </w:p>
    <w:p>
      <w:pPr>
        <w:jc w:val="center"/>
      </w:pPr>
      <w:r>
        <w:rPr/>
        <w:t xml:space="preserve"> </w:t>
      </w:r>
    </w:p>
    <w:p>
      <w:pPr>
        <w:ind w:firstLine="1840"/>
        <w:jc w:val="center"/>
      </w:pPr>
      <w:r>
        <w:rPr>
          <w:sz w:val="92"/>
        </w:rPr>
        <w:t>合</w:t>
      </w:r>
      <w:r>
        <w:rPr>
          <w:sz w:val="21"/>
        </w:rPr>
        <w:t xml:space="preserve"> </w:t>
      </w:r>
      <w:r>
        <w:rPr>
          <w:sz w:val="92"/>
        </w:rPr>
        <w:t>同</w:t>
      </w:r>
      <w:r>
        <w:rPr>
          <w:sz w:val="21"/>
        </w:rPr>
        <w:t xml:space="preserve"> </w:t>
      </w:r>
      <w:r>
        <w:rPr>
          <w:sz w:val="92"/>
        </w:rPr>
        <w:t>书</w:t>
      </w:r>
    </w:p>
    <w:p>
      <w:pPr>
        <w:ind w:firstLine="400"/>
        <w:jc w:val="both"/>
      </w:pPr>
    </w:p>
    <w:p>
      <w:pPr>
        <w:jc w:val="both"/>
      </w:pPr>
    </w:p>
    <w:p>
      <w:pPr>
        <w:jc w:val="both"/>
      </w:pPr>
    </w:p>
    <w:p>
      <w:pPr>
        <w:jc w:val="both"/>
      </w:pPr>
    </w:p>
    <w:p>
      <w:pPr>
        <w:jc w:val="both"/>
      </w:pPr>
    </w:p>
    <w:p>
      <w:pPr>
        <w:jc w:val="both"/>
      </w:pPr>
    </w:p>
    <w:p>
      <w:pPr>
        <w:jc w:val="both"/>
      </w:pPr>
    </w:p>
    <w:p>
      <w:pPr>
        <w:ind w:firstLine="400"/>
        <w:jc w:val="both"/>
      </w:pPr>
    </w:p>
    <w:p>
      <w:pPr>
        <w:jc w:val="both"/>
      </w:pPr>
    </w:p>
    <w:p>
      <w:pPr>
        <w:jc w:val="both"/>
      </w:pPr>
    </w:p>
    <w:p>
      <w:pPr>
        <w:ind w:firstLine="220"/>
        <w:jc w:val="both"/>
      </w:pPr>
    </w:p>
    <w:tbl>
      <w:tblPr>
        <w:tblW w:w="0" w:type="auto"/>
        <w:tblBorders>
          <w:top w:val="none" w:color="000000" w:sz="4"/>
          <w:left w:val="none" w:color="000000" w:sz="4"/>
          <w:bottom w:val="none" w:color="000000" w:sz="4"/>
          <w:right w:val="none" w:color="000000" w:sz="4"/>
          <w:insideH w:val="none"/>
          <w:insideV w:val="none"/>
        </w:tblBorders>
      </w:tblPr>
      <w:tblGrid>
        <w:gridCol w:w="2698"/>
        <w:gridCol w:w="5608"/>
      </w:tblGrid>
      <w:tr>
        <w:tc>
          <w:tcPr>
            <w:tcW w:type="dxa" w:w="2698"/>
            <w:tcBorders>
              <w:top w:val="none" w:color="000000" w:sz="4"/>
              <w:left w:val="none" w:color="000000" w:sz="4"/>
              <w:bottom w:val="none" w:color="000000" w:sz="4"/>
              <w:right w:val="none" w:color="000000" w:sz="4"/>
            </w:tcBorders>
            <w:vAlign w:val="top"/>
          </w:tcPr>
          <w:p>
            <w:r>
              <w:rPr>
                <w:b/>
                <w:sz w:val="30"/>
              </w:rPr>
              <w:t>项</w:t>
            </w:r>
            <w:r>
              <w:rPr>
                <w:b/>
                <w:sz w:val="30"/>
              </w:rPr>
              <w:t>目</w:t>
            </w:r>
            <w:r>
              <w:rPr>
                <w:b/>
                <w:sz w:val="30"/>
              </w:rPr>
              <w:t>编</w:t>
            </w:r>
            <w:r>
              <w:rPr>
                <w:b/>
                <w:sz w:val="30"/>
              </w:rPr>
              <w:t>号：</w:t>
            </w:r>
          </w:p>
        </w:tc>
        <w:tc>
          <w:tcPr>
            <w:tcW w:type="dxa" w:w="5608"/>
            <w:tcBorders>
              <w:top w:val="none" w:color="000000" w:sz="4"/>
              <w:left w:val="none" w:color="000000" w:sz="4"/>
              <w:bottom w:val="none" w:color="000000" w:sz="4"/>
              <w:right w:val="none" w:color="000000" w:sz="4"/>
            </w:tcBorders>
            <w:vAlign w:val="top"/>
          </w:tcPr>
          <w:p/>
        </w:tc>
      </w:tr>
      <w:tr>
        <w:tc>
          <w:tcPr>
            <w:tcW w:type="dxa" w:w="2698"/>
            <w:tcBorders>
              <w:top w:val="none" w:color="000000" w:sz="4"/>
              <w:left w:val="none" w:color="000000" w:sz="4"/>
              <w:bottom w:val="none" w:color="000000" w:sz="4"/>
              <w:right w:val="none" w:color="000000" w:sz="4"/>
            </w:tcBorders>
            <w:vAlign w:val="top"/>
          </w:tcPr>
          <w:p>
            <w:r>
              <w:rPr>
                <w:b/>
                <w:sz w:val="30"/>
              </w:rPr>
              <w:t>项</w:t>
            </w:r>
            <w:r>
              <w:rPr>
                <w:b/>
                <w:sz w:val="30"/>
              </w:rPr>
              <w:t>目</w:t>
            </w:r>
            <w:r>
              <w:rPr>
                <w:b/>
                <w:sz w:val="30"/>
              </w:rPr>
              <w:t>名</w:t>
            </w:r>
            <w:r>
              <w:rPr>
                <w:b/>
                <w:sz w:val="30"/>
              </w:rPr>
              <w:t>称：</w:t>
            </w:r>
          </w:p>
        </w:tc>
        <w:tc>
          <w:tcPr>
            <w:tcW w:type="dxa" w:w="5608"/>
            <w:tcBorders>
              <w:top w:val="none" w:color="000000" w:sz="4"/>
              <w:left w:val="none" w:color="000000" w:sz="4"/>
              <w:bottom w:val="none" w:color="000000" w:sz="4"/>
              <w:right w:val="none" w:color="000000" w:sz="4"/>
            </w:tcBorders>
            <w:vAlign w:val="top"/>
          </w:tcPr>
          <w:p/>
        </w:tc>
      </w:tr>
      <w:tr>
        <w:tc>
          <w:tcPr>
            <w:tcW w:type="dxa" w:w="2698"/>
            <w:tcBorders>
              <w:top w:val="none" w:color="000000" w:sz="4"/>
              <w:left w:val="none" w:color="000000" w:sz="4"/>
              <w:bottom w:val="none" w:color="000000" w:sz="4"/>
              <w:right w:val="none" w:color="000000" w:sz="4"/>
            </w:tcBorders>
            <w:vAlign w:val="top"/>
          </w:tcPr>
          <w:p>
            <w:r>
              <w:rPr>
                <w:b/>
                <w:sz w:val="30"/>
              </w:rPr>
              <w:t>合</w:t>
            </w:r>
            <w:r>
              <w:rPr>
                <w:b/>
                <w:sz w:val="30"/>
              </w:rPr>
              <w:t>同</w:t>
            </w:r>
            <w:r>
              <w:rPr>
                <w:b/>
                <w:sz w:val="30"/>
              </w:rPr>
              <w:t>编</w:t>
            </w:r>
            <w:r>
              <w:rPr>
                <w:b/>
                <w:sz w:val="30"/>
              </w:rPr>
              <w:t>号：</w:t>
            </w:r>
          </w:p>
        </w:tc>
        <w:tc>
          <w:tcPr>
            <w:tcW w:type="dxa" w:w="5608"/>
            <w:tcBorders>
              <w:top w:val="none" w:color="000000" w:sz="4"/>
              <w:left w:val="none" w:color="000000" w:sz="4"/>
              <w:bottom w:val="none" w:color="000000" w:sz="4"/>
              <w:right w:val="none" w:color="000000" w:sz="4"/>
            </w:tcBorders>
            <w:vAlign w:val="top"/>
          </w:tcPr>
          <w:p/>
        </w:tc>
      </w:tr>
      <w:tr>
        <w:tc>
          <w:tcPr>
            <w:tcW w:type="dxa" w:w="2698"/>
            <w:tcBorders>
              <w:top w:val="none" w:color="000000" w:sz="4"/>
              <w:left w:val="none" w:color="000000" w:sz="4"/>
              <w:bottom w:val="none" w:color="000000" w:sz="4"/>
              <w:right w:val="none" w:color="000000" w:sz="4"/>
            </w:tcBorders>
            <w:vAlign w:val="top"/>
          </w:tcPr>
          <w:p>
            <w:r>
              <w:rPr>
                <w:b/>
                <w:sz w:val="30"/>
              </w:rPr>
              <w:t>签</w:t>
            </w:r>
            <w:r>
              <w:rPr>
                <w:b/>
                <w:sz w:val="30"/>
              </w:rPr>
              <w:t>订</w:t>
            </w:r>
            <w:r>
              <w:rPr>
                <w:b/>
                <w:sz w:val="30"/>
              </w:rPr>
              <w:t>时</w:t>
            </w:r>
            <w:r>
              <w:rPr>
                <w:b/>
                <w:sz w:val="30"/>
              </w:rPr>
              <w:t>间：</w:t>
            </w:r>
          </w:p>
        </w:tc>
        <w:tc>
          <w:tcPr>
            <w:tcW w:type="dxa" w:w="5608"/>
            <w:tcBorders>
              <w:top w:val="none" w:color="000000" w:sz="4"/>
              <w:left w:val="none" w:color="000000" w:sz="4"/>
              <w:bottom w:val="none" w:color="000000" w:sz="4"/>
              <w:right w:val="none" w:color="000000" w:sz="4"/>
            </w:tcBorders>
            <w:vAlign w:val="top"/>
          </w:tcPr>
          <w:p>
            <w:r>
              <w:rPr>
                <w:b/>
                <w:sz w:val="30"/>
              </w:rPr>
              <w:t xml:space="preserve">     </w:t>
            </w:r>
            <w:r>
              <w:rPr>
                <w:b/>
                <w:sz w:val="30"/>
              </w:rPr>
              <w:t>年　</w:t>
            </w:r>
            <w:r>
              <w:rPr>
                <w:b/>
                <w:sz w:val="30"/>
              </w:rPr>
              <w:t>月　</w:t>
            </w:r>
            <w:r>
              <w:rPr>
                <w:b/>
                <w:sz w:val="30"/>
              </w:rPr>
              <w:t xml:space="preserve">  </w:t>
            </w:r>
            <w:r>
              <w:rPr>
                <w:b/>
                <w:sz w:val="30"/>
              </w:rPr>
              <w:t>日</w:t>
            </w:r>
          </w:p>
        </w:tc>
      </w:tr>
    </w:tbl>
    <w:p>
      <w:pPr>
        <w:jc w:val="both"/>
      </w:pPr>
    </w:p>
    <w:p>
      <w:pPr>
        <w:jc w:val="both"/>
      </w:pPr>
    </w:p>
    <w:p>
      <w:pPr>
        <w:jc w:val="center"/>
      </w:pPr>
    </w:p>
    <w:p/>
    <w:p>
      <w:r>
        <w:rPr>
          <w:b/>
          <w:sz w:val="36"/>
        </w:rPr>
        <w:t>佛山仙湖实验室长期服务采购</w:t>
      </w:r>
      <w:r>
        <w:rPr>
          <w:b/>
          <w:sz w:val="36"/>
        </w:rPr>
        <w:t>合同</w:t>
      </w:r>
    </w:p>
    <w:p>
      <w:r>
        <w:rPr/>
        <w:t xml:space="preserve"> </w:t>
      </w:r>
    </w:p>
    <w:p>
      <w:pPr>
        <w:jc w:val="both"/>
      </w:pPr>
    </w:p>
    <w:p>
      <w:pPr>
        <w:jc w:val="both"/>
      </w:pPr>
    </w:p>
    <w:p>
      <w:pPr>
        <w:jc w:val="both"/>
      </w:pPr>
      <w:r>
        <w:rPr>
          <w:sz w:val="24"/>
        </w:rPr>
        <w:t>合同编号：</w:t>
      </w:r>
    </w:p>
    <w:p>
      <w:pPr>
        <w:jc w:val="both"/>
      </w:pPr>
      <w:r>
        <w:rPr>
          <w:sz w:val="24"/>
        </w:rPr>
        <w:t>签订地点：佛山仙湖实验室</w:t>
      </w:r>
    </w:p>
    <w:p>
      <w:pPr>
        <w:jc w:val="both"/>
      </w:pPr>
    </w:p>
    <w:p>
      <w:pPr>
        <w:jc w:val="both"/>
      </w:pPr>
      <w:r>
        <w:rPr>
          <w:sz w:val="24"/>
        </w:rPr>
        <w:t>甲方（买方）：</w:t>
      </w:r>
      <w:r>
        <w:rPr>
          <w:sz w:val="24"/>
          <w:u w:val="single"/>
        </w:rPr>
        <w:t>佛山仙湖实验室</w:t>
      </w:r>
      <w:r>
        <w:rPr>
          <w:sz w:val="21"/>
          <w:u w:val="single"/>
        </w:rPr>
        <w:t xml:space="preserve">       </w:t>
      </w:r>
    </w:p>
    <w:p>
      <w:pPr>
        <w:jc w:val="both"/>
      </w:pPr>
      <w:r>
        <w:rPr>
          <w:sz w:val="24"/>
        </w:rPr>
        <w:t>乙方（卖方）：</w:t>
      </w:r>
      <w:r>
        <w:rPr>
          <w:sz w:val="21"/>
          <w:u w:val="single"/>
        </w:rPr>
        <w:t xml:space="preserve">                      </w:t>
      </w:r>
    </w:p>
    <w:p>
      <w:pPr>
        <w:ind w:firstLine="482"/>
        <w:jc w:val="both"/>
      </w:pPr>
      <w:r>
        <w:rPr>
          <w:b/>
          <w:sz w:val="24"/>
        </w:rPr>
        <w:t>第一条</w:t>
      </w:r>
      <w:r>
        <w:rPr>
          <w:b/>
          <w:sz w:val="24"/>
        </w:rPr>
        <w:t xml:space="preserve"> </w:t>
      </w:r>
      <w:r>
        <w:rPr>
          <w:b/>
          <w:sz w:val="24"/>
        </w:rPr>
        <w:t>目的与依据</w:t>
      </w:r>
    </w:p>
    <w:p>
      <w:pPr>
        <w:ind w:firstLine="480"/>
        <w:jc w:val="both"/>
      </w:pPr>
      <w:r>
        <w:rPr>
          <w:sz w:val="24"/>
        </w:rPr>
        <w:t>为了明确双方的权利义务</w:t>
      </w:r>
      <w:r>
        <w:rPr>
          <w:sz w:val="24"/>
        </w:rPr>
        <w:t>, 甲乙双方</w:t>
      </w:r>
      <w:r>
        <w:rPr>
          <w:sz w:val="24"/>
        </w:rPr>
        <w:t>根据《中华人民共和国民法典》，依据</w:t>
      </w:r>
      <w:r>
        <w:rPr>
          <w:sz w:val="24"/>
        </w:rPr>
        <w:t>佛山仙湖实验室</w:t>
      </w:r>
      <w:r>
        <w:rPr>
          <w:b/>
          <w:sz w:val="21"/>
          <w:u w:val="single"/>
        </w:rPr>
        <w:t xml:space="preserve">                 </w:t>
      </w:r>
      <w:r>
        <w:rPr>
          <w:sz w:val="24"/>
        </w:rPr>
        <w:t>采购项目（项目编号：</w:t>
      </w:r>
      <w:r>
        <w:rPr>
          <w:sz w:val="21"/>
          <w:u w:val="single"/>
        </w:rPr>
        <w:t xml:space="preserve"> </w:t>
      </w:r>
      <w:r>
        <w:rPr>
          <w:sz w:val="21"/>
          <w:u w:val="single"/>
        </w:rPr>
        <w:t xml:space="preserve">           </w:t>
      </w:r>
      <w:r>
        <w:rPr>
          <w:sz w:val="24"/>
        </w:rPr>
        <w:t>）之采购文件和成交结果</w:t>
      </w:r>
      <w:r>
        <w:rPr>
          <w:sz w:val="24"/>
        </w:rPr>
        <w:t>，在平等自愿、协商一致的基础上，</w:t>
      </w:r>
      <w:r>
        <w:rPr>
          <w:sz w:val="24"/>
        </w:rPr>
        <w:t>就甲方向乙方购买</w:t>
      </w:r>
      <w:r>
        <w:rPr>
          <w:sz w:val="24"/>
        </w:rPr>
        <w:t>“</w:t>
      </w:r>
      <w:r>
        <w:rPr>
          <w:sz w:val="21"/>
          <w:u w:val="single"/>
        </w:rPr>
        <w:t xml:space="preserve">                   </w:t>
      </w:r>
      <w:r>
        <w:rPr>
          <w:sz w:val="24"/>
        </w:rPr>
        <w:t>”</w:t>
      </w:r>
      <w:r>
        <w:rPr>
          <w:sz w:val="24"/>
        </w:rPr>
        <w:t>相关事宜达成一致，</w:t>
      </w:r>
      <w:r>
        <w:rPr>
          <w:sz w:val="24"/>
        </w:rPr>
        <w:t>签订本合同。</w:t>
      </w:r>
    </w:p>
    <w:p>
      <w:pPr>
        <w:ind w:firstLine="482"/>
        <w:jc w:val="both"/>
      </w:pPr>
      <w:r>
        <w:rPr>
          <w:b/>
          <w:sz w:val="24"/>
        </w:rPr>
        <w:t>第二条</w:t>
      </w:r>
      <w:r>
        <w:rPr>
          <w:b/>
          <w:sz w:val="24"/>
        </w:rPr>
        <w:t xml:space="preserve"> </w:t>
      </w:r>
      <w:r>
        <w:rPr>
          <w:b/>
          <w:sz w:val="24"/>
        </w:rPr>
        <w:t>定义</w:t>
      </w:r>
    </w:p>
    <w:p>
      <w:pPr>
        <w:ind w:firstLine="480"/>
        <w:jc w:val="both"/>
      </w:pPr>
      <w:r>
        <w:rPr>
          <w:sz w:val="24"/>
        </w:rPr>
        <w:t>本合同中使用的下列术语，除非另有所指，具有以下含义：</w:t>
      </w:r>
    </w:p>
    <w:p>
      <w:pPr>
        <w:ind w:firstLine="480"/>
        <w:jc w:val="both"/>
      </w:pPr>
      <w:r>
        <w:rPr>
          <w:sz w:val="24"/>
        </w:rPr>
        <w:t>1、</w:t>
      </w:r>
      <w:r>
        <w:rPr>
          <w:sz w:val="24"/>
        </w:rPr>
        <w:t>甲方：指本项目的采购人。</w:t>
      </w:r>
    </w:p>
    <w:p>
      <w:pPr>
        <w:ind w:firstLine="480"/>
        <w:jc w:val="both"/>
      </w:pPr>
      <w:r>
        <w:rPr>
          <w:sz w:val="24"/>
        </w:rPr>
        <w:t>2、</w:t>
      </w:r>
      <w:r>
        <w:rPr>
          <w:sz w:val="24"/>
        </w:rPr>
        <w:t>乙方：指本项目的服务提供人。</w:t>
      </w:r>
    </w:p>
    <w:p>
      <w:pPr>
        <w:ind w:firstLine="480"/>
        <w:jc w:val="both"/>
      </w:pPr>
      <w:r>
        <w:rPr>
          <w:sz w:val="24"/>
        </w:rPr>
        <w:t>3、一方：指甲方或乙方。</w:t>
      </w:r>
    </w:p>
    <w:p>
      <w:pPr>
        <w:ind w:firstLine="480"/>
        <w:jc w:val="both"/>
      </w:pPr>
      <w:r>
        <w:rPr>
          <w:sz w:val="24"/>
        </w:rPr>
        <w:t>4、双方：指甲方和乙方的统称。</w:t>
      </w:r>
    </w:p>
    <w:p>
      <w:pPr>
        <w:ind w:firstLine="480"/>
        <w:jc w:val="both"/>
      </w:pPr>
      <w:r>
        <w:rPr>
          <w:sz w:val="24"/>
        </w:rPr>
        <w:t>5、合同：指甲乙双方签署的、合同格式中载明的甲乙双方所达成的协议，包括所有的附件、附录和构成合同的所有文件。</w:t>
      </w:r>
    </w:p>
    <w:p>
      <w:pPr>
        <w:ind w:firstLine="480"/>
        <w:jc w:val="both"/>
      </w:pPr>
      <w:r>
        <w:rPr>
          <w:sz w:val="24"/>
        </w:rPr>
        <w:t>6、试验服务：指乙方根据合同约定须向甲方提供所列的试验服务外，还包括（如有）与该批服务相一致的试验方案、设计出图等技术资料或有形物品，及配套性知识产权物品(如软件或程序支持信息)或其它材料等。</w:t>
      </w:r>
    </w:p>
    <w:p>
      <w:pPr>
        <w:ind w:firstLine="480"/>
        <w:jc w:val="both"/>
      </w:pPr>
      <w:r>
        <w:rPr>
          <w:sz w:val="24"/>
        </w:rPr>
        <w:t>7、</w:t>
      </w:r>
      <w:r>
        <w:rPr>
          <w:sz w:val="24"/>
        </w:rPr>
        <w:t>合同总价：指根据合同规定，乙方正确地完全履行合同义务后甲方应支付给乙方的价格。</w:t>
      </w:r>
    </w:p>
    <w:p>
      <w:pPr>
        <w:ind w:firstLine="480"/>
        <w:jc w:val="both"/>
      </w:pPr>
      <w:r>
        <w:rPr>
          <w:sz w:val="24"/>
        </w:rPr>
        <w:t>8、交货时间：指乙方将服务、技术资料及配套性知识产权物品一并交付给甲方的日期时间。</w:t>
      </w:r>
    </w:p>
    <w:p>
      <w:pPr>
        <w:ind w:firstLine="480"/>
        <w:jc w:val="both"/>
      </w:pPr>
      <w:r>
        <w:rPr>
          <w:sz w:val="24"/>
        </w:rPr>
        <w:t>9、试验地点：指合同项下提供服务的地点。</w:t>
      </w:r>
    </w:p>
    <w:p>
      <w:pPr>
        <w:ind w:firstLine="480"/>
        <w:jc w:val="both"/>
      </w:pPr>
      <w:r>
        <w:rPr>
          <w:sz w:val="24"/>
        </w:rPr>
        <w:t>10、验收：指合同双方根据规定的程序和条件确认合同项下的服务符合合同约定或技术规范的要求。</w:t>
      </w:r>
    </w:p>
    <w:p>
      <w:pPr>
        <w:ind w:firstLine="480"/>
        <w:jc w:val="both"/>
      </w:pPr>
      <w:r>
        <w:rPr>
          <w:sz w:val="24"/>
        </w:rPr>
        <w:t>11、“日”：指任何一天零时至第二天零时的时间段。</w:t>
      </w:r>
    </w:p>
    <w:p>
      <w:pPr>
        <w:ind w:firstLine="480"/>
        <w:jc w:val="both"/>
      </w:pPr>
      <w:r>
        <w:rPr>
          <w:sz w:val="24"/>
        </w:rPr>
        <w:t>12、“月”：指根据公历从一个月份中任何一天开始到下一个月相应日期的前一天的时间段，没有相应日期的，以相应月最后一天作为对应日期。</w:t>
      </w:r>
    </w:p>
    <w:p>
      <w:pPr>
        <w:ind w:firstLine="482"/>
        <w:jc w:val="both"/>
      </w:pPr>
      <w:r>
        <w:rPr>
          <w:b/>
          <w:sz w:val="24"/>
        </w:rPr>
        <w:t>第三条</w:t>
      </w:r>
      <w:r>
        <w:rPr>
          <w:b/>
          <w:sz w:val="24"/>
        </w:rPr>
        <w:t xml:space="preserve"> </w:t>
      </w:r>
      <w:r>
        <w:rPr>
          <w:b/>
          <w:sz w:val="24"/>
        </w:rPr>
        <w:t>合同标的（服务内容、方式和要求）</w:t>
      </w:r>
    </w:p>
    <w:p>
      <w:pPr>
        <w:ind w:firstLine="480"/>
        <w:jc w:val="both"/>
      </w:pPr>
      <w:r>
        <w:rPr>
          <w:sz w:val="24"/>
        </w:rPr>
        <w:t>1、服务形式：甲方使用乙方台架资源进行           试验项目。</w:t>
      </w:r>
    </w:p>
    <w:p>
      <w:pPr>
        <w:ind w:firstLine="480"/>
        <w:jc w:val="both"/>
      </w:pPr>
      <w:r>
        <w:rPr>
          <w:sz w:val="24"/>
        </w:rPr>
        <w:t>2、服务内容：乙方提供能够满足甲方试验要求的场地、设备和人员，双方按甲方的试验任务单完成试验。合同签署后或者项目正式开始前两周，甲方及时提供试验任</w:t>
      </w:r>
      <w:r>
        <w:rPr>
          <w:sz w:val="24"/>
        </w:rPr>
        <w:t>务单（具体试验任务、试验条件、试验方法、试验标准、试验要求及设备准备要求详见附件一）。双方确认后，乙方支持甲方按照试验任务单开展相关试验服务工作。</w:t>
      </w:r>
    </w:p>
    <w:p>
      <w:pPr>
        <w:ind w:firstLine="480"/>
        <w:jc w:val="both"/>
      </w:pPr>
      <w:r>
        <w:rPr>
          <w:sz w:val="24"/>
        </w:rPr>
        <w:t>3、样品提供：甲方负责试验试验样品的准备和运输。乙方提供试验试验样品的保管场地，并负责样品在乙方试验期间的管理和保密工作，未经甲方授权乙方不能拆卸属于甲方的任何零件的包装及零件本身。</w:t>
      </w:r>
    </w:p>
    <w:p>
      <w:pPr>
        <w:ind w:firstLine="480"/>
        <w:jc w:val="both"/>
      </w:pPr>
      <w:r>
        <w:rPr>
          <w:sz w:val="24"/>
        </w:rPr>
        <w:t>4、试验消耗品说明：试验期间，消耗品（冷却液、液氨、</w:t>
      </w:r>
      <w:r>
        <w:rPr>
          <w:sz w:val="24"/>
        </w:rPr>
        <w:t>氢气</w:t>
      </w:r>
      <w:r>
        <w:rPr>
          <w:sz w:val="24"/>
        </w:rPr>
        <w:t>、工装等）乙方可以按照甲方要求提供，其费用按合同约定由甲方承担。</w:t>
      </w:r>
    </w:p>
    <w:p>
      <w:pPr>
        <w:ind w:firstLine="480"/>
        <w:jc w:val="both"/>
      </w:pPr>
      <w:r>
        <w:rPr>
          <w:sz w:val="24"/>
        </w:rPr>
        <w:t>5、试验结果提供形式：甲方负责试验数据采集、记录和管理，乙方协助甲方进行数据采集。</w:t>
      </w:r>
    </w:p>
    <w:p>
      <w:pPr>
        <w:ind w:firstLine="480"/>
        <w:jc w:val="both"/>
      </w:pPr>
      <w:r>
        <w:rPr>
          <w:sz w:val="24"/>
        </w:rPr>
        <w:t>6、工作统计和计算：乙方负责统计试验时间、液氨以及氢气的用量，乙方负责记录每日的试验运行日志，并由甲方确认。试验项目结束时，由甲、乙双方现场工程师或项目经理对试验运行日志签字确认，该运行日志是最终费用核算的依据。</w:t>
      </w:r>
    </w:p>
    <w:p>
      <w:pPr>
        <w:ind w:firstLine="480"/>
        <w:jc w:val="both"/>
      </w:pPr>
      <w:r>
        <w:rPr>
          <w:sz w:val="24"/>
        </w:rPr>
        <w:t>7、乙方严格按照计划进行设备的日常点检和维护，并做好易损件的备品工作。试验结束后，乙方须派专人配合甲方进行消耗品用量确认。</w:t>
      </w:r>
    </w:p>
    <w:p>
      <w:pPr>
        <w:jc w:val="both"/>
      </w:pPr>
      <w:r>
        <w:rPr>
          <w:sz w:val="21"/>
        </w:rPr>
        <w:t xml:space="preserve">    </w:t>
      </w:r>
      <w:r>
        <w:rPr>
          <w:b/>
          <w:sz w:val="24"/>
        </w:rPr>
        <w:t>第四条　试验费用</w:t>
      </w:r>
    </w:p>
    <w:p>
      <w:pPr>
        <w:ind w:firstLine="480"/>
        <w:jc w:val="both"/>
      </w:pPr>
      <w:r>
        <w:rPr>
          <w:sz w:val="24"/>
        </w:rPr>
        <w:t>1、服务明细</w:t>
      </w:r>
    </w:p>
    <w:tbl>
      <w:tblPr>
        <w:tblW w:w="0" w:type="auto"/>
        <w:tblBorders>
          <w:top w:val="none" w:color="000000" w:sz="4"/>
          <w:left w:val="none" w:color="000000" w:sz="4"/>
          <w:bottom w:val="none" w:color="000000" w:sz="4"/>
          <w:right w:val="none" w:color="000000" w:sz="4"/>
          <w:insideH w:val="none"/>
          <w:insideV w:val="none"/>
        </w:tblBorders>
      </w:tblPr>
      <w:tblGrid>
        <w:gridCol w:w="1223"/>
        <w:gridCol w:w="1894"/>
        <w:gridCol w:w="1086"/>
        <w:gridCol w:w="2156"/>
        <w:gridCol w:w="1944"/>
      </w:tblGrid>
      <w:tr>
        <w:tc>
          <w:tcPr>
            <w:tcW w:type="dxa" w:w="1223"/>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894"/>
            <w:tcBorders>
              <w:top w:val="single" w:color="000000" w:sz="4"/>
              <w:left w:val="single" w:color="000000" w:sz="4"/>
              <w:bottom w:val="single" w:color="000000" w:sz="4"/>
              <w:right w:val="single" w:color="000000" w:sz="4"/>
            </w:tcBorders>
            <w:vAlign w:val="top"/>
          </w:tcPr>
          <w:p>
            <w:pPr>
              <w:jc w:val="center"/>
            </w:pPr>
            <w:r>
              <w:rPr>
                <w:sz w:val="24"/>
              </w:rPr>
              <w:t>项目</w:t>
            </w:r>
          </w:p>
        </w:tc>
        <w:tc>
          <w:tcPr>
            <w:tcW w:type="dxa" w:w="1086"/>
            <w:tcBorders>
              <w:top w:val="single" w:color="000000" w:sz="4"/>
              <w:left w:val="single" w:color="000000" w:sz="4"/>
              <w:bottom w:val="single" w:color="000000" w:sz="4"/>
              <w:right w:val="single" w:color="000000" w:sz="4"/>
            </w:tcBorders>
            <w:vAlign w:val="top"/>
          </w:tcPr>
          <w:p>
            <w:pPr>
              <w:jc w:val="center"/>
            </w:pPr>
            <w:r>
              <w:rPr>
                <w:sz w:val="24"/>
              </w:rPr>
              <w:t>计量单位</w:t>
            </w:r>
          </w:p>
        </w:tc>
        <w:tc>
          <w:tcPr>
            <w:tcW w:type="dxa" w:w="2156"/>
            <w:tcBorders>
              <w:top w:val="single" w:color="000000" w:sz="4"/>
              <w:left w:val="single" w:color="000000" w:sz="4"/>
              <w:bottom w:val="single" w:color="000000" w:sz="4"/>
              <w:right w:val="single" w:color="000000" w:sz="4"/>
            </w:tcBorders>
            <w:vAlign w:val="top"/>
          </w:tcPr>
          <w:p>
            <w:pPr>
              <w:jc w:val="center"/>
            </w:pPr>
            <w:r>
              <w:rPr>
                <w:sz w:val="24"/>
              </w:rPr>
              <w:t>单价</w:t>
            </w:r>
            <w:r>
              <w:rPr>
                <w:sz w:val="24"/>
              </w:rPr>
              <w:t>(元)</w:t>
            </w:r>
          </w:p>
        </w:tc>
        <w:tc>
          <w:tcPr>
            <w:tcW w:type="dxa" w:w="1944"/>
            <w:tcBorders>
              <w:top w:val="single" w:color="000000" w:sz="4"/>
              <w:left w:val="single" w:color="000000" w:sz="4"/>
              <w:bottom w:val="single" w:color="000000" w:sz="4"/>
              <w:right w:val="single" w:color="000000" w:sz="4"/>
            </w:tcBorders>
            <w:vAlign w:val="top"/>
          </w:tcPr>
          <w:p>
            <w:pPr>
              <w:jc w:val="center"/>
            </w:pPr>
            <w:r>
              <w:rPr>
                <w:sz w:val="24"/>
              </w:rPr>
              <w:t>备注</w:t>
            </w:r>
          </w:p>
        </w:tc>
      </w:tr>
      <w:tr>
        <w:tc>
          <w:tcPr>
            <w:tcW w:type="dxa" w:w="1223"/>
            <w:tcBorders>
              <w:top w:val="none" w:color="000000" w:sz="4"/>
              <w:left w:val="single" w:color="000000" w:sz="4"/>
              <w:bottom w:val="single" w:color="000000" w:sz="4"/>
              <w:right w:val="single" w:color="000000" w:sz="4"/>
            </w:tcBorders>
            <w:vAlign w:val="top"/>
          </w:tcPr>
          <w:p>
            <w:pPr>
              <w:jc w:val="center"/>
            </w:pPr>
          </w:p>
        </w:tc>
        <w:tc>
          <w:tcPr>
            <w:tcW w:type="dxa" w:w="1894"/>
            <w:tcBorders>
              <w:top w:val="none" w:color="000000" w:sz="4"/>
              <w:left w:val="single" w:color="000000" w:sz="4"/>
              <w:bottom w:val="single" w:color="000000" w:sz="4"/>
              <w:right w:val="single" w:color="000000" w:sz="4"/>
            </w:tcBorders>
            <w:vAlign w:val="top"/>
          </w:tcPr>
          <w:p>
            <w:r>
              <w:rPr>
                <w:sz w:val="19"/>
              </w:rPr>
              <w:t xml:space="preserve"> </w:t>
            </w:r>
          </w:p>
          <w:p>
            <w:pPr>
              <w:jc w:val="center"/>
            </w:pPr>
          </w:p>
        </w:tc>
        <w:tc>
          <w:tcPr>
            <w:tcW w:type="dxa" w:w="1086"/>
            <w:tcBorders>
              <w:top w:val="none" w:color="000000" w:sz="4"/>
              <w:left w:val="single" w:color="000000" w:sz="4"/>
              <w:bottom w:val="single" w:color="000000" w:sz="4"/>
              <w:right w:val="single" w:color="000000" w:sz="4"/>
            </w:tcBorders>
            <w:vAlign w:val="top"/>
          </w:tcPr>
          <w:p>
            <w:pPr>
              <w:jc w:val="center"/>
            </w:pPr>
          </w:p>
        </w:tc>
        <w:tc>
          <w:tcPr>
            <w:tcW w:type="dxa" w:w="2156"/>
            <w:tcBorders>
              <w:top w:val="none" w:color="000000" w:sz="4"/>
              <w:left w:val="single" w:color="000000" w:sz="4"/>
              <w:bottom w:val="single" w:color="000000" w:sz="4"/>
              <w:right w:val="single" w:color="000000" w:sz="4"/>
            </w:tcBorders>
            <w:vAlign w:val="top"/>
          </w:tcPr>
          <w:p>
            <w:pPr>
              <w:jc w:val="center"/>
            </w:pPr>
          </w:p>
        </w:tc>
        <w:tc>
          <w:tcPr>
            <w:tcW w:type="dxa" w:w="1944"/>
            <w:tcBorders>
              <w:top w:val="none" w:color="000000" w:sz="4"/>
              <w:left w:val="single" w:color="000000" w:sz="4"/>
              <w:bottom w:val="single" w:color="000000" w:sz="4"/>
              <w:right w:val="single" w:color="000000" w:sz="4"/>
            </w:tcBorders>
            <w:vAlign w:val="top"/>
          </w:tcPr>
          <w:p>
            <w:pPr>
              <w:jc w:val="center"/>
            </w:pPr>
          </w:p>
        </w:tc>
      </w:tr>
      <w:tr>
        <w:tc>
          <w:tcPr>
            <w:tcW w:type="dxa" w:w="1223"/>
            <w:tcBorders>
              <w:top w:val="none" w:color="000000" w:sz="4"/>
              <w:left w:val="single" w:color="000000" w:sz="4"/>
              <w:bottom w:val="single" w:color="000000" w:sz="4"/>
              <w:right w:val="single" w:color="000000" w:sz="4"/>
            </w:tcBorders>
            <w:vAlign w:val="top"/>
          </w:tcPr>
          <w:p>
            <w:pPr>
              <w:jc w:val="center"/>
            </w:pPr>
          </w:p>
        </w:tc>
        <w:tc>
          <w:tcPr>
            <w:tcW w:type="dxa" w:w="1894"/>
            <w:tcBorders>
              <w:top w:val="none" w:color="000000" w:sz="4"/>
              <w:left w:val="single" w:color="000000" w:sz="4"/>
              <w:bottom w:val="single" w:color="000000" w:sz="4"/>
              <w:right w:val="single" w:color="000000" w:sz="4"/>
            </w:tcBorders>
            <w:vAlign w:val="top"/>
          </w:tcPr>
          <w:p>
            <w:pPr>
              <w:jc w:val="center"/>
            </w:pPr>
          </w:p>
        </w:tc>
        <w:tc>
          <w:tcPr>
            <w:tcW w:type="dxa" w:w="1086"/>
            <w:tcBorders>
              <w:top w:val="none" w:color="000000" w:sz="4"/>
              <w:left w:val="single" w:color="000000" w:sz="4"/>
              <w:bottom w:val="single" w:color="000000" w:sz="4"/>
              <w:right w:val="single" w:color="000000" w:sz="4"/>
            </w:tcBorders>
            <w:vAlign w:val="top"/>
          </w:tcPr>
          <w:p>
            <w:r>
              <w:rPr>
                <w:sz w:val="19"/>
              </w:rPr>
              <w:t xml:space="preserve"> </w:t>
            </w:r>
          </w:p>
          <w:p>
            <w:pPr>
              <w:jc w:val="center"/>
            </w:pPr>
          </w:p>
        </w:tc>
        <w:tc>
          <w:tcPr>
            <w:tcW w:type="dxa" w:w="2156"/>
            <w:tcBorders>
              <w:top w:val="none" w:color="000000" w:sz="4"/>
              <w:left w:val="single" w:color="000000" w:sz="4"/>
              <w:bottom w:val="single" w:color="000000" w:sz="4"/>
              <w:right w:val="single" w:color="000000" w:sz="4"/>
            </w:tcBorders>
            <w:vAlign w:val="top"/>
          </w:tcPr>
          <w:p>
            <w:pPr>
              <w:jc w:val="center"/>
            </w:pPr>
          </w:p>
        </w:tc>
        <w:tc>
          <w:tcPr>
            <w:tcW w:type="dxa" w:w="1944"/>
            <w:tcBorders>
              <w:top w:val="none" w:color="000000" w:sz="4"/>
              <w:left w:val="single" w:color="000000" w:sz="4"/>
              <w:bottom w:val="single" w:color="000000" w:sz="4"/>
              <w:right w:val="single" w:color="000000" w:sz="4"/>
            </w:tcBorders>
            <w:vAlign w:val="top"/>
          </w:tcPr>
          <w:p>
            <w:pPr>
              <w:jc w:val="center"/>
            </w:pPr>
          </w:p>
        </w:tc>
      </w:tr>
      <w:tr>
        <w:tc>
          <w:tcPr>
            <w:tcW w:type="dxa" w:w="1223"/>
            <w:tcBorders>
              <w:top w:val="none" w:color="000000" w:sz="4"/>
              <w:left w:val="single" w:color="000000" w:sz="4"/>
              <w:bottom w:val="single" w:color="000000" w:sz="4"/>
              <w:right w:val="single" w:color="000000" w:sz="4"/>
            </w:tcBorders>
            <w:vAlign w:val="top"/>
          </w:tcPr>
          <w:p>
            <w:pPr>
              <w:jc w:val="center"/>
            </w:pPr>
          </w:p>
        </w:tc>
        <w:tc>
          <w:tcPr>
            <w:tcW w:type="dxa" w:w="1894"/>
            <w:tcBorders>
              <w:top w:val="none" w:color="000000" w:sz="4"/>
              <w:left w:val="single" w:color="000000" w:sz="4"/>
              <w:bottom w:val="single" w:color="000000" w:sz="4"/>
              <w:right w:val="single" w:color="000000" w:sz="4"/>
            </w:tcBorders>
            <w:vAlign w:val="top"/>
          </w:tcPr>
          <w:p>
            <w:pPr>
              <w:jc w:val="center"/>
            </w:pPr>
          </w:p>
        </w:tc>
        <w:tc>
          <w:tcPr>
            <w:tcW w:type="dxa" w:w="1086"/>
            <w:tcBorders>
              <w:top w:val="none" w:color="000000" w:sz="4"/>
              <w:left w:val="single" w:color="000000" w:sz="4"/>
              <w:bottom w:val="single" w:color="000000" w:sz="4"/>
              <w:right w:val="single" w:color="000000" w:sz="4"/>
            </w:tcBorders>
            <w:vAlign w:val="top"/>
          </w:tcPr>
          <w:p>
            <w:r>
              <w:rPr>
                <w:sz w:val="19"/>
              </w:rPr>
              <w:t xml:space="preserve"> </w:t>
            </w:r>
          </w:p>
          <w:p>
            <w:pPr>
              <w:jc w:val="center"/>
            </w:pPr>
          </w:p>
        </w:tc>
        <w:tc>
          <w:tcPr>
            <w:tcW w:type="dxa" w:w="2156"/>
            <w:tcBorders>
              <w:top w:val="none" w:color="000000" w:sz="4"/>
              <w:left w:val="single" w:color="000000" w:sz="4"/>
              <w:bottom w:val="single" w:color="000000" w:sz="4"/>
              <w:right w:val="single" w:color="000000" w:sz="4"/>
            </w:tcBorders>
            <w:vAlign w:val="top"/>
          </w:tcPr>
          <w:p>
            <w:pPr>
              <w:jc w:val="center"/>
            </w:pPr>
          </w:p>
        </w:tc>
        <w:tc>
          <w:tcPr>
            <w:tcW w:type="dxa" w:w="1944"/>
            <w:tcBorders>
              <w:top w:val="none" w:color="000000" w:sz="4"/>
              <w:left w:val="single" w:color="000000" w:sz="4"/>
              <w:bottom w:val="single" w:color="000000" w:sz="4"/>
              <w:right w:val="single" w:color="000000" w:sz="4"/>
            </w:tcBorders>
            <w:vAlign w:val="top"/>
          </w:tcPr>
          <w:p>
            <w:pPr>
              <w:jc w:val="center"/>
            </w:pPr>
          </w:p>
        </w:tc>
      </w:tr>
      <w:tr>
        <w:tc>
          <w:tcPr>
            <w:tcW w:type="dxa" w:w="1223"/>
            <w:tcBorders>
              <w:top w:val="none" w:color="000000" w:sz="4"/>
              <w:left w:val="single" w:color="000000" w:sz="4"/>
              <w:bottom w:val="single" w:color="000000" w:sz="4"/>
              <w:right w:val="single" w:color="000000" w:sz="4"/>
            </w:tcBorders>
            <w:vAlign w:val="top"/>
          </w:tcPr>
          <w:p>
            <w:pPr>
              <w:jc w:val="center"/>
            </w:pPr>
          </w:p>
        </w:tc>
        <w:tc>
          <w:tcPr>
            <w:tcW w:type="dxa" w:w="1894"/>
            <w:tcBorders>
              <w:top w:val="none" w:color="000000" w:sz="4"/>
              <w:left w:val="single" w:color="000000" w:sz="4"/>
              <w:bottom w:val="single" w:color="000000" w:sz="4"/>
              <w:right w:val="single" w:color="000000" w:sz="4"/>
            </w:tcBorders>
            <w:vAlign w:val="top"/>
          </w:tcPr>
          <w:p>
            <w:pPr>
              <w:jc w:val="center"/>
            </w:pPr>
          </w:p>
        </w:tc>
        <w:tc>
          <w:tcPr>
            <w:tcW w:type="dxa" w:w="1086"/>
            <w:tcBorders>
              <w:top w:val="none" w:color="000000" w:sz="4"/>
              <w:left w:val="single" w:color="000000" w:sz="4"/>
              <w:bottom w:val="single" w:color="000000" w:sz="4"/>
              <w:right w:val="single" w:color="000000" w:sz="4"/>
            </w:tcBorders>
            <w:vAlign w:val="top"/>
          </w:tcPr>
          <w:p>
            <w:r>
              <w:rPr>
                <w:sz w:val="19"/>
              </w:rPr>
              <w:t xml:space="preserve"> </w:t>
            </w:r>
          </w:p>
          <w:p>
            <w:pPr>
              <w:jc w:val="center"/>
            </w:pPr>
          </w:p>
        </w:tc>
        <w:tc>
          <w:tcPr>
            <w:tcW w:type="dxa" w:w="2156"/>
            <w:tcBorders>
              <w:top w:val="none" w:color="000000" w:sz="4"/>
              <w:left w:val="single" w:color="000000" w:sz="4"/>
              <w:bottom w:val="single" w:color="000000" w:sz="4"/>
              <w:right w:val="single" w:color="000000" w:sz="4"/>
            </w:tcBorders>
            <w:vAlign w:val="top"/>
          </w:tcPr>
          <w:p>
            <w:pPr>
              <w:jc w:val="center"/>
            </w:pPr>
          </w:p>
        </w:tc>
        <w:tc>
          <w:tcPr>
            <w:tcW w:type="dxa" w:w="1944"/>
            <w:tcBorders>
              <w:top w:val="none" w:color="000000" w:sz="4"/>
              <w:left w:val="single" w:color="000000" w:sz="4"/>
              <w:bottom w:val="single" w:color="000000" w:sz="4"/>
              <w:right w:val="single" w:color="000000" w:sz="4"/>
            </w:tcBorders>
            <w:vAlign w:val="top"/>
          </w:tcPr>
          <w:p>
            <w:pPr>
              <w:jc w:val="center"/>
            </w:pPr>
          </w:p>
        </w:tc>
      </w:tr>
    </w:tbl>
    <w:p>
      <w:r>
        <w:rPr/>
        <w:t xml:space="preserve"> </w:t>
      </w:r>
    </w:p>
    <w:p>
      <w:pPr>
        <w:ind w:firstLine="480"/>
        <w:jc w:val="both"/>
      </w:pPr>
      <w:r>
        <w:rPr>
          <w:sz w:val="24"/>
        </w:rPr>
        <w:t>2、合同单价已含税，具体金额以实际结算为准。</w:t>
      </w:r>
    </w:p>
    <w:p>
      <w:pPr>
        <w:ind w:firstLine="480"/>
        <w:jc w:val="both"/>
      </w:pPr>
      <w:r>
        <w:rPr>
          <w:sz w:val="24"/>
        </w:rPr>
        <w:t>3、试验费用从台架占用开始计时计费，涵盖调试、正式试验和因甲方的原因导致的台架停滞等待的所有时间。因乙方的原因导致的台架停滞等待的所有时间不予计费。</w:t>
      </w:r>
    </w:p>
    <w:p>
      <w:pPr>
        <w:ind w:firstLine="480"/>
        <w:jc w:val="both"/>
      </w:pPr>
      <w:r>
        <w:rPr>
          <w:sz w:val="24"/>
        </w:rPr>
        <w:t>4、当天因乙方原因导致的台架停滞等待时间超过2个小时，当天台架占用时间无最低占用时间要求，按实际计算，当天费用按实际占用时间计算。</w:t>
      </w:r>
    </w:p>
    <w:p>
      <w:pPr>
        <w:ind w:firstLine="480"/>
        <w:jc w:val="both"/>
      </w:pPr>
      <w:r>
        <w:rPr>
          <w:sz w:val="24"/>
        </w:rPr>
        <w:t>5、本合同约定的服务将分成多个阶段进行，每个阶段试验完成后可由双方共同协商进行费用结算，并且由双方共同协商下一阶段的试验任务和计划周期。</w:t>
      </w:r>
    </w:p>
    <w:p>
      <w:pPr>
        <w:ind w:firstLine="482"/>
        <w:jc w:val="both"/>
      </w:pPr>
      <w:r>
        <w:rPr>
          <w:b/>
          <w:sz w:val="24"/>
        </w:rPr>
        <w:t>第五条</w:t>
      </w:r>
      <w:r>
        <w:rPr>
          <w:b/>
          <w:sz w:val="24"/>
        </w:rPr>
        <w:t xml:space="preserve"> </w:t>
      </w:r>
      <w:r>
        <w:rPr>
          <w:b/>
          <w:sz w:val="24"/>
        </w:rPr>
        <w:t>技术标准和规范</w:t>
      </w:r>
    </w:p>
    <w:p>
      <w:pPr>
        <w:ind w:firstLine="480"/>
        <w:jc w:val="both"/>
      </w:pPr>
      <w:r>
        <w:rPr>
          <w:sz w:val="24"/>
        </w:rPr>
        <w:t>1、乙方按要求提供试验服务，并按要求提供试验服务过程记录单。</w:t>
      </w:r>
    </w:p>
    <w:p>
      <w:pPr>
        <w:ind w:firstLine="480"/>
        <w:jc w:val="both"/>
      </w:pPr>
      <w:r>
        <w:rPr>
          <w:sz w:val="24"/>
        </w:rPr>
        <w:t>2、乙方须按照国家、省、市、地方及行业主管部门发布的相关技术标准、规范和规定提供试验服务。但是，本合同约定的标准高于国家标准的，则按约定的标准执行。在既无约定的标准、亦无国家标准时，则按行业标准执行；无行业标准的，按商业惯例。</w:t>
      </w:r>
    </w:p>
    <w:p>
      <w:pPr>
        <w:ind w:firstLine="480"/>
        <w:jc w:val="both"/>
      </w:pPr>
      <w:r>
        <w:rPr>
          <w:sz w:val="24"/>
        </w:rPr>
        <w:t>3、乙方作为具有独立法人资格的第三方试验机构，应保证拥有提供本合同所约定试验服务的资质及设备，所提供的试验服务及过程记录单应当完全基于客观事实及第三方公正立场，不受货物供应商和其他方的干预与影响。</w:t>
      </w:r>
    </w:p>
    <w:p>
      <w:pPr>
        <w:ind w:firstLine="482"/>
        <w:jc w:val="both"/>
      </w:pPr>
      <w:r>
        <w:rPr>
          <w:b/>
          <w:sz w:val="24"/>
        </w:rPr>
        <w:t>第六条</w:t>
      </w:r>
      <w:r>
        <w:rPr>
          <w:b/>
          <w:sz w:val="24"/>
        </w:rPr>
        <w:t xml:space="preserve"> </w:t>
      </w:r>
      <w:r>
        <w:rPr>
          <w:b/>
          <w:sz w:val="24"/>
        </w:rPr>
        <w:t>合同期限、试验地点</w:t>
      </w:r>
    </w:p>
    <w:p>
      <w:pPr>
        <w:ind w:firstLine="480"/>
        <w:jc w:val="both"/>
      </w:pPr>
      <w:r>
        <w:rPr>
          <w:sz w:val="24"/>
        </w:rPr>
        <w:t>1、按照双方确认的时间计划完成试验设备的准备。</w:t>
      </w:r>
    </w:p>
    <w:p>
      <w:pPr>
        <w:ind w:firstLine="480"/>
        <w:jc w:val="both"/>
      </w:pPr>
      <w:r>
        <w:rPr>
          <w:sz w:val="24"/>
        </w:rPr>
        <w:t>2、试验地点：乙方提供的测试试验台。</w:t>
      </w:r>
    </w:p>
    <w:p>
      <w:pPr>
        <w:ind w:firstLine="480"/>
        <w:jc w:val="both"/>
      </w:pPr>
      <w:r>
        <w:rPr>
          <w:sz w:val="24"/>
        </w:rPr>
        <w:t>3、乙方在试验服务工作完成后</w:t>
      </w:r>
      <w:r>
        <w:rPr>
          <w:sz w:val="24"/>
          <w:u w:val="single"/>
        </w:rPr>
        <w:t xml:space="preserve"> </w:t>
      </w:r>
      <w:r>
        <w:rPr>
          <w:sz w:val="24"/>
          <w:u w:val="single"/>
        </w:rPr>
        <w:t>5</w:t>
      </w:r>
      <w:r>
        <w:rPr>
          <w:sz w:val="24"/>
        </w:rPr>
        <w:t>个工作日内向甲方出具正式的过程记录单，经双方确认无误后签字确认（一式</w:t>
      </w:r>
      <w:r>
        <w:rPr>
          <w:sz w:val="24"/>
          <w:u w:val="single"/>
        </w:rPr>
        <w:t xml:space="preserve">    </w:t>
      </w:r>
      <w:r>
        <w:rPr>
          <w:sz w:val="24"/>
          <w:u w:val="single"/>
        </w:rPr>
        <w:t>份</w:t>
      </w:r>
      <w:r>
        <w:rPr>
          <w:sz w:val="24"/>
        </w:rPr>
        <w:t>）。</w:t>
      </w:r>
    </w:p>
    <w:p>
      <w:pPr>
        <w:ind w:firstLine="480"/>
        <w:jc w:val="both"/>
      </w:pPr>
      <w:r>
        <w:rPr>
          <w:sz w:val="24"/>
        </w:rPr>
        <w:t>4、</w:t>
      </w:r>
      <w:r>
        <w:rPr>
          <w:sz w:val="24"/>
        </w:rPr>
        <w:t>服务期限：自</w:t>
      </w:r>
      <w:r>
        <w:rPr>
          <w:sz w:val="21"/>
        </w:rPr>
        <w:t xml:space="preserve">  </w:t>
      </w:r>
      <w:r>
        <w:rPr>
          <w:sz w:val="24"/>
        </w:rPr>
        <w:t>年</w:t>
      </w:r>
      <w:r>
        <w:rPr>
          <w:sz w:val="21"/>
        </w:rPr>
        <w:t xml:space="preserve"> </w:t>
      </w:r>
      <w:r>
        <w:rPr>
          <w:sz w:val="24"/>
        </w:rPr>
        <w:t>月</w:t>
      </w:r>
      <w:r>
        <w:rPr>
          <w:sz w:val="21"/>
        </w:rPr>
        <w:t xml:space="preserve"> </w:t>
      </w:r>
      <w:r>
        <w:rPr>
          <w:sz w:val="24"/>
        </w:rPr>
        <w:t>日起至</w:t>
      </w:r>
      <w:r>
        <w:rPr>
          <w:sz w:val="21"/>
        </w:rPr>
        <w:t xml:space="preserve">    </w:t>
      </w:r>
      <w:r>
        <w:rPr>
          <w:sz w:val="24"/>
        </w:rPr>
        <w:t>年</w:t>
      </w:r>
      <w:r>
        <w:rPr>
          <w:sz w:val="21"/>
        </w:rPr>
        <w:t xml:space="preserve"> </w:t>
      </w:r>
      <w:r>
        <w:rPr>
          <w:sz w:val="24"/>
        </w:rPr>
        <w:t>月</w:t>
      </w:r>
      <w:r>
        <w:rPr>
          <w:sz w:val="21"/>
        </w:rPr>
        <w:t xml:space="preserve"> </w:t>
      </w:r>
      <w:r>
        <w:rPr>
          <w:sz w:val="24"/>
        </w:rPr>
        <w:t>日止。</w:t>
      </w:r>
    </w:p>
    <w:p>
      <w:pPr>
        <w:ind w:firstLine="482"/>
        <w:jc w:val="both"/>
      </w:pPr>
      <w:r>
        <w:rPr>
          <w:b/>
          <w:sz w:val="24"/>
        </w:rPr>
        <w:t>第七条</w:t>
      </w:r>
      <w:r>
        <w:rPr>
          <w:b/>
          <w:sz w:val="24"/>
        </w:rPr>
        <w:t xml:space="preserve"> </w:t>
      </w:r>
      <w:r>
        <w:rPr>
          <w:b/>
          <w:sz w:val="24"/>
        </w:rPr>
        <w:t>甲方权利和义务</w:t>
      </w:r>
    </w:p>
    <w:p>
      <w:pPr>
        <w:jc w:val="both"/>
      </w:pPr>
      <w:r>
        <w:rPr>
          <w:b/>
          <w:sz w:val="21"/>
        </w:rPr>
        <w:t xml:space="preserve">    </w:t>
      </w:r>
      <w:r>
        <w:rPr>
          <w:sz w:val="24"/>
        </w:rPr>
        <w:t>1、甲方负责按照合同规定或双方约定的时间、地点、交付方式、数量提供试验试验样品、试验备件以及试验需要的技术资料。</w:t>
      </w:r>
    </w:p>
    <w:p>
      <w:pPr>
        <w:ind w:firstLine="480"/>
        <w:jc w:val="both"/>
      </w:pPr>
      <w:r>
        <w:rPr>
          <w:sz w:val="24"/>
        </w:rPr>
        <w:t>2、甲方有权依照合同约定要求乙方严格按照合同要求提供测试环境、设备、设备维护人员。</w:t>
      </w:r>
    </w:p>
    <w:p>
      <w:pPr>
        <w:jc w:val="both"/>
      </w:pPr>
      <w:r>
        <w:rPr>
          <w:sz w:val="24"/>
        </w:rPr>
        <w:t xml:space="preserve">    </w:t>
      </w:r>
      <w:r>
        <w:rPr>
          <w:sz w:val="24"/>
        </w:rPr>
        <w:t>3、甲方发现乙方未能按照本合同履行义务给甲方造成损失的，有权要求乙方更换相关设备或人员并赔偿甲方的损失。</w:t>
      </w:r>
    </w:p>
    <w:p>
      <w:pPr>
        <w:ind w:firstLine="480"/>
        <w:jc w:val="both"/>
      </w:pPr>
      <w:r>
        <w:rPr>
          <w:sz w:val="24"/>
        </w:rPr>
        <w:t>4、甲方有权要求乙方及时对设备进行维护，严谨依照客观事实进行测试过程记录。</w:t>
      </w:r>
    </w:p>
    <w:p>
      <w:pPr>
        <w:ind w:firstLine="480"/>
        <w:jc w:val="both"/>
      </w:pPr>
      <w:r>
        <w:rPr>
          <w:sz w:val="24"/>
        </w:rPr>
        <w:t>5、甲方对其他辅助设备有需求的，可提前1-2天和乙方预约使用，在收到甲方预约使用通知后，乙方在</w:t>
      </w:r>
      <w:r>
        <w:rPr>
          <w:sz w:val="21"/>
          <w:u w:val="single"/>
        </w:rPr>
        <w:t xml:space="preserve">    </w:t>
      </w:r>
      <w:r>
        <w:rPr>
          <w:sz w:val="24"/>
        </w:rPr>
        <w:t>天内协调设备资源供甲方使用。</w:t>
      </w:r>
    </w:p>
    <w:p>
      <w:pPr>
        <w:ind w:firstLine="480"/>
        <w:jc w:val="both"/>
      </w:pPr>
      <w:r>
        <w:rPr>
          <w:sz w:val="24"/>
        </w:rPr>
        <w:t>6、甲方有权根据实际工作情况对试验时长等进行调整，但应提前通知乙方。</w:t>
      </w:r>
    </w:p>
    <w:p>
      <w:pPr>
        <w:ind w:firstLine="482"/>
        <w:jc w:val="both"/>
      </w:pPr>
      <w:r>
        <w:rPr>
          <w:b/>
          <w:sz w:val="24"/>
        </w:rPr>
        <w:t>第八条</w:t>
      </w:r>
      <w:r>
        <w:rPr>
          <w:b/>
          <w:sz w:val="24"/>
        </w:rPr>
        <w:t xml:space="preserve"> </w:t>
      </w:r>
      <w:r>
        <w:rPr>
          <w:b/>
          <w:sz w:val="24"/>
        </w:rPr>
        <w:t>乙方权利和义务</w:t>
      </w:r>
    </w:p>
    <w:p>
      <w:pPr>
        <w:ind w:firstLine="480"/>
        <w:jc w:val="both"/>
      </w:pPr>
      <w:r>
        <w:rPr>
          <w:sz w:val="24"/>
        </w:rPr>
        <w:t>1、乙方应严格按照双方确认的试验任务单进行测试准备，按照本合同约定做好各项工作。</w:t>
      </w:r>
    </w:p>
    <w:p>
      <w:pPr>
        <w:ind w:firstLine="480"/>
        <w:jc w:val="both"/>
      </w:pPr>
      <w:r>
        <w:rPr>
          <w:sz w:val="24"/>
        </w:rPr>
        <w:t>2、乙方应协助甲方妥善保管甲方试验试验样品，不得私自用于试验试验以外的任何用途。如因乙方故意或重大过失等原因造成样品的损坏，由乙方负责修复或更换，并向甲方赔偿由此造成的直接损失。</w:t>
      </w:r>
    </w:p>
    <w:p>
      <w:pPr>
        <w:ind w:firstLine="480"/>
        <w:jc w:val="both"/>
      </w:pPr>
      <w:r>
        <w:rPr>
          <w:sz w:val="24"/>
        </w:rPr>
        <w:t>3、乙方应提供满足甲方要求的测试环境、设备、设备维护人员，负责试验设备的维护保养与校验。</w:t>
      </w:r>
    </w:p>
    <w:p>
      <w:pPr>
        <w:ind w:firstLine="480"/>
        <w:jc w:val="both"/>
      </w:pPr>
      <w:r>
        <w:rPr>
          <w:sz w:val="24"/>
        </w:rPr>
        <w:t>4、乙方应严格按照甲方要求、有关技术规范和标准设置设备参数，甲方须至少在试验开始前</w:t>
      </w:r>
      <w:r>
        <w:rPr>
          <w:sz w:val="21"/>
          <w:u w:val="single"/>
        </w:rPr>
        <w:t xml:space="preserve">     </w:t>
      </w:r>
      <w:r>
        <w:rPr>
          <w:sz w:val="24"/>
        </w:rPr>
        <w:t>天，以书面形式向乙方提出设备参数的设置要求，以便乙方提前调试台架。</w:t>
      </w:r>
    </w:p>
    <w:p>
      <w:pPr>
        <w:ind w:firstLine="480"/>
        <w:jc w:val="both"/>
      </w:pPr>
      <w:r>
        <w:rPr>
          <w:sz w:val="24"/>
        </w:rPr>
        <w:t>5、乙方应当积极配合甲方对试验服务过程使用时长与消耗品数量的监督，如实计算试验费用。</w:t>
      </w:r>
    </w:p>
    <w:p>
      <w:pPr>
        <w:ind w:firstLine="480"/>
        <w:jc w:val="both"/>
      </w:pPr>
      <w:r>
        <w:rPr>
          <w:sz w:val="24"/>
        </w:rPr>
        <w:t>6、若乙方原因造成试验结果不准确，甲方有权追究乙方责任。</w:t>
      </w:r>
    </w:p>
    <w:p>
      <w:pPr>
        <w:ind w:firstLine="480"/>
        <w:jc w:val="both"/>
      </w:pPr>
      <w:r>
        <w:rPr>
          <w:sz w:val="24"/>
        </w:rPr>
        <w:t>7、在试验工作中，乙方</w:t>
      </w:r>
      <w:r>
        <w:rPr>
          <w:sz w:val="24"/>
        </w:rPr>
        <w:t>应严格执行试验室规章制度，</w:t>
      </w:r>
      <w:r>
        <w:rPr>
          <w:sz w:val="24"/>
        </w:rPr>
        <w:t>负责对</w:t>
      </w:r>
      <w:r>
        <w:rPr>
          <w:sz w:val="24"/>
        </w:rPr>
        <w:t>试验</w:t>
      </w:r>
      <w:r>
        <w:rPr>
          <w:sz w:val="24"/>
        </w:rPr>
        <w:t>人员进行培训及安全教育，否则所有安全事故责任由乙方承担。由乙方</w:t>
      </w:r>
      <w:r>
        <w:rPr>
          <w:sz w:val="24"/>
        </w:rPr>
        <w:t>原因</w:t>
      </w:r>
      <w:r>
        <w:rPr>
          <w:sz w:val="24"/>
        </w:rPr>
        <w:t>导致的安全事故，由乙方承担全部损失。</w:t>
      </w:r>
    </w:p>
    <w:p>
      <w:pPr>
        <w:ind w:firstLine="480"/>
        <w:jc w:val="both"/>
      </w:pPr>
      <w:r>
        <w:rPr>
          <w:sz w:val="24"/>
        </w:rPr>
        <w:t>8、乙方应及时解答甲方人员的问题咨询。</w:t>
      </w:r>
    </w:p>
    <w:p>
      <w:pPr>
        <w:ind w:firstLine="480"/>
        <w:jc w:val="both"/>
      </w:pPr>
      <w:r>
        <w:rPr>
          <w:sz w:val="24"/>
        </w:rPr>
        <w:t>9、因乙方原因造成乙方人员伤亡以及对财产（包含但不限于设备、材料）的损失和损坏，均由乙方自行承担。</w:t>
      </w:r>
    </w:p>
    <w:p>
      <w:pPr>
        <w:ind w:firstLine="480"/>
        <w:jc w:val="both"/>
      </w:pPr>
      <w:r>
        <w:rPr>
          <w:b/>
          <w:sz w:val="24"/>
        </w:rPr>
        <w:t>第九条　保密条款</w:t>
      </w:r>
    </w:p>
    <w:p>
      <w:pPr>
        <w:ind w:firstLine="482"/>
        <w:jc w:val="both"/>
      </w:pPr>
      <w:r>
        <w:rPr>
          <w:sz w:val="24"/>
        </w:rPr>
        <w:t>1、保密信息接收方应当对从披露方处有意或无意间获得的商业秘密和技术秘密等保密信息进行严格保密（包括但不限于专利或非专利技术、专有技术、发明、商业秘密、设计、工艺、配方、软件、硬件、配置、图纸、设计图、说明书、指南、操作说明、手册、财务信息、业务计划和战略、销售信息、客户信息和所有其他类似信息等等。双方就合作进行的任何正式或非正式讨论均纳入保密信息定义涵盖的范围内，并应被保密）。</w:t>
      </w:r>
    </w:p>
    <w:p>
      <w:pPr>
        <w:ind w:firstLine="482"/>
        <w:jc w:val="both"/>
      </w:pPr>
      <w:r>
        <w:rPr>
          <w:sz w:val="24"/>
        </w:rPr>
        <w:t>2、保密信息接收方未经披露方许可，不得以任何形式向任何第三方泄露。双方约定，无论本合同是否变更、解除、终止，本条款均有效。甲方可以要求乙方随时删除与本试验有关的电子数据，但在执行前需要有书面或电子邮件形式通知。未经甲方书面同意，乙方不得对甲方试验数据进行擅自拷贝或给他人查看复制。</w:t>
      </w:r>
    </w:p>
    <w:p>
      <w:pPr>
        <w:ind w:firstLine="480"/>
        <w:jc w:val="both"/>
      </w:pPr>
      <w:r>
        <w:rPr>
          <w:b/>
          <w:sz w:val="24"/>
        </w:rPr>
        <w:t>第十条</w:t>
      </w:r>
      <w:r>
        <w:rPr>
          <w:b/>
          <w:sz w:val="24"/>
        </w:rPr>
        <w:t xml:space="preserve"> </w:t>
      </w:r>
      <w:r>
        <w:rPr>
          <w:b/>
          <w:sz w:val="24"/>
        </w:rPr>
        <w:t>结算与支付方式</w:t>
      </w:r>
    </w:p>
    <w:p>
      <w:pPr>
        <w:ind w:firstLine="480"/>
        <w:jc w:val="both"/>
      </w:pPr>
      <w:r>
        <w:rPr>
          <w:sz w:val="24"/>
        </w:rPr>
        <w:t>1、试验服务结束且出具正式的过程记录单（签字）后，双方据此结合具体试验服务的收费标准结算，双方最终结算后，乙方应向甲方提交相关《付款申请书》，甲方在确认无误且收到乙方开具的发票后20个工作日内向乙方支付服务款项。收款方、出具发票方必须与乙方名称一致。</w:t>
      </w:r>
    </w:p>
    <w:p>
      <w:pPr>
        <w:ind w:firstLine="480"/>
        <w:jc w:val="both"/>
      </w:pPr>
      <w:r>
        <w:rPr>
          <w:sz w:val="24"/>
        </w:rPr>
        <w:t>2</w:t>
      </w:r>
      <w:r>
        <w:rPr>
          <w:sz w:val="24"/>
        </w:rPr>
        <w:t>、乙方未按约定的时限向甲方提交结算申请，未提供有效、完整齐备的发票、票据、单证或凭证或《付款申请书》等文件的，则合同款之支付时间顺延且甲方不负违约责任。</w:t>
      </w:r>
    </w:p>
    <w:p>
      <w:pPr>
        <w:ind w:firstLine="482"/>
        <w:jc w:val="both"/>
      </w:pPr>
      <w:r>
        <w:rPr>
          <w:b/>
          <w:sz w:val="24"/>
        </w:rPr>
        <w:t>第十一条　</w:t>
      </w:r>
      <w:r>
        <w:rPr>
          <w:b/>
          <w:sz w:val="24"/>
        </w:rPr>
        <w:t>合同的变更、中止、解除</w:t>
      </w:r>
    </w:p>
    <w:p>
      <w:pPr>
        <w:ind w:firstLine="480"/>
        <w:jc w:val="both"/>
      </w:pPr>
      <w:r>
        <w:rPr>
          <w:sz w:val="24"/>
        </w:rPr>
        <w:t>1、本合同一经订立，即具有法律约束力；各方均不得擅自变更、中止或者解除。</w:t>
      </w:r>
    </w:p>
    <w:p>
      <w:pPr>
        <w:ind w:firstLine="480"/>
        <w:jc w:val="both"/>
      </w:pPr>
      <w:r>
        <w:rPr>
          <w:sz w:val="24"/>
        </w:rPr>
        <w:t>2、乙方有下列情形之一的，甲方有权单方解除合同：</w:t>
      </w:r>
    </w:p>
    <w:p>
      <w:pPr>
        <w:ind w:firstLine="480"/>
        <w:jc w:val="both"/>
      </w:pPr>
      <w:r>
        <w:rPr>
          <w:sz w:val="24"/>
        </w:rPr>
        <w:t>(1)逾期三十天仍未完成试验项目、出具试验报告等工作的；</w:t>
      </w:r>
    </w:p>
    <w:p>
      <w:pPr>
        <w:ind w:firstLine="480"/>
        <w:jc w:val="both"/>
      </w:pPr>
      <w:r>
        <w:rPr>
          <w:sz w:val="24"/>
        </w:rPr>
        <w:t>(2)</w:t>
      </w:r>
      <w:r>
        <w:rPr>
          <w:sz w:val="24"/>
        </w:rPr>
        <w:t>乙方擅自将本合同部分或全部义务进行转让的</w:t>
      </w:r>
      <w:r>
        <w:rPr>
          <w:sz w:val="24"/>
        </w:rPr>
        <w:t>；</w:t>
      </w:r>
    </w:p>
    <w:p>
      <w:pPr>
        <w:ind w:firstLine="480"/>
        <w:jc w:val="both"/>
      </w:pPr>
      <w:r>
        <w:rPr>
          <w:sz w:val="24"/>
        </w:rPr>
        <w:t>(3)乙方提供的服务不符合本合同约定的；</w:t>
      </w:r>
    </w:p>
    <w:p>
      <w:pPr>
        <w:jc w:val="both"/>
      </w:pPr>
      <w:r>
        <w:rPr>
          <w:sz w:val="24"/>
        </w:rPr>
        <w:t xml:space="preserve">    </w:t>
      </w:r>
      <w:r>
        <w:rPr>
          <w:sz w:val="24"/>
        </w:rPr>
        <w:t>(4)乙方在试验服务过程中存在舞弊、泄露信息等严重违约行为的；</w:t>
      </w:r>
    </w:p>
    <w:p>
      <w:pPr>
        <w:jc w:val="both"/>
      </w:pPr>
      <w:r>
        <w:rPr>
          <w:sz w:val="24"/>
        </w:rPr>
        <w:t xml:space="preserve">    </w:t>
      </w:r>
      <w:r>
        <w:rPr>
          <w:sz w:val="24"/>
        </w:rPr>
        <w:t>(5)乙方在试验服务过程中与被试验货物的供应商串通舞弊，影响试验结果准确性，或给甲方造成损失的；</w:t>
      </w:r>
    </w:p>
    <w:p>
      <w:pPr>
        <w:ind w:firstLine="480"/>
        <w:jc w:val="both"/>
      </w:pPr>
      <w:r>
        <w:rPr>
          <w:sz w:val="24"/>
        </w:rPr>
        <w:t>(6)乙方违反本合同关于权利瑕疵担保约定的；</w:t>
      </w:r>
    </w:p>
    <w:p>
      <w:pPr>
        <w:ind w:firstLine="480"/>
        <w:jc w:val="both"/>
      </w:pPr>
      <w:r>
        <w:rPr>
          <w:sz w:val="24"/>
        </w:rPr>
        <w:t>(7)其他符合法律规定或符合本合同其它约定情形的。</w:t>
      </w:r>
    </w:p>
    <w:p>
      <w:pPr>
        <w:ind w:firstLine="480"/>
        <w:jc w:val="both"/>
      </w:pPr>
      <w:r>
        <w:rPr>
          <w:sz w:val="24"/>
        </w:rPr>
        <w:t>3、甲方有下列情形之一的，乙方有权单方解除合同：</w:t>
      </w:r>
    </w:p>
    <w:p>
      <w:pPr>
        <w:ind w:firstLine="480"/>
        <w:jc w:val="both"/>
      </w:pPr>
      <w:r>
        <w:rPr>
          <w:sz w:val="24"/>
        </w:rPr>
        <w:t>(1)无正当理由，拒绝接收试验服务过程记录单而经其书面催告且在催告期届满甲方不作答复的；</w:t>
      </w:r>
    </w:p>
    <w:p>
      <w:pPr>
        <w:ind w:firstLine="480"/>
        <w:jc w:val="both"/>
      </w:pPr>
      <w:r>
        <w:rPr>
          <w:sz w:val="24"/>
        </w:rPr>
        <w:t>(2)无正当理由，拒付服务费而经其书面催告且在催告期届满甲方不作答复的；</w:t>
      </w:r>
    </w:p>
    <w:p>
      <w:pPr>
        <w:ind w:firstLine="480"/>
        <w:jc w:val="both"/>
      </w:pPr>
      <w:r>
        <w:rPr>
          <w:sz w:val="24"/>
        </w:rPr>
        <w:t>(3)其他符合法律规定情形的。</w:t>
      </w:r>
    </w:p>
    <w:p>
      <w:pPr>
        <w:ind w:firstLine="482"/>
        <w:jc w:val="both"/>
      </w:pPr>
      <w:r>
        <w:rPr>
          <w:b/>
          <w:sz w:val="24"/>
        </w:rPr>
        <w:t>第十二条</w:t>
      </w:r>
      <w:r>
        <w:rPr>
          <w:b/>
          <w:sz w:val="24"/>
        </w:rPr>
        <w:t xml:space="preserve"> </w:t>
      </w:r>
      <w:r>
        <w:rPr>
          <w:b/>
          <w:sz w:val="24"/>
        </w:rPr>
        <w:t>不可抗力</w:t>
      </w:r>
    </w:p>
    <w:p>
      <w:pPr>
        <w:ind w:firstLine="480"/>
        <w:jc w:val="both"/>
      </w:pPr>
      <w:r>
        <w:rPr>
          <w:sz w:val="24"/>
        </w:rPr>
        <w:t>1、任何一方对于因不可抗力而造成合同</w:t>
      </w:r>
      <w:r>
        <w:rPr>
          <w:sz w:val="24"/>
        </w:rPr>
        <w:t>部分或全部</w:t>
      </w:r>
      <w:r>
        <w:rPr>
          <w:sz w:val="24"/>
        </w:rPr>
        <w:t>不能履行的，不承担违约责任，但如因一方违约而致合同履行延期并在延期阶段遭遇不可抗力的，则不得以不可抗力为由主张其免除履行责任、违约责任或损害赔偿责任。</w:t>
      </w:r>
    </w:p>
    <w:p>
      <w:pPr>
        <w:ind w:firstLine="480"/>
        <w:jc w:val="both"/>
      </w:pPr>
      <w:r>
        <w:rPr>
          <w:sz w:val="24"/>
        </w:rPr>
        <w:t>2、遭受不可抗力事件的一方应在</w:t>
      </w:r>
      <w:r>
        <w:rPr>
          <w:sz w:val="24"/>
          <w:u w:val="single"/>
        </w:rPr>
        <w:t xml:space="preserve"> 24 </w:t>
      </w:r>
      <w:r>
        <w:rPr>
          <w:sz w:val="24"/>
        </w:rPr>
        <w:t>小时内将事件情况用可能的最快捷的方式通知对方本合同有关事项不能履行或不能完全履行以避免对方损失的扩大，在该不可抗力事件发生之日起的</w:t>
      </w:r>
      <w:r>
        <w:rPr>
          <w:sz w:val="24"/>
          <w:u w:val="single"/>
        </w:rPr>
        <w:t>14</w:t>
      </w:r>
      <w:r>
        <w:rPr>
          <w:sz w:val="24"/>
        </w:rPr>
        <w:t>日内给对方寄送一份由国家机关出具的不可抗力事件证明书</w:t>
      </w:r>
      <w:r>
        <w:rPr>
          <w:sz w:val="24"/>
        </w:rPr>
        <w:t>,并以书面报告说明该事件的细节和不能履行或部分不能履行或延迟履行本合同的事因后，由合同双方协商确定是否延期履行、部分履行或者解除合同，并根据情况可部分或全部免于承担违约或赔偿责任。</w:t>
      </w:r>
    </w:p>
    <w:p>
      <w:pPr>
        <w:ind w:firstLine="480"/>
        <w:jc w:val="both"/>
      </w:pPr>
      <w:r>
        <w:rPr>
          <w:sz w:val="24"/>
        </w:rPr>
        <w:t>前述</w:t>
      </w:r>
      <w:r>
        <w:rPr>
          <w:sz w:val="24"/>
        </w:rPr>
        <w:t>“不可抗力事件”应指不可预见、不可避免或克服的，阻碍合同任何一方履行全部或部分工作的事件。不可抗力事件应包括：（a） 任何自然灾害，包括但不限于地震、台风、洪水、海啸、泥石流、火灾等；（b）任何战争或敌对行为，包括但不限于战争、武装冲突、封锁、恐怖袭击、网络攻击等；（c）任何核事故；（d）任何重大流性疫病；（e）罢工、暴乱； (f) 任何政府行为、法令的变更；或(g) 遭遇不可抗力事件一方或其供应商无法合理预见、防止、控制的任何其他原由。</w:t>
      </w:r>
    </w:p>
    <w:p>
      <w:pPr>
        <w:ind w:firstLine="480"/>
        <w:jc w:val="both"/>
      </w:pPr>
      <w:r>
        <w:rPr>
          <w:sz w:val="24"/>
        </w:rPr>
        <w:t>3、</w:t>
      </w:r>
      <w:r>
        <w:rPr>
          <w:sz w:val="24"/>
        </w:rPr>
        <w:t>因不可抗力导致本合同无法履行或合同目的无法实现，经双方协商一致，可以解除合同。</w:t>
      </w:r>
    </w:p>
    <w:p>
      <w:pPr>
        <w:jc w:val="both"/>
      </w:pPr>
      <w:r>
        <w:rPr>
          <w:b/>
          <w:sz w:val="24"/>
        </w:rPr>
        <w:t>第十三条　违约责任</w:t>
      </w:r>
    </w:p>
    <w:p>
      <w:pPr>
        <w:ind w:firstLine="480"/>
        <w:jc w:val="both"/>
      </w:pPr>
      <w:r>
        <w:rPr>
          <w:sz w:val="24"/>
        </w:rPr>
        <w:t>1</w:t>
      </w:r>
      <w:r>
        <w:rPr>
          <w:sz w:val="24"/>
        </w:rPr>
        <w:t>、甲方无正当理由拒绝接受服务的，应向乙方支付合同总价</w:t>
      </w:r>
      <w:r>
        <w:rPr>
          <w:sz w:val="24"/>
          <w:u w:val="single"/>
        </w:rPr>
        <w:t xml:space="preserve">  </w:t>
      </w:r>
      <w:r>
        <w:rPr>
          <w:sz w:val="24"/>
          <w:u w:val="single"/>
        </w:rPr>
        <w:t>百分之三　</w:t>
      </w:r>
      <w:r>
        <w:rPr>
          <w:sz w:val="24"/>
        </w:rPr>
        <w:t>的违约金。</w:t>
      </w:r>
    </w:p>
    <w:p>
      <w:pPr>
        <w:ind w:firstLine="480"/>
        <w:jc w:val="both"/>
      </w:pPr>
      <w:r>
        <w:rPr>
          <w:sz w:val="24"/>
        </w:rPr>
        <w:t>2</w:t>
      </w:r>
      <w:r>
        <w:rPr>
          <w:sz w:val="24"/>
        </w:rPr>
        <w:t>、甲方无正当理由逾期付款的，每逾期一天应向乙方支付应付而未付价款的</w:t>
      </w:r>
      <w:r>
        <w:rPr>
          <w:sz w:val="24"/>
          <w:u w:val="single"/>
        </w:rPr>
        <w:t>　万分之三　</w:t>
      </w:r>
      <w:r>
        <w:rPr>
          <w:sz w:val="24"/>
        </w:rPr>
        <w:t>的违约金。</w:t>
      </w:r>
    </w:p>
    <w:p>
      <w:pPr>
        <w:ind w:firstLine="480"/>
        <w:jc w:val="both"/>
      </w:pPr>
      <w:r>
        <w:rPr>
          <w:sz w:val="24"/>
        </w:rPr>
        <w:t>3</w:t>
      </w:r>
      <w:r>
        <w:rPr>
          <w:sz w:val="24"/>
        </w:rPr>
        <w:t>、除不可抗力或甲方未按合同规定及时付款外，乙方未能按本合同规定的时间提供试验服务并出具测试过程记录单，或者因乙方的台架、设备、操作人员不专业等原因，造成了对甲方试验项目的延期的，乙方应向甲方支付违约金，并必须在甲乙双方重新协商确定的期限内试验。每逾期一日，违约金按照该批试验服务总价款的</w:t>
      </w:r>
      <w:r>
        <w:rPr>
          <w:sz w:val="24"/>
          <w:u w:val="single"/>
        </w:rPr>
        <w:t>万分之五</w:t>
      </w:r>
      <w:r>
        <w:rPr>
          <w:sz w:val="24"/>
        </w:rPr>
        <w:t>计算，乙方同意甲方可以直接从该批应付服务费余款中抵扣该违约金。不足以弥补甲方损失的，乙方还应承担相应的赔偿责任。</w:t>
      </w:r>
    </w:p>
    <w:p>
      <w:pPr>
        <w:ind w:firstLine="480"/>
        <w:jc w:val="both"/>
      </w:pPr>
      <w:r>
        <w:rPr>
          <w:sz w:val="24"/>
        </w:rPr>
        <w:t>4、若乙方逾期超过三十天仍未提供测试环境和设备或出具测试过程记录单</w:t>
      </w:r>
      <w:r>
        <w:rPr>
          <w:sz w:val="24"/>
        </w:rPr>
        <w:t>等工作的</w:t>
      </w:r>
      <w:r>
        <w:rPr>
          <w:sz w:val="24"/>
        </w:rPr>
        <w:t>，甲方有权单方解除合同，解除合同的通知自到达乙方时生效，甲方有权拒绝支付该批试验服务价款，同时乙方还应另行按该批试验服务总价款的</w:t>
      </w:r>
      <w:r>
        <w:rPr>
          <w:sz w:val="24"/>
          <w:u w:val="single"/>
        </w:rPr>
        <w:t>　百分之二十　</w:t>
      </w:r>
      <w:r>
        <w:rPr>
          <w:sz w:val="24"/>
        </w:rPr>
        <w:t>向甲方支付违约金。</w:t>
      </w:r>
    </w:p>
    <w:p>
      <w:pPr>
        <w:ind w:firstLine="480"/>
        <w:jc w:val="both"/>
      </w:pPr>
      <w:r>
        <w:rPr>
          <w:sz w:val="24"/>
        </w:rPr>
        <w:t>5</w:t>
      </w:r>
      <w:r>
        <w:rPr>
          <w:sz w:val="24"/>
        </w:rPr>
        <w:t>、乙方在试验服务过程中如因乙方设备原因造成甲方提供的货物样品缺陷、损害、报废，乙方应当无偿更换或修理，并承担一切费用。</w:t>
      </w:r>
    </w:p>
    <w:p>
      <w:pPr>
        <w:ind w:firstLine="480"/>
        <w:jc w:val="both"/>
      </w:pPr>
      <w:r>
        <w:rPr>
          <w:sz w:val="24"/>
        </w:rPr>
        <w:t>6</w:t>
      </w:r>
      <w:r>
        <w:rPr>
          <w:sz w:val="24"/>
        </w:rPr>
        <w:t>、乙方在试验服务过程中不按照本合同及有关技术规范进行设备维护、校验，影响试验结果公正的，乙方应进行更正或免费重新进行试验，甲方有权按该批试验服务总价款的</w:t>
      </w:r>
      <w:r>
        <w:rPr>
          <w:sz w:val="24"/>
          <w:u w:val="single"/>
        </w:rPr>
        <w:t>百分之三十</w:t>
      </w:r>
      <w:r>
        <w:rPr>
          <w:sz w:val="24"/>
        </w:rPr>
        <w:t>的标准要求乙方支付违约金。</w:t>
      </w:r>
    </w:p>
    <w:p>
      <w:pPr>
        <w:ind w:firstLine="480"/>
        <w:jc w:val="both"/>
      </w:pPr>
      <w:r>
        <w:rPr>
          <w:sz w:val="24"/>
        </w:rPr>
        <w:t>7</w:t>
      </w:r>
      <w:r>
        <w:rPr>
          <w:sz w:val="24"/>
        </w:rPr>
        <w:t>、乙方在试验服务过程中存在舞弊、泄露信息等严重违约行为或在试验服务过程中与被试验货物的供应商或其他第三方串通舞弊，影响试验结果准确性，给甲方造成损失的，应当承担赔偿责任，甲方均有权拒收并有权单方解除本合同，乙方须于</w:t>
      </w:r>
      <w:r>
        <w:rPr>
          <w:sz w:val="24"/>
        </w:rPr>
        <w:t>10个工作日内退回甲方所支付该批试验服务价款，同时甲方有权按该批试验服务总价款的</w:t>
      </w:r>
      <w:r>
        <w:rPr>
          <w:sz w:val="24"/>
          <w:u w:val="single"/>
        </w:rPr>
        <w:t>百分之三十</w:t>
      </w:r>
      <w:r>
        <w:rPr>
          <w:sz w:val="24"/>
        </w:rPr>
        <w:t>的标准要求乙方支付违约金。</w:t>
      </w:r>
    </w:p>
    <w:p>
      <w:pPr>
        <w:ind w:firstLine="480"/>
        <w:jc w:val="both"/>
      </w:pPr>
      <w:r>
        <w:rPr>
          <w:sz w:val="24"/>
        </w:rPr>
        <w:t>8、乙方提供的服务不符合本合同规定的，甲方均有权拒收并有权单方解除本合同，乙方须于10个工作日内退回甲方所支付该批试验服务价款，同时甲方有权按该批试验服务总价款的</w:t>
      </w:r>
      <w:r>
        <w:rPr>
          <w:sz w:val="24"/>
          <w:u w:val="single"/>
        </w:rPr>
        <w:t>百分之三十</w:t>
      </w:r>
      <w:r>
        <w:rPr>
          <w:sz w:val="24"/>
        </w:rPr>
        <w:t>的标准要求乙方支付违约金。</w:t>
      </w:r>
    </w:p>
    <w:p>
      <w:pPr>
        <w:ind w:firstLine="480"/>
        <w:jc w:val="both"/>
      </w:pPr>
      <w:r>
        <w:rPr>
          <w:sz w:val="24"/>
        </w:rPr>
        <w:t>9、乙方保证其提供的本合同项下的服务无任何权利瑕疵。若任何第三方被仲裁机构裁决或被法院判决有权对本合同项下的全部或部分服务主张权利，甲方有权单方解除合同，乙方须于10个工作日内退回甲方所支付该批试验服务价款，还应另行按该批试验服务总价款的</w:t>
      </w:r>
      <w:r>
        <w:rPr>
          <w:sz w:val="24"/>
          <w:u w:val="single"/>
        </w:rPr>
        <w:t>百分之三十　</w:t>
      </w:r>
      <w:r>
        <w:rPr>
          <w:sz w:val="24"/>
        </w:rPr>
        <w:t>向甲方支付惩罚性违约金。</w:t>
      </w:r>
    </w:p>
    <w:p>
      <w:pPr>
        <w:ind w:firstLine="480"/>
        <w:jc w:val="both"/>
      </w:pPr>
      <w:r>
        <w:rPr>
          <w:sz w:val="24"/>
        </w:rPr>
        <w:t>10、乙方违反本合同规定的保密义务造成甲方直接或间接损失的，应当赔偿甲方的损失。</w:t>
      </w:r>
    </w:p>
    <w:p>
      <w:pPr>
        <w:ind w:firstLine="480"/>
        <w:jc w:val="both"/>
      </w:pPr>
      <w:r>
        <w:rPr>
          <w:sz w:val="24"/>
        </w:rPr>
        <w:t>11、本合同第十一条项下各违约金是针对不同层面而论，甲乙双方自愿认可不属于重复计算违约金。乙方若存在上述第</w:t>
      </w:r>
      <w:r>
        <w:rPr>
          <w:sz w:val="24"/>
        </w:rPr>
        <w:t>3</w:t>
      </w:r>
      <w:r>
        <w:rPr>
          <w:sz w:val="24"/>
        </w:rPr>
        <w:t>款至第</w:t>
      </w:r>
      <w:r>
        <w:rPr>
          <w:sz w:val="24"/>
        </w:rPr>
        <w:t>10款约定的违约行为的，应承担甲方维权所支付的相关费用（包括但不限于诉讼费、仲裁费、保全费、担保保全保险费、鉴定费、律师费等），若第</w:t>
      </w:r>
      <w:r>
        <w:rPr>
          <w:sz w:val="24"/>
        </w:rPr>
        <w:t>3</w:t>
      </w:r>
      <w:r>
        <w:rPr>
          <w:sz w:val="24"/>
        </w:rPr>
        <w:t>款至第</w:t>
      </w:r>
      <w:r>
        <w:rPr>
          <w:sz w:val="24"/>
        </w:rPr>
        <w:t>10款约定的违约金不足以弥补甲方损失的，乙方还应承担相应的赔偿责任。</w:t>
      </w:r>
    </w:p>
    <w:p>
      <w:pPr>
        <w:ind w:firstLine="480"/>
        <w:jc w:val="both"/>
      </w:pPr>
      <w:r>
        <w:rPr>
          <w:sz w:val="24"/>
        </w:rPr>
        <w:t>1</w:t>
      </w:r>
      <w:r>
        <w:rPr>
          <w:sz w:val="24"/>
        </w:rPr>
        <w:t>2</w:t>
      </w:r>
      <w:r>
        <w:rPr>
          <w:sz w:val="24"/>
        </w:rPr>
        <w:t>、如因试验结论发生争议，由双方共同认可的试验机构进行复检。复检结论与原试验结论相同，复检费由甲方承担；不相同的，复检费由乙方承担。</w:t>
      </w:r>
    </w:p>
    <w:p>
      <w:pPr>
        <w:ind w:firstLine="480"/>
        <w:jc w:val="both"/>
      </w:pPr>
      <w:r>
        <w:rPr>
          <w:sz w:val="24"/>
        </w:rPr>
        <w:t>1</w:t>
      </w:r>
      <w:r>
        <w:rPr>
          <w:sz w:val="24"/>
        </w:rPr>
        <w:t>3</w:t>
      </w:r>
      <w:r>
        <w:rPr>
          <w:sz w:val="24"/>
        </w:rPr>
        <w:t>、合同之变更、中止或解除不影响根据上述各项违约责任条款追究违约方的违约责任。</w:t>
      </w:r>
    </w:p>
    <w:p>
      <w:pPr>
        <w:ind w:firstLine="482"/>
        <w:jc w:val="both"/>
      </w:pPr>
      <w:r>
        <w:rPr>
          <w:b/>
          <w:sz w:val="24"/>
        </w:rPr>
        <w:t>第十四条　法律适用</w:t>
      </w:r>
    </w:p>
    <w:p>
      <w:pPr>
        <w:ind w:firstLine="480"/>
        <w:jc w:val="both"/>
      </w:pPr>
      <w:r>
        <w:rPr>
          <w:sz w:val="24"/>
        </w:rPr>
        <w:t>本合同适用中华人民共和国法律。</w:t>
      </w:r>
    </w:p>
    <w:p>
      <w:pPr>
        <w:ind w:firstLine="482"/>
        <w:jc w:val="both"/>
      </w:pPr>
      <w:r>
        <w:rPr>
          <w:b/>
          <w:sz w:val="24"/>
        </w:rPr>
        <w:t>第十五条</w:t>
      </w:r>
      <w:r>
        <w:rPr>
          <w:b/>
          <w:sz w:val="24"/>
        </w:rPr>
        <w:t>通知送达</w:t>
      </w:r>
    </w:p>
    <w:p>
      <w:pPr>
        <w:ind w:firstLine="480"/>
        <w:jc w:val="both"/>
      </w:pPr>
      <w:r>
        <w:rPr>
          <w:sz w:val="24"/>
        </w:rPr>
        <w:t>甲方与乙方之间因本合同相关事宜邮寄快递的，须以合同载明的送达地址为准。双方按照合同载明的送达地址发出通知之日起视为已经履行通知义务。任何一方送达地址变更须及时书面通知另外一方，否则，因错误送达而产生的一切责任由未及时通知方承担。</w:t>
      </w:r>
    </w:p>
    <w:p>
      <w:pPr>
        <w:ind w:firstLine="472"/>
        <w:jc w:val="both"/>
      </w:pPr>
      <w:r>
        <w:rPr>
          <w:b/>
          <w:sz w:val="24"/>
        </w:rPr>
        <w:t>第十六条</w:t>
      </w:r>
      <w:r>
        <w:rPr>
          <w:b/>
          <w:sz w:val="24"/>
        </w:rPr>
        <w:t>补充协议</w:t>
      </w:r>
    </w:p>
    <w:p>
      <w:pPr>
        <w:ind w:firstLine="470"/>
        <w:jc w:val="both"/>
      </w:pPr>
      <w:r>
        <w:rPr>
          <w:sz w:val="24"/>
        </w:rPr>
        <w:t>本合同未尽事宜，由双方在协商一致的基础上另行签订书面形式的补充协议</w:t>
      </w:r>
      <w:r>
        <w:rPr>
          <w:sz w:val="24"/>
        </w:rPr>
        <w:t>确定</w:t>
      </w:r>
      <w:r>
        <w:rPr>
          <w:sz w:val="24"/>
        </w:rPr>
        <w:t>。补充协议</w:t>
      </w:r>
      <w:r>
        <w:rPr>
          <w:sz w:val="24"/>
        </w:rPr>
        <w:t>与本合同有关条款的内容相冲突者，视为对该条款内容的变更。</w:t>
      </w:r>
    </w:p>
    <w:p>
      <w:pPr>
        <w:ind w:firstLine="482"/>
        <w:jc w:val="both"/>
      </w:pPr>
      <w:r>
        <w:rPr>
          <w:b/>
          <w:sz w:val="24"/>
        </w:rPr>
        <w:t>第十七条　争议解决方式</w:t>
      </w:r>
    </w:p>
    <w:p>
      <w:pPr>
        <w:ind w:firstLine="480"/>
        <w:jc w:val="both"/>
      </w:pPr>
      <w:r>
        <w:rPr>
          <w:sz w:val="24"/>
        </w:rPr>
        <w:t>因本合同而发生的所有争议，应由双方协商解决；协商不成时，可向甲方所在地人民法院提起民事诉讼。</w:t>
      </w:r>
    </w:p>
    <w:p>
      <w:pPr>
        <w:ind w:firstLine="482"/>
        <w:jc w:val="both"/>
      </w:pPr>
      <w:r>
        <w:rPr>
          <w:b/>
          <w:sz w:val="24"/>
        </w:rPr>
        <w:t>第十八条　合同生效与效力</w:t>
      </w:r>
    </w:p>
    <w:p>
      <w:pPr>
        <w:ind w:firstLine="480"/>
        <w:jc w:val="both"/>
      </w:pPr>
      <w:r>
        <w:rPr>
          <w:sz w:val="24"/>
        </w:rPr>
        <w:t>本合同经双方法定代表人或委托代理人签字</w:t>
      </w:r>
      <w:r>
        <w:rPr>
          <w:sz w:val="24"/>
        </w:rPr>
        <w:t>,并加盖合同专用章或公章后即行生效。签字日期互异的，以后签日期为生效日。</w:t>
      </w:r>
    </w:p>
    <w:p>
      <w:pPr>
        <w:ind w:firstLine="482"/>
        <w:jc w:val="both"/>
      </w:pPr>
      <w:r>
        <w:rPr>
          <w:b/>
          <w:sz w:val="24"/>
        </w:rPr>
        <w:t>第十九条</w:t>
      </w:r>
      <w:r>
        <w:rPr>
          <w:b/>
          <w:sz w:val="24"/>
        </w:rPr>
        <w:t xml:space="preserve"> </w:t>
      </w:r>
      <w:r>
        <w:rPr>
          <w:b/>
          <w:sz w:val="24"/>
        </w:rPr>
        <w:t>合同文本</w:t>
      </w:r>
    </w:p>
    <w:p>
      <w:pPr>
        <w:ind w:firstLine="470"/>
        <w:jc w:val="both"/>
      </w:pPr>
      <w:r>
        <w:rPr>
          <w:sz w:val="24"/>
        </w:rPr>
        <w:t>1、本合同一式</w:t>
      </w:r>
      <w:r>
        <w:rPr>
          <w:sz w:val="24"/>
          <w:u w:val="single"/>
        </w:rPr>
        <w:t>6　</w:t>
      </w:r>
      <w:r>
        <w:rPr>
          <w:sz w:val="24"/>
        </w:rPr>
        <w:t>份，甲方执</w:t>
      </w:r>
      <w:r>
        <w:rPr>
          <w:sz w:val="24"/>
          <w:u w:val="single"/>
        </w:rPr>
        <w:t xml:space="preserve">  </w:t>
      </w:r>
      <w:r>
        <w:rPr>
          <w:sz w:val="24"/>
          <w:u w:val="single"/>
        </w:rPr>
        <w:t>4</w:t>
      </w:r>
      <w:r>
        <w:rPr>
          <w:sz w:val="24"/>
        </w:rPr>
        <w:t>份</w:t>
      </w:r>
      <w:r>
        <w:rPr>
          <w:sz w:val="24"/>
        </w:rPr>
        <w:t>, 乙方执</w:t>
      </w:r>
      <w:r>
        <w:rPr>
          <w:sz w:val="24"/>
          <w:u w:val="single"/>
        </w:rPr>
        <w:t>2</w:t>
      </w:r>
      <w:r>
        <w:rPr>
          <w:sz w:val="24"/>
        </w:rPr>
        <w:t>份</w:t>
      </w:r>
      <w:r>
        <w:rPr>
          <w:sz w:val="24"/>
        </w:rPr>
        <w:t>,各份具有同等法律效力。</w:t>
      </w:r>
    </w:p>
    <w:p>
      <w:pPr>
        <w:ind w:firstLine="482"/>
        <w:jc w:val="both"/>
      </w:pPr>
      <w:r>
        <w:rPr>
          <w:b/>
          <w:sz w:val="24"/>
        </w:rPr>
        <w:t>第二十条</w:t>
      </w:r>
      <w:r>
        <w:rPr>
          <w:b/>
          <w:sz w:val="24"/>
        </w:rPr>
        <w:t>合同构成</w:t>
      </w:r>
    </w:p>
    <w:p>
      <w:pPr>
        <w:ind w:firstLine="480"/>
        <w:jc w:val="both"/>
      </w:pPr>
      <w:r>
        <w:rPr>
          <w:sz w:val="24"/>
        </w:rPr>
        <w:t>1、有关</w:t>
      </w:r>
      <w:r>
        <w:rPr>
          <w:sz w:val="24"/>
        </w:rPr>
        <w:t>补充协议、合同附件</w:t>
      </w:r>
      <w:r>
        <w:rPr>
          <w:sz w:val="24"/>
        </w:rPr>
        <w:t>，经双方审定的各种图纸、表格、数据以及技术资料、试验服务任务清单、招投标文件（如有），以及乙方根据《采购文件》提交的</w:t>
      </w:r>
      <w:r>
        <w:rPr>
          <w:sz w:val="24"/>
        </w:rPr>
        <w:t>授权委托书（如有）、技术服务或售后服务机构资料等，</w:t>
      </w:r>
      <w:r>
        <w:rPr>
          <w:sz w:val="24"/>
        </w:rPr>
        <w:t>均为本合同不可分割的组成部分，与本合同具有同等的法律效力。</w:t>
      </w:r>
    </w:p>
    <w:p>
      <w:pPr>
        <w:ind w:firstLine="480"/>
        <w:jc w:val="both"/>
      </w:pPr>
      <w:r>
        <w:rPr>
          <w:sz w:val="24"/>
        </w:rPr>
        <w:t>2、</w:t>
      </w:r>
      <w:r>
        <w:rPr>
          <w:b/>
          <w:sz w:val="24"/>
        </w:rPr>
        <w:t>下列选择项中，为本合同附件的有（在选择项前打</w:t>
      </w:r>
      <w:r>
        <w:rPr>
          <w:b/>
          <w:sz w:val="24"/>
        </w:rPr>
        <w:t>√</w:t>
      </w:r>
      <w:r>
        <w:rPr>
          <w:b/>
          <w:sz w:val="24"/>
        </w:rPr>
        <w:t>）：</w:t>
      </w:r>
    </w:p>
    <w:p>
      <w:pPr>
        <w:ind w:firstLine="470"/>
        <w:jc w:val="both"/>
      </w:pPr>
      <w:r>
        <w:rPr>
          <w:sz w:val="24"/>
        </w:rPr>
        <w:t>√</w:t>
      </w:r>
      <w:r>
        <w:rPr>
          <w:sz w:val="24"/>
        </w:rPr>
        <w:t>（</w:t>
      </w:r>
      <w:r>
        <w:rPr>
          <w:sz w:val="24"/>
        </w:rPr>
        <w:t>1）附件一：《</w:t>
      </w:r>
      <w:r>
        <w:rPr>
          <w:sz w:val="21"/>
          <w:u w:val="single"/>
        </w:rPr>
        <w:t xml:space="preserve"> </w:t>
      </w:r>
      <w:r>
        <w:rPr>
          <w:sz w:val="21"/>
          <w:u w:val="single"/>
        </w:rPr>
        <w:t xml:space="preserve">          </w:t>
      </w:r>
      <w:r>
        <w:rPr>
          <w:sz w:val="24"/>
        </w:rPr>
        <w:t>采购项目试验相关技术指标及标准要求》。</w:t>
      </w:r>
    </w:p>
    <w:p>
      <w:pPr>
        <w:ind w:firstLine="482"/>
        <w:jc w:val="both"/>
      </w:pPr>
      <w:r>
        <w:rPr>
          <w:b/>
          <w:sz w:val="24"/>
        </w:rPr>
        <w:t>第二十一条　其它约定的事项（如有，可添加）</w:t>
      </w:r>
    </w:p>
    <w:p>
      <w:pPr>
        <w:ind w:firstLine="482"/>
        <w:jc w:val="both"/>
      </w:pP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305"/>
        <w:gridCol w:w="3986"/>
      </w:tblGrid>
      <w:tr>
        <w:tc>
          <w:tcPr>
            <w:tcW w:type="dxa" w:w="4305"/>
            <w:tcBorders>
              <w:top w:val="none" w:color="000000" w:sz="4"/>
              <w:left w:val="none" w:color="000000" w:sz="4"/>
              <w:bottom w:val="none" w:color="000000" w:sz="4"/>
              <w:right w:val="none" w:color="000000" w:sz="4"/>
            </w:tcBorders>
            <w:vAlign w:val="top"/>
          </w:tcPr>
          <w:p>
            <w:pPr>
              <w:jc w:val="both"/>
            </w:pPr>
            <w:r>
              <w:rPr>
                <w:sz w:val="24"/>
              </w:rPr>
              <w:t>甲方（盖章）：</w:t>
            </w:r>
            <w:r>
              <w:rPr>
                <w:sz w:val="24"/>
              </w:rPr>
              <w:t>佛山仙湖实验室</w:t>
            </w:r>
          </w:p>
        </w:tc>
        <w:tc>
          <w:tcPr>
            <w:tcW w:type="dxa" w:w="3986"/>
            <w:tcBorders>
              <w:top w:val="none" w:color="000000" w:sz="4"/>
              <w:left w:val="none" w:color="000000" w:sz="4"/>
              <w:bottom w:val="none" w:color="000000" w:sz="4"/>
              <w:right w:val="none" w:color="000000" w:sz="4"/>
            </w:tcBorders>
            <w:vAlign w:val="top"/>
          </w:tcPr>
          <w:p>
            <w:pPr>
              <w:jc w:val="both"/>
            </w:pPr>
            <w:r>
              <w:rPr>
                <w:sz w:val="24"/>
              </w:rPr>
              <w:t>乙方（盖章）：</w:t>
            </w:r>
          </w:p>
        </w:tc>
      </w:tr>
      <w:tr>
        <w:tc>
          <w:tcPr>
            <w:tcW w:type="dxa" w:w="4305"/>
            <w:tcBorders>
              <w:top w:val="none" w:color="000000" w:sz="4"/>
              <w:left w:val="none" w:color="000000" w:sz="4"/>
              <w:bottom w:val="none" w:color="000000" w:sz="4"/>
              <w:right w:val="none" w:color="000000" w:sz="4"/>
            </w:tcBorders>
            <w:vAlign w:val="top"/>
          </w:tcPr>
          <w:p>
            <w:pPr>
              <w:jc w:val="both"/>
            </w:pPr>
            <w:r>
              <w:rPr>
                <w:sz w:val="24"/>
              </w:rPr>
              <w:t>法定代表人：</w:t>
            </w:r>
            <w:r>
              <w:rPr>
                <w:sz w:val="24"/>
              </w:rPr>
              <w:t xml:space="preserve"> </w:t>
            </w:r>
          </w:p>
        </w:tc>
        <w:tc>
          <w:tcPr>
            <w:tcW w:type="dxa" w:w="3986"/>
            <w:tcBorders>
              <w:top w:val="none" w:color="000000" w:sz="4"/>
              <w:left w:val="none" w:color="000000" w:sz="4"/>
              <w:bottom w:val="none" w:color="000000" w:sz="4"/>
              <w:right w:val="none" w:color="000000" w:sz="4"/>
            </w:tcBorders>
            <w:vAlign w:val="top"/>
          </w:tcPr>
          <w:p>
            <w:pPr>
              <w:jc w:val="both"/>
            </w:pPr>
            <w:r>
              <w:rPr>
                <w:sz w:val="24"/>
              </w:rPr>
              <w:t>法定代表人：</w:t>
            </w:r>
          </w:p>
        </w:tc>
      </w:tr>
      <w:tr>
        <w:tc>
          <w:tcPr>
            <w:tcW w:type="dxa" w:w="4305"/>
            <w:tcBorders>
              <w:top w:val="none" w:color="000000" w:sz="4"/>
              <w:left w:val="none" w:color="000000" w:sz="4"/>
              <w:bottom w:val="none" w:color="000000" w:sz="4"/>
              <w:right w:val="none" w:color="000000" w:sz="4"/>
            </w:tcBorders>
            <w:vAlign w:val="top"/>
          </w:tcPr>
          <w:p>
            <w:pPr>
              <w:jc w:val="both"/>
            </w:pPr>
            <w:r>
              <w:rPr>
                <w:sz w:val="24"/>
              </w:rPr>
              <w:t>委托代理人：</w:t>
            </w:r>
          </w:p>
        </w:tc>
        <w:tc>
          <w:tcPr>
            <w:tcW w:type="dxa" w:w="3986"/>
            <w:tcBorders>
              <w:top w:val="none" w:color="000000" w:sz="4"/>
              <w:left w:val="none" w:color="000000" w:sz="4"/>
              <w:bottom w:val="none" w:color="000000" w:sz="4"/>
              <w:right w:val="none" w:color="000000" w:sz="4"/>
            </w:tcBorders>
            <w:vAlign w:val="top"/>
          </w:tcPr>
          <w:p>
            <w:pPr>
              <w:jc w:val="both"/>
            </w:pPr>
            <w:r>
              <w:rPr>
                <w:sz w:val="24"/>
              </w:rPr>
              <w:t>委托代理人：</w:t>
            </w:r>
          </w:p>
        </w:tc>
      </w:tr>
      <w:tr>
        <w:tc>
          <w:tcPr>
            <w:tcW w:type="dxa" w:w="4305"/>
            <w:tcBorders>
              <w:top w:val="none" w:color="000000" w:sz="4"/>
              <w:left w:val="none" w:color="000000" w:sz="4"/>
              <w:bottom w:val="none" w:color="000000" w:sz="4"/>
              <w:right w:val="none" w:color="000000" w:sz="4"/>
            </w:tcBorders>
            <w:vAlign w:val="top"/>
          </w:tcPr>
          <w:p>
            <w:pPr>
              <w:jc w:val="both"/>
            </w:pPr>
            <w:r>
              <w:rPr>
                <w:sz w:val="24"/>
              </w:rPr>
              <w:t>经办</w:t>
            </w:r>
            <w:r>
              <w:rPr>
                <w:sz w:val="24"/>
              </w:rPr>
              <w:t>人：</w:t>
            </w:r>
          </w:p>
        </w:tc>
        <w:tc>
          <w:tcPr>
            <w:tcW w:type="dxa" w:w="3986"/>
            <w:tcBorders>
              <w:top w:val="none" w:color="000000" w:sz="4"/>
              <w:left w:val="none" w:color="000000" w:sz="4"/>
              <w:bottom w:val="none" w:color="000000" w:sz="4"/>
              <w:right w:val="none" w:color="000000" w:sz="4"/>
            </w:tcBorders>
            <w:vAlign w:val="top"/>
          </w:tcPr>
          <w:p>
            <w:pPr>
              <w:jc w:val="both"/>
            </w:pPr>
            <w:r>
              <w:rPr>
                <w:sz w:val="24"/>
              </w:rPr>
              <w:t>经办</w:t>
            </w:r>
            <w:r>
              <w:rPr>
                <w:sz w:val="24"/>
              </w:rPr>
              <w:t>人：</w:t>
            </w:r>
          </w:p>
        </w:tc>
      </w:tr>
      <w:tr>
        <w:tc>
          <w:tcPr>
            <w:tcW w:type="dxa" w:w="4305"/>
            <w:tcBorders>
              <w:top w:val="none" w:color="000000" w:sz="4"/>
              <w:left w:val="none" w:color="000000" w:sz="4"/>
              <w:bottom w:val="none" w:color="000000" w:sz="4"/>
              <w:right w:val="none" w:color="000000" w:sz="4"/>
            </w:tcBorders>
            <w:vAlign w:val="top"/>
          </w:tcPr>
          <w:p>
            <w:pPr>
              <w:jc w:val="both"/>
            </w:pPr>
            <w:r>
              <w:rPr>
                <w:sz w:val="24"/>
              </w:rPr>
              <w:t>电</w:t>
            </w:r>
            <w:r>
              <w:rPr>
                <w:sz w:val="24"/>
              </w:rPr>
              <w:t>话：</w:t>
            </w:r>
          </w:p>
          <w:p>
            <w:pPr>
              <w:jc w:val="both"/>
            </w:pPr>
            <w:r>
              <w:rPr>
                <w:sz w:val="24"/>
              </w:rPr>
              <w:t>税</w:t>
            </w:r>
            <w:r>
              <w:rPr>
                <w:sz w:val="24"/>
              </w:rPr>
              <w:t>号：</w:t>
            </w:r>
          </w:p>
        </w:tc>
        <w:tc>
          <w:tcPr>
            <w:tcW w:type="dxa" w:w="3986"/>
            <w:tcBorders>
              <w:top w:val="none" w:color="000000" w:sz="4"/>
              <w:left w:val="none" w:color="000000" w:sz="4"/>
              <w:bottom w:val="none" w:color="000000" w:sz="4"/>
              <w:right w:val="none" w:color="000000" w:sz="4"/>
            </w:tcBorders>
            <w:vAlign w:val="top"/>
          </w:tcPr>
          <w:p>
            <w:pPr>
              <w:jc w:val="both"/>
            </w:pPr>
            <w:r>
              <w:rPr>
                <w:sz w:val="24"/>
              </w:rPr>
              <w:t>电</w:t>
            </w:r>
            <w:r>
              <w:rPr>
                <w:sz w:val="24"/>
              </w:rPr>
              <w:t>话：</w:t>
            </w:r>
          </w:p>
          <w:p>
            <w:pPr>
              <w:jc w:val="both"/>
            </w:pPr>
            <w:r>
              <w:rPr>
                <w:sz w:val="24"/>
              </w:rPr>
              <w:t>税</w:t>
            </w:r>
            <w:r>
              <w:rPr>
                <w:sz w:val="24"/>
              </w:rPr>
              <w:t>号：</w:t>
            </w:r>
          </w:p>
        </w:tc>
      </w:tr>
      <w:tr>
        <w:tc>
          <w:tcPr>
            <w:tcW w:type="dxa" w:w="4305"/>
            <w:tcBorders>
              <w:top w:val="none" w:color="000000" w:sz="4"/>
              <w:left w:val="none" w:color="000000" w:sz="4"/>
              <w:bottom w:val="none" w:color="000000" w:sz="4"/>
              <w:right w:val="none" w:color="000000" w:sz="4"/>
            </w:tcBorders>
            <w:vAlign w:val="top"/>
          </w:tcPr>
          <w:p>
            <w:pPr>
              <w:jc w:val="both"/>
            </w:pPr>
            <w:r>
              <w:rPr>
                <w:sz w:val="24"/>
              </w:rPr>
              <w:t>开户银</w:t>
            </w:r>
            <w:r>
              <w:rPr>
                <w:sz w:val="24"/>
              </w:rPr>
              <w:t>行：</w:t>
            </w:r>
          </w:p>
          <w:p>
            <w:pPr>
              <w:jc w:val="both"/>
            </w:pPr>
            <w:r>
              <w:rPr>
                <w:sz w:val="24"/>
              </w:rPr>
              <w:t>开户名</w:t>
            </w:r>
            <w:r>
              <w:rPr>
                <w:sz w:val="24"/>
              </w:rPr>
              <w:t>称：</w:t>
            </w:r>
          </w:p>
          <w:p>
            <w:pPr>
              <w:jc w:val="both"/>
            </w:pPr>
            <w:r>
              <w:rPr>
                <w:sz w:val="24"/>
              </w:rPr>
              <w:t>账</w:t>
            </w:r>
            <w:r>
              <w:rPr>
                <w:sz w:val="24"/>
              </w:rPr>
              <w:t>号：</w:t>
            </w:r>
          </w:p>
        </w:tc>
        <w:tc>
          <w:tcPr>
            <w:tcW w:type="dxa" w:w="3986"/>
            <w:tcBorders>
              <w:top w:val="none" w:color="000000" w:sz="4"/>
              <w:left w:val="none" w:color="000000" w:sz="4"/>
              <w:bottom w:val="none" w:color="000000" w:sz="4"/>
              <w:right w:val="none" w:color="000000" w:sz="4"/>
            </w:tcBorders>
            <w:vAlign w:val="top"/>
          </w:tcPr>
          <w:p>
            <w:pPr>
              <w:jc w:val="both"/>
            </w:pPr>
            <w:r>
              <w:rPr>
                <w:sz w:val="24"/>
              </w:rPr>
              <w:t>开户银</w:t>
            </w:r>
            <w:r>
              <w:rPr>
                <w:sz w:val="24"/>
              </w:rPr>
              <w:t>行：</w:t>
            </w:r>
          </w:p>
          <w:p>
            <w:pPr>
              <w:jc w:val="both"/>
            </w:pPr>
            <w:r>
              <w:rPr>
                <w:sz w:val="24"/>
              </w:rPr>
              <w:t>开户名</w:t>
            </w:r>
            <w:r>
              <w:rPr>
                <w:sz w:val="24"/>
              </w:rPr>
              <w:t>称：</w:t>
            </w:r>
          </w:p>
          <w:p>
            <w:pPr>
              <w:jc w:val="both"/>
            </w:pPr>
            <w:r>
              <w:rPr>
                <w:sz w:val="24"/>
              </w:rPr>
              <w:t>账</w:t>
            </w:r>
            <w:r>
              <w:rPr>
                <w:sz w:val="24"/>
              </w:rPr>
              <w:t>号：</w:t>
            </w:r>
          </w:p>
        </w:tc>
      </w:tr>
      <w:tr>
        <w:tc>
          <w:tcPr>
            <w:tcW w:type="dxa" w:w="4305"/>
            <w:tcBorders>
              <w:top w:val="none" w:color="000000" w:sz="4"/>
              <w:left w:val="none" w:color="000000" w:sz="4"/>
              <w:bottom w:val="none" w:color="000000" w:sz="4"/>
              <w:right w:val="none" w:color="000000" w:sz="4"/>
            </w:tcBorders>
            <w:vAlign w:val="top"/>
          </w:tcPr>
          <w:p>
            <w:pPr>
              <w:jc w:val="both"/>
            </w:pPr>
            <w:r>
              <w:rPr>
                <w:sz w:val="24"/>
              </w:rPr>
              <w:t>地址与邮政编码：</w:t>
            </w:r>
          </w:p>
          <w:p>
            <w:pPr>
              <w:jc w:val="both"/>
            </w:pPr>
          </w:p>
        </w:tc>
        <w:tc>
          <w:tcPr>
            <w:tcW w:type="dxa" w:w="3986"/>
            <w:tcBorders>
              <w:top w:val="none" w:color="000000" w:sz="4"/>
              <w:left w:val="none" w:color="000000" w:sz="4"/>
              <w:bottom w:val="none" w:color="000000" w:sz="4"/>
              <w:right w:val="none" w:color="000000" w:sz="4"/>
            </w:tcBorders>
            <w:vAlign w:val="top"/>
          </w:tcPr>
          <w:p>
            <w:pPr>
              <w:jc w:val="both"/>
            </w:pPr>
            <w:r>
              <w:rPr>
                <w:sz w:val="24"/>
              </w:rPr>
              <w:t>地址与邮政编码：</w:t>
            </w:r>
          </w:p>
        </w:tc>
      </w:tr>
      <w:tr>
        <w:tc>
          <w:tcPr>
            <w:tcW w:type="dxa" w:w="4305"/>
            <w:tcBorders>
              <w:top w:val="none" w:color="000000" w:sz="4"/>
              <w:left w:val="none" w:color="000000" w:sz="4"/>
              <w:bottom w:val="none" w:color="000000" w:sz="4"/>
              <w:right w:val="none" w:color="000000" w:sz="4"/>
            </w:tcBorders>
            <w:vAlign w:val="top"/>
          </w:tcPr>
          <w:p>
            <w:pPr>
              <w:jc w:val="both"/>
            </w:pPr>
            <w:r>
              <w:rPr>
                <w:sz w:val="24"/>
              </w:rPr>
              <w:t>联系邮箱：</w:t>
            </w:r>
          </w:p>
          <w:p>
            <w:pPr>
              <w:jc w:val="both"/>
            </w:pPr>
          </w:p>
          <w:p>
            <w:pPr>
              <w:jc w:val="both"/>
            </w:pPr>
            <w:r>
              <w:rPr>
                <w:sz w:val="24"/>
              </w:rPr>
              <w:t>签约时间：</w:t>
            </w:r>
            <w:r>
              <w:rPr>
                <w:sz w:val="24"/>
              </w:rPr>
              <w:t xml:space="preserve">     </w:t>
            </w:r>
            <w:r>
              <w:rPr>
                <w:sz w:val="24"/>
              </w:rPr>
              <w:t>年</w:t>
            </w:r>
            <w:r>
              <w:rPr>
                <w:sz w:val="24"/>
              </w:rPr>
              <w:t xml:space="preserve">  </w:t>
            </w:r>
            <w:r>
              <w:rPr>
                <w:sz w:val="21"/>
              </w:rPr>
              <w:t xml:space="preserve">  </w:t>
            </w:r>
            <w:r>
              <w:rPr>
                <w:sz w:val="24"/>
              </w:rPr>
              <w:t>月</w:t>
            </w:r>
            <w:r>
              <w:rPr>
                <w:sz w:val="24"/>
              </w:rPr>
              <w:t xml:space="preserve">    </w:t>
            </w:r>
            <w:r>
              <w:rPr>
                <w:sz w:val="24"/>
              </w:rPr>
              <w:t>日</w:t>
            </w:r>
          </w:p>
        </w:tc>
        <w:tc>
          <w:tcPr>
            <w:tcW w:type="dxa" w:w="3986"/>
            <w:tcBorders>
              <w:top w:val="none" w:color="000000" w:sz="4"/>
              <w:left w:val="none" w:color="000000" w:sz="4"/>
              <w:bottom w:val="none" w:color="000000" w:sz="4"/>
              <w:right w:val="none" w:color="000000" w:sz="4"/>
            </w:tcBorders>
            <w:vAlign w:val="top"/>
          </w:tcPr>
          <w:p>
            <w:pPr>
              <w:jc w:val="both"/>
            </w:pPr>
            <w:r>
              <w:rPr>
                <w:sz w:val="24"/>
              </w:rPr>
              <w:t>联系邮箱：</w:t>
            </w:r>
          </w:p>
          <w:p>
            <w:pPr>
              <w:ind w:firstLine="480"/>
              <w:jc w:val="both"/>
            </w:pPr>
          </w:p>
          <w:p>
            <w:pPr>
              <w:jc w:val="both"/>
            </w:pPr>
            <w:r>
              <w:rPr>
                <w:sz w:val="24"/>
              </w:rPr>
              <w:t>签约时间：</w:t>
            </w:r>
            <w:r>
              <w:rPr>
                <w:sz w:val="24"/>
              </w:rPr>
              <w:t xml:space="preserve">    </w:t>
            </w:r>
            <w:r>
              <w:rPr>
                <w:sz w:val="24"/>
              </w:rPr>
              <w:t>年　</w:t>
            </w:r>
            <w:r>
              <w:rPr>
                <w:sz w:val="24"/>
              </w:rPr>
              <w:t>月　</w:t>
            </w:r>
            <w:r>
              <w:rPr>
                <w:sz w:val="24"/>
              </w:rPr>
              <w:t xml:space="preserve">  </w:t>
            </w:r>
            <w:r>
              <w:rPr>
                <w:sz w:val="24"/>
              </w:rPr>
              <w:t>日</w:t>
            </w:r>
          </w:p>
        </w:tc>
      </w:tr>
    </w:tbl>
    <w:p>
      <w:r>
        <w:rPr/>
        <w:t xml:space="preserve"> </w:t>
      </w:r>
    </w:p>
    <w:p>
      <w:r>
        <w:rPr/>
        <w:t xml:space="preserve"> </w:t>
      </w:r>
    </w:p>
    <w:p>
      <w:pPr>
        <w:jc w:val="both"/>
      </w:pPr>
      <w:r>
        <w:rPr>
          <w:b/>
          <w:sz w:val="24"/>
        </w:rPr>
        <w:t>附件一：</w:t>
      </w:r>
      <w:r>
        <w:rPr>
          <w:b/>
          <w:sz w:val="24"/>
          <w:u w:val="single"/>
        </w:rPr>
        <w:t xml:space="preserve">               </w:t>
      </w:r>
      <w:r>
        <w:rPr>
          <w:b/>
          <w:sz w:val="24"/>
          <w:u w:val="single"/>
        </w:rPr>
        <w:t>采购项目试验相关技术指标及标准要求</w:t>
      </w:r>
      <w:r>
        <w:rPr>
          <w:b/>
          <w:sz w:val="24"/>
        </w:rPr>
        <w:t>：</w:t>
      </w:r>
    </w:p>
    <w:p>
      <w:pPr>
        <w:jc w:val="both"/>
      </w:pPr>
    </w:p>
    <w:p>
      <w:pPr>
        <w:ind w:firstLine="411"/>
        <w:jc w:val="both"/>
      </w:pPr>
      <w:r>
        <w:rPr>
          <w:sz w:val="21"/>
        </w:rPr>
        <w:t>本合同样本仅供参考，具体条款内容由采购人和成交供应商协商确定，但不得修改单一来源采购文件、响应文件、成交通知书等实质性内容。</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供应商应提交证明其有资格参加响应和成交后有能力履行合同的相关文件，并作为其响应文件的一部分，所有文件必须真实可靠、不得伪造，否则将按相关规定予以处罚。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（2）查询截止时点：响应提交响应文件截止日当天；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 xml:space="preserve"> 6. 按照采购文件要求，供应商应当提交的资格、资信证明文件。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w:t>
      </w:r>
    </w:p>
    <w:p>
      <w:pPr>
        <w:jc w:val="center"/>
      </w:pPr>
      <w:r>
        <w:rPr>
          <w:b/>
          <w:sz w:val="24"/>
        </w:rPr>
        <w:t>（正本/副本）</w:t>
      </w:r>
    </w:p>
    <w:p/>
    <w:p>
      <w:pPr>
        <w:jc w:val="center"/>
      </w:pPr>
      <w:r>
        <w:rPr>
          <w:b/>
          <w:sz w:val="24"/>
        </w:rPr>
        <w:t>采购计划编号：</w:t>
      </w:r>
      <w:r>
        <w:rPr>
          <w:b/>
          <w:sz w:val="24"/>
        </w:rPr>
        <w:t>440601-2023-03593</w:t>
      </w:r>
    </w:p>
    <w:p>
      <w:pPr>
        <w:jc w:val="center"/>
      </w:pPr>
      <w:r>
        <w:rPr>
          <w:b/>
          <w:sz w:val="24"/>
        </w:rPr>
        <w:t>采购项目编号：</w:t>
      </w:r>
      <w:r>
        <w:rPr>
          <w:b/>
          <w:sz w:val="24"/>
        </w:rPr>
        <w:t>GZGK23D213C0632D</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一、协商承诺书</w:t>
      </w:r>
    </w:p>
    <w:p>
      <w:pPr>
        <w:ind w:firstLine="480"/>
      </w:pPr>
      <w:r>
        <w:rPr/>
        <w:t>二、报价一览表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协商承诺书</w:t>
      </w:r>
    </w:p>
    <w:p>
      <w:pPr>
        <w:ind w:firstLine="480"/>
      </w:pPr>
      <w:r>
        <w:rPr/>
        <w:t>致：</w:t>
      </w:r>
      <w:r>
        <w:rPr>
          <w:u w:val="single"/>
        </w:rPr>
        <w:t>广州市国科招标代理有限公司</w:t>
      </w:r>
    </w:p>
    <w:p>
      <w:pPr>
        <w:ind w:firstLine="480"/>
      </w:pPr>
      <w:r>
        <w:rPr/>
        <w:t>我方确认收到你方提供</w:t>
      </w:r>
      <w:r>
        <w:rPr>
          <w:u w:val="single"/>
        </w:rPr>
        <w:t>佛山仙湖实验室氨氢融合发动机性能开发试验台架租赁项目</w:t>
      </w:r>
      <w:r>
        <w:rPr/>
        <w:t>[采购项目编号为：</w:t>
      </w:r>
      <w:r>
        <w:rPr>
          <w:u w:val="single"/>
        </w:rPr>
        <w:t>GZGK23D213C0632D</w:t>
      </w:r>
      <w:r>
        <w:rPr/>
        <w:t>]的单一来源协商采购文件，已完全理解采购文件所有内容，决定参加该项目的响应报价。据此我方承诺如下：</w:t>
      </w:r>
    </w:p>
    <w:p>
      <w:pPr>
        <w:ind w:firstLine="480"/>
      </w:pPr>
      <w:r>
        <w:rPr/>
        <w:t>（一）</w:t>
        <w:tab/>
        <w:tab/>
        <w:t xml:space="preserve"> 我方在参与前已详细研究了采购文件的所有内容，包括澄清、修改文件（如果有）和所有已提供的参考资料以及有关附件，我方同意采购文件的相关条款，放弃对采购文件提出误解和质疑的一切权力。</w:t>
      </w:r>
      <w:r>
        <w:rPr>
          <w:u w:val="single"/>
        </w:rPr>
        <w:t>(供应商名称)</w:t>
      </w:r>
      <w:r>
        <w:rPr/>
        <w:t>作为响应供应商正式授权</w:t>
      </w:r>
      <w:r>
        <w:rPr>
          <w:u w:val="single"/>
        </w:rPr>
        <w:t>(授权代表全名,职务)</w:t>
      </w:r>
      <w:r>
        <w:rPr/>
        <w:t>代表我方全权处理有关本次协商的一切事宜。</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ind w:firstLine="480"/>
      </w:pPr>
      <w:r>
        <w:rPr/>
        <w:t>（四）按采购文件提供的全部货物（工程、服务）与相关服务的响应总价详见《报价一览表》。</w:t>
      </w:r>
    </w:p>
    <w:p>
      <w:pPr>
        <w:ind w:firstLine="480"/>
      </w:pPr>
      <w:r>
        <w:rPr/>
        <w:t>（五）我方明白并同意，在规定的开启日之后，响应有效期之内撤回响应或成交后不按规定与采购人签订合同或不提交履约保证金, 则贵方将不予退还响应保证金。</w:t>
      </w:r>
    </w:p>
    <w:p>
      <w:pPr>
        <w:ind w:firstLine="480"/>
      </w:pPr>
      <w:r>
        <w:rPr/>
        <w:t>（六）我方如果成交，将保证履行采购文件及其澄清、修改文件（如果有）中的全部责任和义务，按质、按量、按期完成《采购需求》及《合同书》中的全部任务。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（八）我方响应报价已包含应向知识产权所有权人支付的所有相关税费，并保证采购人在中国使用我方提供的货物时，如有第三方提出侵犯其知识产权主张的，责任由我方承担。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（十）我方具备《中华人民共和国政府采购法》第二十二条规定的条件，承诺如下：</w:t>
      </w:r>
    </w:p>
    <w:p>
      <w:pPr>
        <w:ind w:firstLine="480"/>
      </w:pPr>
      <w:r>
        <w:rPr/>
        <w:t>（1）我方参加本项目政府采购活动前3年内在经营活动中没有重大违法记录。</w:t>
      </w:r>
    </w:p>
    <w:p>
      <w:pPr>
        <w:ind w:firstLine="480"/>
      </w:pPr>
      <w:r>
        <w:rPr/>
        <w:t>（2）我方符合法律、行政法规规定的其他条件。</w:t>
      </w:r>
    </w:p>
    <w:p>
      <w:pPr>
        <w:ind w:firstLine="480"/>
      </w:pPr>
      <w:r>
        <w:rPr/>
        <w:t>以上内容如有虚假或与事实不符的，单一来源采购人员可将我方做无效响应处理，我方愿意承担相应的法律责任。</w:t>
      </w:r>
    </w:p>
    <w:p>
      <w:pPr>
        <w:ind w:firstLine="480"/>
      </w:pPr>
      <w:r>
        <w:rPr/>
        <w:t>（十一）我方对在本函及响应文件中所作的所有承诺承担法律责任。</w:t>
      </w:r>
    </w:p>
    <w:p>
      <w:pPr>
        <w:ind w:firstLine="480"/>
      </w:pPr>
      <w:r>
        <w:rPr/>
        <w:t>（十二）所有与本协商有关的函件请发往下列地址：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w:t>
      </w:r>
    </w:p>
    <w:p>
      <w:pPr>
        <w:ind w:firstLine="480"/>
      </w:pPr>
      <w:r>
        <w:rPr/>
        <w:t>职 务：__________________</w:t>
      </w:r>
    </w:p>
    <w:p>
      <w:pPr>
        <w:ind w:firstLine="480"/>
      </w:pPr>
    </w:p>
    <w:p>
      <w:pPr>
        <w:ind w:firstLine="480"/>
      </w:pPr>
    </w:p>
    <w:p>
      <w:pPr>
        <w:ind w:firstLine="480"/>
      </w:pPr>
    </w:p>
    <w:p>
      <w:pPr>
        <w:ind w:firstLine="480"/>
      </w:pPr>
    </w:p>
    <w:p>
      <w:pPr>
        <w:jc w:val="right"/>
      </w:pPr>
      <w:r>
        <w:rPr/>
        <w:t>供应商法定代表人（或法定代表人授权代表）签字或盖章：__________________</w:t>
      </w:r>
    </w:p>
    <w:p>
      <w:pPr>
        <w:jc w:val="right"/>
      </w:pPr>
      <w:r>
        <w:rPr/>
        <w:t>供应商名称（盖章）：__________________</w:t>
      </w:r>
    </w:p>
    <w:p>
      <w:pPr>
        <w:jc w:val="right"/>
      </w:pPr>
      <w:r>
        <w:rPr/>
        <w:t>日期： 年 月 日</w:t>
      </w:r>
    </w:p>
    <w:p>
      <w:pPr>
        <w:ind w:firstLine="480"/>
      </w:pPr>
    </w:p>
    <w:p>
      <w:r>
        <w:rPr/>
        <w:t xml:space="preserve"> </w:t>
      </w:r>
    </w:p>
    <w:p/>
    <w:p>
      <w:r>
        <w:rPr>
          <w:b/>
          <w:sz w:val="28"/>
        </w:rPr>
        <w:t>格式二：</w:t>
      </w:r>
    </w:p>
    <w:p>
      <w:pPr>
        <w:jc w:val="center"/>
      </w:pPr>
      <w:r>
        <w:rPr>
          <w:b/>
          <w:sz w:val="24"/>
        </w:rPr>
        <w:t>报价一览表</w:t>
      </w:r>
    </w:p>
    <w:p>
      <w:pPr>
        <w:ind w:firstLine="480"/>
      </w:pPr>
      <w:r>
        <w:rPr/>
        <w:t>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br/>
      </w:r>
    </w:p>
    <w:p>
      <w:pPr>
        <w:jc w:val="right"/>
      </w:pPr>
      <w:r>
        <w:rPr/>
        <w:t>供应商签章：____________________</w:t>
      </w:r>
      <w:r>
        <w:br/>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ind w:firstLine="480"/>
      </w:pPr>
      <w:r>
        <w:rPr/>
        <w:t>采购项目编号：</w:t>
      </w:r>
    </w:p>
    <w:p>
      <w:pPr>
        <w:ind w:firstLine="480"/>
      </w:pPr>
      <w:r>
        <w:rPr/>
        <w:t>项目名称：</w:t>
      </w:r>
    </w:p>
    <w:p>
      <w:pPr>
        <w:ind w:firstLine="480"/>
      </w:pPr>
      <w:r>
        <w:rPr/>
        <w:t>响应供应商名称：</w:t>
      </w:r>
    </w:p>
    <w:p>
      <w:pPr>
        <w:ind w:firstLine="480"/>
      </w:pPr>
      <w:r>
        <w:rPr/>
        <w:t>采购包：</w:t>
      </w:r>
    </w:p>
    <w:p>
      <w:pPr>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p>
      <w:pPr>
        <w:jc w:val="right"/>
      </w:pPr>
      <w:r>
        <w:rPr/>
        <w:t>供应商签章：____________________</w:t>
      </w:r>
      <w:r>
        <w:br/>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供应商名称（盖章）：__________________</w:t>
      </w:r>
    </w:p>
    <w:p>
      <w:pPr>
        <w:jc w:val="right"/>
      </w:pPr>
      <w:r>
        <w:rPr/>
        <w:t>日期： 年 月 日</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w:t>
      </w:r>
    </w:p>
    <w:p>
      <w:pPr>
        <w:ind w:firstLine="480"/>
      </w:pPr>
    </w:p>
    <w:p>
      <w:pPr>
        <w:ind w:firstLine="480"/>
      </w:pPr>
    </w:p>
    <w:p>
      <w:pPr>
        <w:jc w:val="right"/>
      </w:pPr>
      <w:r>
        <w:rPr/>
        <w:t>供应商名称（盖章）：__________________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广州市国科招标代理有限公司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的法定代表人，现任__________职务，有效证件号码：________________。现授权</w:t>
      </w:r>
      <w:r>
        <w:rPr>
          <w:u w:val="single"/>
        </w:rPr>
        <w:t>（姓名、职务）</w:t>
      </w:r>
      <w:r>
        <w:rPr/>
        <w:t>作为我公司的全权代理人，就“</w:t>
      </w:r>
      <w:r>
        <w:rPr/>
        <w:t>佛山仙湖实验室氨氢融合发动机性能开发试验台架租赁项目</w:t>
      </w:r>
      <w:r>
        <w:rPr/>
        <w:t>”项目采购[采购项目编号为</w:t>
      </w:r>
      <w:r>
        <w:rPr/>
        <w:t>GZGK23D213C0632D</w:t>
      </w:r>
      <w:r>
        <w:rPr/>
        <w:t>]的响应和合同执行，以我方的名义处理一切与之有关的事宜。</w:t>
      </w:r>
    </w:p>
    <w:p>
      <w:pPr>
        <w:ind w:firstLine="480"/>
      </w:pPr>
      <w:r>
        <w:rPr/>
        <w:t>本授权书于________年________月________日签字生效，特此声明。</w:t>
      </w:r>
    </w:p>
    <w:p>
      <w:pPr>
        <w:jc w:val="right"/>
      </w:pPr>
      <w:r>
        <w:rPr/>
        <w:t>供应商（盖章）：__________________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被授权人（签字或盖章）：__________________</w:t>
      </w:r>
    </w:p>
    <w:p>
      <w:pPr>
        <w:jc w:val="right"/>
      </w:pPr>
      <w:r>
        <w:rPr/>
        <w:t>职务：__________________</w:t>
      </w:r>
    </w:p>
    <w:p>
      <w:pPr>
        <w:jc w:val="right"/>
      </w:pPr>
      <w:r>
        <w:rPr/>
        <w:t>日期：____年____月____日</w:t>
      </w:r>
    </w:p>
    <w:p>
      <w:pPr>
        <w:ind w:firstLine="480"/>
      </w:pPr>
    </w:p>
    <w:p>
      <w:r>
        <w:rPr/>
        <w:t xml:space="preserve"> </w:t>
      </w:r>
    </w:p>
    <w:p/>
    <w:p>
      <w:r>
        <w:rPr>
          <w:b/>
          <w:sz w:val="28"/>
        </w:rPr>
        <w:t>格式七：</w:t>
      </w:r>
    </w:p>
    <w:p>
      <w:pPr>
        <w:jc w:val="center"/>
      </w:pPr>
      <w:r>
        <w:rPr>
          <w:b/>
          <w:sz w:val="24"/>
        </w:rPr>
        <w:t>响应保证金</w:t>
      </w:r>
    </w:p>
    <w:p>
      <w:pPr>
        <w:ind w:firstLine="480"/>
      </w:pPr>
      <w:r>
        <w:rPr/>
        <w:t>采购文件要求递交响应保证金的，供应商应在此提供保证金的凭证的复印件。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佛山仙湖实验室</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ind w:firstLine="480"/>
      </w:pPr>
      <w:r>
        <w:rPr/>
        <w:t>二、联合体内部有关事项约定如下：</w:t>
      </w:r>
    </w:p>
    <w:p>
      <w:pPr>
        <w:ind w:firstLine="480"/>
      </w:pPr>
      <w:r>
        <w:rPr/>
        <w:t>1.</w:t>
      </w:r>
      <w:r>
        <w:rPr>
          <w:u w:val="single"/>
        </w:rPr>
        <w:t>（甲公司全称）</w:t>
      </w:r>
      <w:r>
        <w:rPr/>
        <w:t>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w:t>
      </w:r>
      <w:r>
        <w:rPr>
          <w:u w:val="single"/>
        </w:rPr>
        <w:t>（甲公司全称）</w:t>
      </w:r>
      <w:r>
        <w:rPr/>
        <w:t>负责本项目___________部分，</w:t>
      </w:r>
      <w:r>
        <w:rPr>
          <w:u w:val="single"/>
        </w:rPr>
        <w:t>（乙公司全称）</w:t>
      </w:r>
      <w:r>
        <w:rPr/>
        <w:t>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5.联合体成员（公司全称）为（请填写：小型、微型）企业，将承担合同总金额的____%工作内容（联合体成员中有小型、微型企业时适用）。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根据上述业绩情况，按采购文件要求附销售或服务合同复印件。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1.“采购文件规定的技术和服务要求”项下填写的内容应与采购文件中采购需求的</w:t>
        <w:tab/>
        <w:tab/>
        <w:t xml:space="preserve">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ind w:firstLine="480"/>
      </w:pPr>
      <w:r>
        <w:rPr/>
        <w:t>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1.“采购文件规定的商务条件”项下填写的内容应与采购文件中采购需求的“商务要求”的内容保持一致。</w:t>
      </w:r>
    </w:p>
    <w:p>
      <w:pPr>
        <w:ind w:firstLine="480"/>
      </w:pPr>
      <w:r>
        <w:rPr/>
        <w:t>2.</w:t>
        <w:tab/>
        <w:tab/>
        <w:t xml:space="preserve">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ind w:firstLine="480"/>
      </w:pPr>
      <w:r>
        <w:rPr/>
        <w:t>3.</w:t>
        <w:tab/>
        <w:tab/>
        <w:t xml:space="preserve">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1.采购文件要求提供的其他资料。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采购代理服务费支付承诺书</w:t>
      </w:r>
    </w:p>
    <w:p>
      <w:pPr>
        <w:ind w:firstLine="480"/>
      </w:pPr>
      <w:r>
        <w:rPr/>
        <w:t>致：</w:t>
      </w:r>
      <w:r>
        <w:rPr/>
        <w:t>广州市国科招标代理有限公司</w:t>
      </w:r>
    </w:p>
    <w:p>
      <w:pPr>
        <w:ind w:firstLine="480"/>
      </w:pPr>
      <w:r>
        <w:rPr/>
        <w:t>如果我方在贵采购代理机构组织的</w:t>
      </w:r>
      <w:r>
        <w:rPr/>
        <w:t>佛山仙湖实验室氨氢融合发动机性能开发试验台架租赁项目</w:t>
      </w:r>
      <w:r>
        <w:rPr/>
        <w:t>采购中获成交资格（采购项目编号：</w:t>
      </w:r>
      <w:r>
        <w:rPr/>
        <w:t>GZGK23D213C0632D</w:t>
      </w:r>
      <w:r>
        <w:rPr/>
        <w:t>），我方保证在收取《成交通知书》前，按采购文件对代理服务费支付方式的约定，承担本项目代理服务费。</w:t>
      </w:r>
    </w:p>
    <w:p>
      <w:pPr>
        <w:ind w:firstLine="480"/>
      </w:pPr>
      <w:r>
        <w:rPr/>
        <w:t>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广州市国科招标代理有限公司</w:t>
      </w:r>
      <w:r>
        <w:rPr/>
        <w:t>的要求办理支付手续。</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广州市国科招标代理有限公司</w:t>
      </w:r>
      <w:r>
        <w:rPr/>
        <w:t>：</w:t>
      </w:r>
    </w:p>
    <w:p>
      <w:pPr>
        <w:ind w:firstLine="480"/>
      </w:pPr>
      <w:r>
        <w:rPr/>
        <w:t>我单位已登记并准备参与“</w:t>
      </w:r>
      <w:r>
        <w:rPr/>
        <w:t>佛山仙湖实验室氨氢融合发动机性能开发试验台架租赁项目</w:t>
      </w:r>
      <w:r>
        <w:rPr/>
        <w:t>”项目（采购项目编号：</w:t>
      </w:r>
      <w:r>
        <w:rPr/>
        <w:t>GZGK23D213C0632D</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jc w:val="right"/>
      </w:pPr>
      <w:r>
        <w:rPr/>
        <w:t>询问人（公章）：_____________________</w:t>
      </w:r>
    </w:p>
    <w:p>
      <w:pPr>
        <w:jc w:val="right"/>
      </w:pPr>
      <w:r>
        <w:rPr/>
        <w:t>法定代表人或授权代表（签字或盖章）：_____________________</w:t>
      </w:r>
    </w:p>
    <w:p>
      <w:pPr>
        <w:jc w:val="right"/>
      </w:pPr>
      <w:r>
        <w:rPr/>
        <w:t>地址/邮编：_____________________</w:t>
      </w:r>
    </w:p>
    <w:p>
      <w:pPr>
        <w:jc w:val="right"/>
      </w:pPr>
      <w:r>
        <w:rPr/>
        <w:t>电话/传真：_____________________</w:t>
      </w:r>
    </w:p>
    <w:p>
      <w:pPr>
        <w:jc w:val="right"/>
      </w:pPr>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请求：____________________________________________________________</w:t>
      </w:r>
    </w:p>
    <w:p>
      <w:pPr>
        <w:jc w:val="right"/>
      </w:pPr>
      <w:r>
        <w:rPr/>
        <w:t>签字(签章)：__________________ 公章：_________________</w:t>
      </w:r>
    </w:p>
    <w:p>
      <w:pPr>
        <w:jc w:val="right"/>
      </w:pPr>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t>采购人/代理机构于____年____月____日,就质疑事项作出了答复/没有在法定期限内作出答复。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 ________公章________</w:t>
      </w:r>
    </w:p>
    <w:p>
      <w:pPr>
        <w:jc w:val="right"/>
      </w:pPr>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ind w:firstLine="480"/>
      </w:pPr>
    </w:p>
    <w:p>
      <w:pPr>
        <w:jc w:val="right"/>
      </w:pPr>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jc w:val="right"/>
      </w:pPr>
      <w:r>
        <w:rPr/>
        <w:t>保证人(公章)：____________________</w:t>
      </w:r>
    </w:p>
    <w:p>
      <w:pPr>
        <w:jc w:val="right"/>
      </w:pPr>
      <w:r>
        <w:rPr/>
        <w:t>联系人：____________________联系电话：____________________</w:t>
      </w:r>
    </w:p>
    <w:p>
      <w:pPr>
        <w:jc w:val="right"/>
      </w:pPr>
      <w:r>
        <w:rPr/>
        <w:t>年 月 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